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AC096" w14:textId="77777777" w:rsidR="005D545E" w:rsidRPr="005D545E" w:rsidRDefault="005D545E" w:rsidP="005D545E">
      <w:pPr>
        <w:pStyle w:val="NormalWeb"/>
        <w:spacing w:before="0" w:beforeAutospacing="0" w:after="0" w:afterAutospacing="0"/>
        <w:jc w:val="center"/>
        <w:rPr>
          <w:lang w:val="fr-CA"/>
        </w:rPr>
      </w:pPr>
    </w:p>
    <w:p w14:paraId="65571C02" w14:textId="77777777" w:rsidR="005D545E" w:rsidRPr="005D545E" w:rsidRDefault="005D545E" w:rsidP="005D545E">
      <w:pPr>
        <w:pStyle w:val="NormalWeb"/>
        <w:spacing w:before="0" w:beforeAutospacing="0" w:after="0" w:afterAutospacing="0"/>
        <w:jc w:val="center"/>
        <w:rPr>
          <w:lang w:val="fr-CA"/>
        </w:rPr>
      </w:pPr>
    </w:p>
    <w:p w14:paraId="27A41617" w14:textId="77777777" w:rsidR="005D545E" w:rsidRPr="005D545E" w:rsidRDefault="005D545E" w:rsidP="005D545E">
      <w:pPr>
        <w:pStyle w:val="NormalWeb"/>
        <w:spacing w:before="0" w:beforeAutospacing="0" w:after="0" w:afterAutospacing="0"/>
        <w:jc w:val="center"/>
        <w:rPr>
          <w:lang w:val="fr-CA"/>
        </w:rPr>
      </w:pPr>
    </w:p>
    <w:p w14:paraId="080DC0D7" w14:textId="77777777" w:rsidR="005D545E" w:rsidRPr="005D545E" w:rsidRDefault="005D545E" w:rsidP="005D545E">
      <w:pPr>
        <w:pStyle w:val="NormalWeb"/>
        <w:spacing w:before="0" w:beforeAutospacing="0" w:after="0" w:afterAutospacing="0"/>
        <w:jc w:val="center"/>
        <w:rPr>
          <w:lang w:val="fr-CA"/>
        </w:rPr>
      </w:pPr>
    </w:p>
    <w:p w14:paraId="6177670E" w14:textId="77777777" w:rsidR="005D545E" w:rsidRPr="005D545E" w:rsidRDefault="005D545E" w:rsidP="005D545E">
      <w:pPr>
        <w:pStyle w:val="NormalWeb"/>
        <w:spacing w:before="0" w:beforeAutospacing="0" w:after="0" w:afterAutospacing="0"/>
        <w:jc w:val="center"/>
        <w:rPr>
          <w:lang w:val="fr-CA"/>
        </w:rPr>
      </w:pPr>
    </w:p>
    <w:p w14:paraId="2FF30C26" w14:textId="77777777" w:rsidR="005D545E" w:rsidRPr="005D545E" w:rsidRDefault="005D545E" w:rsidP="005D545E">
      <w:pPr>
        <w:pStyle w:val="NormalWeb"/>
        <w:spacing w:before="0" w:beforeAutospacing="0" w:after="0" w:afterAutospacing="0"/>
        <w:jc w:val="center"/>
        <w:rPr>
          <w:lang w:val="fr-CA"/>
        </w:rPr>
      </w:pPr>
    </w:p>
    <w:p w14:paraId="3871566E" w14:textId="77777777" w:rsidR="005D545E" w:rsidRDefault="005D545E" w:rsidP="005D545E">
      <w:pPr>
        <w:pStyle w:val="NormalWeb"/>
        <w:spacing w:before="0" w:beforeAutospacing="0" w:after="0" w:afterAutospacing="0"/>
        <w:jc w:val="center"/>
        <w:rPr>
          <w:lang w:val="fr-CA"/>
        </w:rPr>
      </w:pPr>
    </w:p>
    <w:p w14:paraId="21F91952" w14:textId="77777777" w:rsidR="005D545E" w:rsidRDefault="005D545E" w:rsidP="005D545E">
      <w:pPr>
        <w:pStyle w:val="NormalWeb"/>
        <w:spacing w:before="0" w:beforeAutospacing="0" w:after="0" w:afterAutospacing="0"/>
        <w:jc w:val="center"/>
        <w:rPr>
          <w:lang w:val="fr-CA"/>
        </w:rPr>
      </w:pPr>
    </w:p>
    <w:p w14:paraId="206090B3" w14:textId="77777777" w:rsidR="005D545E" w:rsidRDefault="005D545E" w:rsidP="005D545E">
      <w:pPr>
        <w:pStyle w:val="NormalWeb"/>
        <w:spacing w:before="0" w:beforeAutospacing="0" w:after="0" w:afterAutospacing="0"/>
        <w:jc w:val="center"/>
        <w:rPr>
          <w:lang w:val="fr-CA"/>
        </w:rPr>
      </w:pPr>
    </w:p>
    <w:p w14:paraId="00523892" w14:textId="77777777" w:rsidR="005D545E" w:rsidRDefault="005D545E" w:rsidP="005D545E">
      <w:pPr>
        <w:pStyle w:val="NormalWeb"/>
        <w:spacing w:before="0" w:beforeAutospacing="0" w:after="0" w:afterAutospacing="0"/>
        <w:jc w:val="center"/>
        <w:rPr>
          <w:lang w:val="fr-CA"/>
        </w:rPr>
      </w:pPr>
    </w:p>
    <w:p w14:paraId="517AB910" w14:textId="77777777" w:rsidR="005D545E" w:rsidRDefault="005D545E" w:rsidP="005D545E">
      <w:pPr>
        <w:pStyle w:val="NormalWeb"/>
        <w:spacing w:before="0" w:beforeAutospacing="0" w:after="0" w:afterAutospacing="0"/>
        <w:jc w:val="center"/>
        <w:rPr>
          <w:lang w:val="fr-CA"/>
        </w:rPr>
      </w:pPr>
    </w:p>
    <w:p w14:paraId="4CCF09CA" w14:textId="77777777" w:rsidR="005D545E" w:rsidRDefault="005D545E" w:rsidP="005D545E">
      <w:pPr>
        <w:pStyle w:val="NormalWeb"/>
        <w:spacing w:before="0" w:beforeAutospacing="0" w:after="0" w:afterAutospacing="0"/>
        <w:jc w:val="center"/>
        <w:rPr>
          <w:lang w:val="fr-CA"/>
        </w:rPr>
      </w:pPr>
    </w:p>
    <w:p w14:paraId="407E2584" w14:textId="77777777" w:rsidR="005D545E" w:rsidRDefault="005D545E" w:rsidP="005D545E">
      <w:pPr>
        <w:pStyle w:val="NormalWeb"/>
        <w:spacing w:before="0" w:beforeAutospacing="0" w:after="0" w:afterAutospacing="0"/>
        <w:jc w:val="center"/>
        <w:rPr>
          <w:lang w:val="fr-CA"/>
        </w:rPr>
      </w:pPr>
    </w:p>
    <w:p w14:paraId="2D1409BF" w14:textId="77777777" w:rsidR="005D545E" w:rsidRDefault="005D545E" w:rsidP="005D545E">
      <w:pPr>
        <w:pStyle w:val="NormalWeb"/>
        <w:spacing w:before="0" w:beforeAutospacing="0" w:after="0" w:afterAutospacing="0"/>
        <w:jc w:val="center"/>
        <w:rPr>
          <w:lang w:val="fr-CA"/>
        </w:rPr>
      </w:pPr>
    </w:p>
    <w:p w14:paraId="07098DEB" w14:textId="77777777" w:rsidR="005D545E" w:rsidRDefault="005D545E" w:rsidP="005D545E">
      <w:pPr>
        <w:pStyle w:val="NormalWeb"/>
        <w:spacing w:before="0" w:beforeAutospacing="0" w:after="0" w:afterAutospacing="0"/>
        <w:jc w:val="center"/>
        <w:rPr>
          <w:lang w:val="fr-CA"/>
        </w:rPr>
      </w:pPr>
    </w:p>
    <w:p w14:paraId="60937A5D" w14:textId="77777777" w:rsidR="005D545E" w:rsidRPr="005D545E" w:rsidRDefault="005D545E" w:rsidP="005D545E">
      <w:pPr>
        <w:pStyle w:val="NormalWeb"/>
        <w:spacing w:before="0" w:beforeAutospacing="0" w:after="0" w:afterAutospacing="0"/>
        <w:jc w:val="center"/>
        <w:rPr>
          <w:lang w:val="fr-CA"/>
        </w:rPr>
      </w:pPr>
    </w:p>
    <w:p w14:paraId="738D97F0" w14:textId="77777777" w:rsidR="005D545E" w:rsidRPr="005D545E" w:rsidRDefault="005D545E" w:rsidP="005D545E">
      <w:pPr>
        <w:pStyle w:val="NormalWeb"/>
        <w:spacing w:before="0" w:beforeAutospacing="0" w:after="0" w:afterAutospacing="0"/>
        <w:jc w:val="center"/>
        <w:rPr>
          <w:lang w:val="fr-CA"/>
        </w:rPr>
      </w:pPr>
    </w:p>
    <w:p w14:paraId="44D6F827" w14:textId="77777777" w:rsidR="005D545E" w:rsidRPr="005D545E" w:rsidRDefault="005D545E" w:rsidP="005D545E">
      <w:pPr>
        <w:pStyle w:val="NormalWeb"/>
        <w:spacing w:before="0" w:beforeAutospacing="0" w:after="0" w:afterAutospacing="0"/>
        <w:jc w:val="center"/>
        <w:rPr>
          <w:lang w:val="fr-CA"/>
        </w:rPr>
      </w:pPr>
    </w:p>
    <w:p w14:paraId="30296863" w14:textId="77777777" w:rsidR="00EE61A5" w:rsidRPr="005D545E" w:rsidRDefault="00EE61A5" w:rsidP="005D545E">
      <w:pPr>
        <w:pStyle w:val="NormalWeb"/>
        <w:spacing w:before="0" w:beforeAutospacing="0" w:after="0" w:afterAutospacing="0"/>
        <w:jc w:val="center"/>
        <w:rPr>
          <w:sz w:val="212"/>
          <w:szCs w:val="212"/>
          <w:lang w:val="fr-CA"/>
        </w:rPr>
      </w:pPr>
      <w:r w:rsidRPr="005D545E">
        <w:rPr>
          <w:rFonts w:ascii="Cambria" w:hAnsi="Cambria"/>
          <w:color w:val="2E75B5"/>
          <w:sz w:val="212"/>
          <w:szCs w:val="212"/>
          <w:lang w:val="fr-CA"/>
        </w:rPr>
        <w:t>CIDOC CRM</w:t>
      </w:r>
    </w:p>
    <w:p w14:paraId="06B35739" w14:textId="0F87921C" w:rsidR="00EE61A5" w:rsidRPr="005D545E" w:rsidRDefault="00EE61A5" w:rsidP="005D545E">
      <w:pPr>
        <w:pStyle w:val="NormalWeb"/>
        <w:spacing w:before="0" w:beforeAutospacing="0" w:after="0" w:afterAutospacing="0"/>
        <w:jc w:val="center"/>
        <w:rPr>
          <w:sz w:val="20"/>
          <w:szCs w:val="20"/>
          <w:lang w:val="fr-CA"/>
        </w:rPr>
      </w:pPr>
      <w:r w:rsidRPr="005D545E">
        <w:rPr>
          <w:rFonts w:ascii="Cambria" w:hAnsi="Cambria"/>
          <w:color w:val="2E75B5"/>
          <w:sz w:val="20"/>
          <w:szCs w:val="20"/>
          <w:lang w:val="fr-CA"/>
        </w:rPr>
        <w:t>Modèle conceptuel de référence du Comité international pour la documentation du Conseil international des musées</w:t>
      </w:r>
      <w:r w:rsidRPr="005D545E">
        <w:rPr>
          <w:sz w:val="20"/>
          <w:szCs w:val="20"/>
          <w:lang w:val="fr-CA"/>
        </w:rPr>
        <w:br/>
      </w:r>
    </w:p>
    <w:p w14:paraId="2B7699F8" w14:textId="77777777" w:rsidR="005D545E" w:rsidRDefault="005D545E" w:rsidP="005D545E">
      <w:pPr>
        <w:pStyle w:val="NormalWeb"/>
        <w:spacing w:before="0" w:beforeAutospacing="0" w:after="0" w:afterAutospacing="0"/>
        <w:jc w:val="center"/>
        <w:rPr>
          <w:lang w:val="fr-CA"/>
        </w:rPr>
      </w:pPr>
    </w:p>
    <w:p w14:paraId="131CF7A4" w14:textId="77777777" w:rsidR="005D545E" w:rsidRDefault="005D545E" w:rsidP="005D545E">
      <w:pPr>
        <w:pStyle w:val="NormalWeb"/>
        <w:spacing w:before="0" w:beforeAutospacing="0" w:after="0" w:afterAutospacing="0"/>
        <w:jc w:val="center"/>
        <w:rPr>
          <w:lang w:val="fr-CA"/>
        </w:rPr>
      </w:pPr>
    </w:p>
    <w:p w14:paraId="00C9F86F" w14:textId="77777777" w:rsidR="005D545E" w:rsidRPr="005D545E" w:rsidRDefault="005D545E" w:rsidP="005D545E">
      <w:pPr>
        <w:pStyle w:val="NormalWeb"/>
        <w:spacing w:before="0" w:beforeAutospacing="0" w:after="0" w:afterAutospacing="0"/>
        <w:jc w:val="center"/>
        <w:rPr>
          <w:lang w:val="fr-CA"/>
        </w:rPr>
      </w:pPr>
    </w:p>
    <w:p w14:paraId="2925E493" w14:textId="77777777" w:rsidR="00EE61A5" w:rsidRPr="00EE61A5" w:rsidRDefault="00EE61A5" w:rsidP="005D545E">
      <w:pPr>
        <w:pStyle w:val="NormalWeb"/>
        <w:spacing w:before="0" w:beforeAutospacing="0" w:after="0" w:afterAutospacing="0"/>
        <w:jc w:val="center"/>
        <w:rPr>
          <w:lang w:val="fr-CA"/>
        </w:rPr>
      </w:pPr>
      <w:r w:rsidRPr="00EE61A5">
        <w:rPr>
          <w:rFonts w:ascii="Cambria" w:hAnsi="Cambria"/>
          <w:color w:val="000000"/>
          <w:lang w:val="fr-CA"/>
        </w:rPr>
        <w:t>Version 7.1</w:t>
      </w:r>
    </w:p>
    <w:p w14:paraId="2DBE9E17" w14:textId="3C00FB9B" w:rsidR="00EE61A5" w:rsidRPr="005D545E" w:rsidRDefault="00EE61A5" w:rsidP="005D545E">
      <w:pPr>
        <w:pStyle w:val="NormalWeb"/>
        <w:spacing w:before="0" w:beforeAutospacing="0" w:after="0" w:afterAutospacing="0"/>
        <w:jc w:val="center"/>
        <w:rPr>
          <w:lang w:val="fr-CA"/>
        </w:rPr>
      </w:pPr>
    </w:p>
    <w:p w14:paraId="5939C69F" w14:textId="77777777" w:rsidR="005D545E" w:rsidRPr="005D545E" w:rsidRDefault="005D545E" w:rsidP="005D545E">
      <w:pPr>
        <w:pStyle w:val="NormalWeb"/>
        <w:spacing w:before="0" w:beforeAutospacing="0" w:after="0" w:afterAutospacing="0"/>
        <w:jc w:val="center"/>
        <w:rPr>
          <w:lang w:val="fr-CA"/>
        </w:rPr>
      </w:pPr>
    </w:p>
    <w:p w14:paraId="5B8F1382" w14:textId="77777777" w:rsidR="005D545E" w:rsidRDefault="005D545E" w:rsidP="005D545E">
      <w:pPr>
        <w:pStyle w:val="NormalWeb"/>
        <w:spacing w:before="0" w:beforeAutospacing="0" w:after="0" w:afterAutospacing="0"/>
        <w:jc w:val="center"/>
        <w:rPr>
          <w:lang w:val="fr-CA"/>
        </w:rPr>
      </w:pPr>
    </w:p>
    <w:p w14:paraId="2BAA36DD" w14:textId="77777777" w:rsidR="005D545E" w:rsidRPr="005D545E" w:rsidRDefault="005D545E" w:rsidP="005D545E">
      <w:pPr>
        <w:pStyle w:val="NormalWeb"/>
        <w:spacing w:before="0" w:beforeAutospacing="0" w:after="0" w:afterAutospacing="0"/>
        <w:jc w:val="center"/>
        <w:rPr>
          <w:lang w:val="fr-CA"/>
        </w:rPr>
      </w:pPr>
    </w:p>
    <w:p w14:paraId="04C3A529" w14:textId="0CC12FAB" w:rsidR="00EE61A5" w:rsidRPr="00EE61A5" w:rsidRDefault="00EE61A5" w:rsidP="005D545E">
      <w:pPr>
        <w:pStyle w:val="NormalWeb"/>
        <w:spacing w:before="0" w:beforeAutospacing="0" w:after="0" w:afterAutospacing="0"/>
        <w:jc w:val="center"/>
        <w:rPr>
          <w:lang w:val="fr-CA"/>
        </w:rPr>
      </w:pPr>
      <w:r w:rsidRPr="005D545E">
        <w:rPr>
          <w:lang w:val="fr-CA"/>
        </w:rPr>
        <w:t>Édition du texte original (mars 2021) :</w:t>
      </w:r>
    </w:p>
    <w:p w14:paraId="60A3D056" w14:textId="77777777" w:rsidR="00EE61A5" w:rsidRPr="005D545E" w:rsidRDefault="00EE61A5" w:rsidP="005D545E">
      <w:pPr>
        <w:pStyle w:val="NormalWeb"/>
        <w:spacing w:before="0" w:beforeAutospacing="0" w:after="0" w:afterAutospacing="0"/>
        <w:jc w:val="center"/>
      </w:pPr>
      <w:r w:rsidRPr="005D545E">
        <w:t>Chryssoula Bekiari, George Bruseker, Martin Doerr, Christian-Emil Ore, Stephen Stead, Athanasios Velios</w:t>
      </w:r>
    </w:p>
    <w:p w14:paraId="077C6729" w14:textId="7697C983" w:rsidR="00EE61A5" w:rsidRPr="005D545E" w:rsidRDefault="00EE61A5" w:rsidP="005D545E">
      <w:pPr>
        <w:pStyle w:val="NormalWeb"/>
        <w:spacing w:before="0" w:beforeAutospacing="0" w:after="0" w:afterAutospacing="0"/>
        <w:jc w:val="center"/>
      </w:pPr>
    </w:p>
    <w:p w14:paraId="724102B2" w14:textId="77777777" w:rsidR="005D545E" w:rsidRPr="005D545E" w:rsidRDefault="005D545E" w:rsidP="005D545E">
      <w:pPr>
        <w:pStyle w:val="NormalWeb"/>
        <w:spacing w:before="0" w:beforeAutospacing="0" w:after="0" w:afterAutospacing="0"/>
        <w:jc w:val="center"/>
      </w:pPr>
    </w:p>
    <w:p w14:paraId="0A3F597D" w14:textId="77777777" w:rsidR="005D545E" w:rsidRPr="005D545E" w:rsidRDefault="005D545E" w:rsidP="005D545E">
      <w:pPr>
        <w:pStyle w:val="NormalWeb"/>
        <w:spacing w:before="0" w:beforeAutospacing="0" w:after="0" w:afterAutospacing="0"/>
        <w:jc w:val="center"/>
      </w:pPr>
    </w:p>
    <w:p w14:paraId="0CDDCD66" w14:textId="77777777" w:rsidR="005D545E" w:rsidRPr="005D545E" w:rsidRDefault="005D545E" w:rsidP="005D545E">
      <w:pPr>
        <w:pStyle w:val="NormalWeb"/>
        <w:spacing w:before="0" w:beforeAutospacing="0" w:after="0" w:afterAutospacing="0"/>
        <w:jc w:val="center"/>
      </w:pPr>
    </w:p>
    <w:p w14:paraId="4A8E434C" w14:textId="6A4E7C19" w:rsidR="00EE61A5" w:rsidRPr="00EE61A5" w:rsidRDefault="00EE61A5" w:rsidP="005D545E">
      <w:pPr>
        <w:pStyle w:val="NormalWeb"/>
        <w:spacing w:before="0" w:beforeAutospacing="0" w:after="0" w:afterAutospacing="0"/>
        <w:jc w:val="center"/>
        <w:rPr>
          <w:lang w:val="fr-CA"/>
        </w:rPr>
      </w:pPr>
      <w:r w:rsidRPr="005D545E">
        <w:rPr>
          <w:lang w:val="fr-CA"/>
        </w:rPr>
        <w:t>Traduction (avril 2023) :</w:t>
      </w:r>
    </w:p>
    <w:p w14:paraId="4EB88550" w14:textId="77777777" w:rsidR="00EE61A5" w:rsidRPr="00EE61A5" w:rsidRDefault="00EE61A5" w:rsidP="005D545E">
      <w:pPr>
        <w:pStyle w:val="NormalWeb"/>
        <w:spacing w:before="0" w:beforeAutospacing="0" w:after="0" w:afterAutospacing="0"/>
        <w:jc w:val="center"/>
        <w:rPr>
          <w:lang w:val="fr-CA"/>
        </w:rPr>
      </w:pPr>
      <w:r w:rsidRPr="005D545E">
        <w:rPr>
          <w:lang w:val="fr-CA"/>
        </w:rPr>
        <w:t>Marie-Pier Blain, Frédéric Bricaud, Camille Crevier-Lalonde, Stephen Hart, Karine Léonard Brouillet, Marie-Elaine Mathieu, Philippe Michon, Marielle St-Germain</w:t>
      </w:r>
    </w:p>
    <w:p w14:paraId="17DF2B93" w14:textId="67D6E3B9" w:rsidR="00EE61A5" w:rsidRPr="005D545E" w:rsidRDefault="00EE61A5" w:rsidP="005D545E">
      <w:pPr>
        <w:pStyle w:val="NormalWeb"/>
        <w:spacing w:before="0" w:beforeAutospacing="0" w:after="0" w:afterAutospacing="0"/>
        <w:jc w:val="center"/>
        <w:rPr>
          <w:lang w:val="fr-CA"/>
        </w:rPr>
      </w:pPr>
    </w:p>
    <w:p w14:paraId="0E98DEBA" w14:textId="77777777" w:rsidR="005D545E" w:rsidRDefault="005D545E" w:rsidP="005D545E">
      <w:pPr>
        <w:pStyle w:val="NormalWeb"/>
        <w:spacing w:before="0" w:beforeAutospacing="0" w:after="0" w:afterAutospacing="0"/>
        <w:jc w:val="center"/>
        <w:rPr>
          <w:lang w:val="fr-CA"/>
        </w:rPr>
      </w:pPr>
    </w:p>
    <w:p w14:paraId="5A288D10" w14:textId="77777777" w:rsidR="005D545E" w:rsidRPr="005D545E" w:rsidRDefault="005D545E" w:rsidP="005D545E">
      <w:pPr>
        <w:pStyle w:val="NormalWeb"/>
        <w:spacing w:before="0" w:beforeAutospacing="0" w:after="0" w:afterAutospacing="0"/>
        <w:jc w:val="center"/>
        <w:rPr>
          <w:lang w:val="fr-CA"/>
        </w:rPr>
      </w:pPr>
    </w:p>
    <w:p w14:paraId="710C043B" w14:textId="77777777" w:rsidR="005D545E" w:rsidRPr="005D545E" w:rsidRDefault="005D545E" w:rsidP="005D545E">
      <w:pPr>
        <w:pStyle w:val="NormalWeb"/>
        <w:spacing w:before="0" w:beforeAutospacing="0" w:after="0" w:afterAutospacing="0"/>
        <w:jc w:val="center"/>
        <w:rPr>
          <w:lang w:val="fr-CA"/>
        </w:rPr>
      </w:pPr>
    </w:p>
    <w:p w14:paraId="67977440" w14:textId="3D222447" w:rsidR="00EE61A5" w:rsidRPr="00EE61A5" w:rsidRDefault="00EE61A5" w:rsidP="005D545E">
      <w:pPr>
        <w:pStyle w:val="NormalWeb"/>
        <w:spacing w:before="0" w:beforeAutospacing="0" w:after="0" w:afterAutospacing="0"/>
        <w:jc w:val="center"/>
        <w:rPr>
          <w:lang w:val="fr-CA"/>
        </w:rPr>
      </w:pPr>
      <w:r w:rsidRPr="005D545E">
        <w:rPr>
          <w:lang w:val="fr-CA"/>
        </w:rPr>
        <w:t>Architecture technologique et design :</w:t>
      </w:r>
    </w:p>
    <w:p w14:paraId="5C3EE8E4" w14:textId="74795DBF" w:rsidR="00EE61A5" w:rsidRPr="005D545E" w:rsidRDefault="00EE61A5" w:rsidP="005D545E">
      <w:pPr>
        <w:pStyle w:val="NormalWeb"/>
        <w:spacing w:before="0" w:beforeAutospacing="0" w:after="0" w:afterAutospacing="0"/>
        <w:jc w:val="center"/>
        <w:rPr>
          <w:lang w:val="fr-CA"/>
        </w:rPr>
      </w:pPr>
      <w:r w:rsidRPr="005D545E">
        <w:rPr>
          <w:lang w:val="fr-CA"/>
        </w:rPr>
        <w:t>Nguyen Khanh Trang Dang</w:t>
      </w:r>
    </w:p>
    <w:p w14:paraId="3BE43716" w14:textId="77777777" w:rsidR="00EE61A5" w:rsidRPr="00EE61A5" w:rsidRDefault="00EE61A5" w:rsidP="00EE61A5">
      <w:pPr>
        <w:pStyle w:val="NormalWeb"/>
        <w:spacing w:before="0" w:beforeAutospacing="0" w:after="0" w:afterAutospacing="0"/>
        <w:ind w:hanging="2551"/>
        <w:jc w:val="center"/>
        <w:rPr>
          <w:rFonts w:ascii="Cambria" w:hAnsi="Cambria"/>
          <w:color w:val="000000"/>
          <w:lang w:val="fr-CA"/>
        </w:rPr>
      </w:pPr>
    </w:p>
    <w:p w14:paraId="7DB5D50B" w14:textId="77777777" w:rsidR="00EE61A5" w:rsidRPr="00EE61A5" w:rsidRDefault="00EE61A5" w:rsidP="00EE61A5">
      <w:pPr>
        <w:pStyle w:val="NormalWeb"/>
        <w:spacing w:before="0" w:beforeAutospacing="0" w:after="0" w:afterAutospacing="0"/>
        <w:jc w:val="both"/>
        <w:rPr>
          <w:lang w:val="fr-CA"/>
        </w:rPr>
      </w:pPr>
      <w:r w:rsidRPr="00EE61A5">
        <w:rPr>
          <w:rFonts w:ascii="Cambria" w:hAnsi="Cambria"/>
          <w:i/>
          <w:iCs/>
          <w:color w:val="000000"/>
          <w:sz w:val="20"/>
          <w:szCs w:val="20"/>
          <w:lang w:val="fr-CA"/>
        </w:rPr>
        <w:t>CIDOC CRM : Modèle conceptuel de référence du Comité international pour la documentation du Conseil international des musées</w:t>
      </w:r>
    </w:p>
    <w:p w14:paraId="43BB0C5E" w14:textId="77777777" w:rsidR="00EE61A5" w:rsidRDefault="00EE61A5" w:rsidP="00EE61A5"/>
    <w:p w14:paraId="79D65846" w14:textId="77777777" w:rsidR="00EE61A5" w:rsidRPr="00EE61A5" w:rsidRDefault="00EE61A5" w:rsidP="00EE61A5">
      <w:pPr>
        <w:pStyle w:val="NormalWeb"/>
        <w:spacing w:before="0" w:beforeAutospacing="0" w:after="0" w:afterAutospacing="0"/>
        <w:jc w:val="both"/>
        <w:rPr>
          <w:lang w:val="fr-CA"/>
        </w:rPr>
      </w:pPr>
      <w:r w:rsidRPr="00EE61A5">
        <w:rPr>
          <w:rFonts w:ascii="Cambria" w:hAnsi="Cambria"/>
          <w:color w:val="000000"/>
          <w:sz w:val="20"/>
          <w:szCs w:val="20"/>
          <w:lang w:val="fr-CA"/>
        </w:rPr>
        <w:t xml:space="preserve">Original publié en anglais sous le titre : </w:t>
      </w:r>
      <w:r w:rsidRPr="00EE61A5">
        <w:rPr>
          <w:rFonts w:ascii="Cambria" w:hAnsi="Cambria"/>
          <w:i/>
          <w:iCs/>
          <w:color w:val="000000"/>
          <w:sz w:val="20"/>
          <w:szCs w:val="20"/>
          <w:lang w:val="fr-CA"/>
        </w:rPr>
        <w:t>Volume A: Definition of the CIDOC Conceptual Reference Model</w:t>
      </w:r>
    </w:p>
    <w:p w14:paraId="2F056560" w14:textId="77777777" w:rsidR="00EE61A5" w:rsidRDefault="00EE61A5" w:rsidP="00EE61A5"/>
    <w:p w14:paraId="7D0ED5BC" w14:textId="77777777" w:rsidR="00EE61A5" w:rsidRPr="00EE61A5" w:rsidRDefault="00EE61A5" w:rsidP="00EE61A5">
      <w:pPr>
        <w:pStyle w:val="NormalWeb"/>
        <w:spacing w:before="0" w:beforeAutospacing="0" w:after="0" w:afterAutospacing="0"/>
        <w:jc w:val="both"/>
        <w:rPr>
          <w:lang w:val="fr-CA"/>
        </w:rPr>
      </w:pPr>
      <w:r w:rsidRPr="00EE61A5">
        <w:rPr>
          <w:rFonts w:ascii="Cambria" w:hAnsi="Cambria"/>
          <w:color w:val="000000"/>
          <w:sz w:val="20"/>
          <w:szCs w:val="20"/>
          <w:lang w:val="fr-CA"/>
        </w:rPr>
        <w:t xml:space="preserve">Ceci est une traduction de la version 7.1 de </w:t>
      </w:r>
      <w:r w:rsidRPr="00EE61A5">
        <w:rPr>
          <w:rFonts w:ascii="Cambria" w:hAnsi="Cambria"/>
          <w:i/>
          <w:iCs/>
          <w:color w:val="000000"/>
          <w:sz w:val="20"/>
          <w:szCs w:val="20"/>
          <w:lang w:val="fr-CA"/>
        </w:rPr>
        <w:t xml:space="preserve">Volume A: Definition of the CIDOC Conceptual Reference Model </w:t>
      </w:r>
      <w:r w:rsidRPr="00EE61A5">
        <w:rPr>
          <w:rFonts w:ascii="Cambria" w:hAnsi="Cambria"/>
          <w:color w:val="000000"/>
          <w:sz w:val="20"/>
          <w:szCs w:val="20"/>
          <w:lang w:val="fr-CA"/>
        </w:rPr>
        <w:t>publié en mars 2021. Les modifications apportées à ce document subséquemment à cette publication ne sont pas reflétées dans cette traduction. </w:t>
      </w:r>
    </w:p>
    <w:p w14:paraId="3D2A8089" w14:textId="77777777" w:rsidR="00EE61A5" w:rsidRDefault="00EE61A5" w:rsidP="00EE61A5"/>
    <w:p w14:paraId="2291EFB2" w14:textId="77777777" w:rsidR="00EE61A5" w:rsidRPr="00EE61A5" w:rsidRDefault="00EE61A5" w:rsidP="00EE61A5">
      <w:pPr>
        <w:pStyle w:val="NormalWeb"/>
        <w:spacing w:before="0" w:beforeAutospacing="0" w:after="0" w:afterAutospacing="0"/>
        <w:jc w:val="center"/>
        <w:rPr>
          <w:lang w:val="fr-CA"/>
        </w:rPr>
      </w:pPr>
      <w:r w:rsidRPr="00EE61A5">
        <w:rPr>
          <w:rFonts w:ascii="Cambria" w:hAnsi="Cambria"/>
          <w:color w:val="000000"/>
          <w:sz w:val="20"/>
          <w:szCs w:val="20"/>
          <w:lang w:val="fr-CA"/>
        </w:rPr>
        <w:t>© 2021 Contributeurs individuels au CIDOC CRM</w:t>
      </w:r>
    </w:p>
    <w:p w14:paraId="53A55708" w14:textId="77777777" w:rsidR="00EE61A5" w:rsidRPr="00EE61A5" w:rsidRDefault="00EE61A5" w:rsidP="00EE61A5">
      <w:pPr>
        <w:pStyle w:val="NormalWeb"/>
        <w:spacing w:before="0" w:beforeAutospacing="0" w:after="0" w:afterAutospacing="0"/>
        <w:jc w:val="center"/>
        <w:rPr>
          <w:lang w:val="fr-CA"/>
        </w:rPr>
      </w:pPr>
      <w:r w:rsidRPr="00EE61A5">
        <w:rPr>
          <w:rFonts w:ascii="Cambria" w:hAnsi="Cambria"/>
          <w:color w:val="000000"/>
          <w:sz w:val="20"/>
          <w:szCs w:val="20"/>
          <w:lang w:val="fr-CA"/>
        </w:rPr>
        <w:t>© 2023 Traduction en français du CIDOC CRM</w:t>
      </w:r>
    </w:p>
    <w:p w14:paraId="09089FCE" w14:textId="77777777" w:rsidR="00EE61A5" w:rsidRDefault="00EE61A5" w:rsidP="00EE61A5"/>
    <w:p w14:paraId="2AE769C5" w14:textId="77777777" w:rsidR="00EE61A5" w:rsidRPr="00EE61A5" w:rsidRDefault="00EE61A5" w:rsidP="00EE61A5">
      <w:pPr>
        <w:pStyle w:val="NormalWeb"/>
        <w:spacing w:before="0" w:beforeAutospacing="0" w:after="0" w:afterAutospacing="0"/>
        <w:jc w:val="both"/>
        <w:rPr>
          <w:lang w:val="fr-CA"/>
        </w:rPr>
      </w:pPr>
      <w:r w:rsidRPr="00EE61A5">
        <w:rPr>
          <w:rFonts w:ascii="Cambria" w:hAnsi="Cambria"/>
          <w:color w:val="000000"/>
          <w:sz w:val="20"/>
          <w:szCs w:val="20"/>
          <w:lang w:val="fr-CA"/>
        </w:rPr>
        <w:t>Cette traduction est accessible en vertu d’une licence CC BY, ce qui signifie que les utilisateur·trice·s sont autorisé·e·s à distribuer, remixer, transformer et créer à partir du contenu original de cette documentation, dans quelque format que ce soit, du moment que les attributions nécessaires sont effectuées. </w:t>
      </w:r>
    </w:p>
    <w:p w14:paraId="0AD16C6F" w14:textId="77777777" w:rsidR="00EE61A5" w:rsidRDefault="00EE61A5" w:rsidP="00EE61A5">
      <w:pPr>
        <w:spacing w:after="240"/>
      </w:pPr>
    </w:p>
    <w:p w14:paraId="1F3984D7" w14:textId="77777777" w:rsidR="00EE61A5" w:rsidRPr="00EE61A5" w:rsidRDefault="00EE61A5" w:rsidP="00EE61A5">
      <w:pPr>
        <w:pStyle w:val="NormalWeb"/>
        <w:spacing w:before="0" w:beforeAutospacing="0" w:after="0" w:afterAutospacing="0"/>
        <w:jc w:val="both"/>
        <w:rPr>
          <w:lang w:val="fr-CA"/>
        </w:rPr>
      </w:pPr>
      <w:r w:rsidRPr="00EE61A5">
        <w:rPr>
          <w:rFonts w:ascii="Cambria" w:hAnsi="Cambria"/>
          <w:color w:val="000000"/>
          <w:sz w:val="20"/>
          <w:szCs w:val="20"/>
          <w:lang w:val="fr-CA"/>
        </w:rPr>
        <w:t>Traduction en français du CIDOC CRM et Réseau canadien d'information sur le patrimoine</w:t>
      </w:r>
    </w:p>
    <w:p w14:paraId="7CA9ED84" w14:textId="77777777" w:rsidR="00EE61A5" w:rsidRDefault="00EE61A5" w:rsidP="00EE61A5">
      <w:pPr>
        <w:pStyle w:val="NormalWeb"/>
        <w:spacing w:before="0" w:beforeAutospacing="0" w:after="0" w:afterAutospacing="0"/>
        <w:jc w:val="both"/>
      </w:pPr>
      <w:r>
        <w:rPr>
          <w:rFonts w:ascii="Cambria" w:hAnsi="Cambria"/>
          <w:color w:val="000000"/>
          <w:sz w:val="20"/>
          <w:szCs w:val="20"/>
        </w:rPr>
        <w:t>1030 rue Innes</w:t>
      </w:r>
    </w:p>
    <w:p w14:paraId="1E09D0C0" w14:textId="77777777" w:rsidR="00EE61A5" w:rsidRDefault="00EE61A5" w:rsidP="00EE61A5">
      <w:pPr>
        <w:pStyle w:val="NormalWeb"/>
        <w:spacing w:before="0" w:beforeAutospacing="0" w:after="0" w:afterAutospacing="0"/>
        <w:jc w:val="both"/>
      </w:pPr>
      <w:r>
        <w:rPr>
          <w:rFonts w:ascii="Cambria" w:hAnsi="Cambria"/>
          <w:color w:val="000000"/>
          <w:sz w:val="20"/>
          <w:szCs w:val="20"/>
        </w:rPr>
        <w:t>Ottawa (ON) Canada, K1B 4S7</w:t>
      </w:r>
    </w:p>
    <w:p w14:paraId="799A0986" w14:textId="77777777" w:rsidR="00EE61A5" w:rsidRPr="00EE61A5" w:rsidRDefault="00EE61A5" w:rsidP="00EE61A5">
      <w:pPr>
        <w:spacing w:after="240"/>
        <w:rPr>
          <w:lang w:val="en-CA"/>
        </w:rPr>
      </w:pPr>
    </w:p>
    <w:p w14:paraId="256C473A" w14:textId="7E11847A" w:rsidR="00EE61A5" w:rsidRDefault="00EE61A5" w:rsidP="00EE61A5">
      <w:pPr>
        <w:pStyle w:val="NormalWeb"/>
        <w:spacing w:before="0" w:beforeAutospacing="0" w:after="0" w:afterAutospacing="0"/>
        <w:ind w:left="2694" w:hanging="2694"/>
      </w:pPr>
      <w:r>
        <w:rPr>
          <w:rFonts w:ascii="Cambria" w:hAnsi="Cambria"/>
          <w:color w:val="000000"/>
          <w:sz w:val="20"/>
          <w:szCs w:val="20"/>
        </w:rPr>
        <w:t xml:space="preserve">Éditeur·trice·s </w:t>
      </w:r>
      <w:proofErr w:type="gramStart"/>
      <w:r>
        <w:rPr>
          <w:rFonts w:ascii="Cambria" w:hAnsi="Cambria"/>
          <w:color w:val="000000"/>
          <w:sz w:val="20"/>
          <w:szCs w:val="20"/>
        </w:rPr>
        <w:t>originaux :</w:t>
      </w:r>
      <w:proofErr w:type="gramEnd"/>
      <w:r>
        <w:rPr>
          <w:rStyle w:val="apple-tab-span"/>
          <w:rFonts w:ascii="Cambria" w:hAnsi="Cambria"/>
          <w:color w:val="000000"/>
          <w:sz w:val="20"/>
          <w:szCs w:val="20"/>
        </w:rPr>
        <w:tab/>
      </w:r>
      <w:r>
        <w:rPr>
          <w:rFonts w:ascii="Cambria" w:hAnsi="Cambria"/>
          <w:color w:val="000000"/>
          <w:sz w:val="20"/>
          <w:szCs w:val="20"/>
        </w:rPr>
        <w:t>Chryssoula</w:t>
      </w:r>
      <w:r w:rsidR="005D545E">
        <w:rPr>
          <w:rFonts w:ascii="Cambria" w:hAnsi="Cambria"/>
          <w:color w:val="000000"/>
          <w:sz w:val="20"/>
          <w:szCs w:val="20"/>
        </w:rPr>
        <w:t> </w:t>
      </w:r>
      <w:r>
        <w:rPr>
          <w:rFonts w:ascii="Cambria" w:hAnsi="Cambria"/>
          <w:color w:val="000000"/>
          <w:sz w:val="20"/>
          <w:szCs w:val="20"/>
        </w:rPr>
        <w:t>Bekiari, George</w:t>
      </w:r>
      <w:r w:rsidR="005D545E">
        <w:rPr>
          <w:rFonts w:ascii="Cambria" w:hAnsi="Cambria"/>
          <w:color w:val="000000"/>
          <w:sz w:val="20"/>
          <w:szCs w:val="20"/>
        </w:rPr>
        <w:t> </w:t>
      </w:r>
      <w:r>
        <w:rPr>
          <w:rFonts w:ascii="Cambria" w:hAnsi="Cambria"/>
          <w:color w:val="000000"/>
          <w:sz w:val="20"/>
          <w:szCs w:val="20"/>
        </w:rPr>
        <w:t>Bruseker, Martin</w:t>
      </w:r>
      <w:r w:rsidR="005D545E">
        <w:rPr>
          <w:rFonts w:ascii="Cambria" w:hAnsi="Cambria"/>
          <w:color w:val="000000"/>
          <w:sz w:val="20"/>
          <w:szCs w:val="20"/>
        </w:rPr>
        <w:t> </w:t>
      </w:r>
      <w:r>
        <w:rPr>
          <w:rFonts w:ascii="Cambria" w:hAnsi="Cambria"/>
          <w:color w:val="000000"/>
          <w:sz w:val="20"/>
          <w:szCs w:val="20"/>
        </w:rPr>
        <w:t>Doerr, Christian-Emil</w:t>
      </w:r>
      <w:r w:rsidR="005D545E">
        <w:rPr>
          <w:rFonts w:ascii="Cambria" w:hAnsi="Cambria"/>
          <w:color w:val="000000"/>
          <w:sz w:val="20"/>
          <w:szCs w:val="20"/>
        </w:rPr>
        <w:t> </w:t>
      </w:r>
      <w:r>
        <w:rPr>
          <w:rFonts w:ascii="Cambria" w:hAnsi="Cambria"/>
          <w:color w:val="000000"/>
          <w:sz w:val="20"/>
          <w:szCs w:val="20"/>
        </w:rPr>
        <w:t>Ore, Stephen</w:t>
      </w:r>
      <w:r w:rsidR="005D545E">
        <w:rPr>
          <w:rFonts w:ascii="Cambria" w:hAnsi="Cambria"/>
          <w:color w:val="000000"/>
          <w:sz w:val="20"/>
          <w:szCs w:val="20"/>
        </w:rPr>
        <w:t> </w:t>
      </w:r>
      <w:r>
        <w:rPr>
          <w:rFonts w:ascii="Cambria" w:hAnsi="Cambria"/>
          <w:color w:val="000000"/>
          <w:sz w:val="20"/>
          <w:szCs w:val="20"/>
        </w:rPr>
        <w:t>Stead, Athanasios</w:t>
      </w:r>
      <w:r w:rsidR="005D545E">
        <w:rPr>
          <w:rFonts w:ascii="Cambria" w:hAnsi="Cambria"/>
          <w:color w:val="000000"/>
          <w:sz w:val="20"/>
          <w:szCs w:val="20"/>
        </w:rPr>
        <w:t> </w:t>
      </w:r>
      <w:r>
        <w:rPr>
          <w:rFonts w:ascii="Cambria" w:hAnsi="Cambria"/>
          <w:color w:val="000000"/>
          <w:sz w:val="20"/>
          <w:szCs w:val="20"/>
        </w:rPr>
        <w:t>Velios</w:t>
      </w:r>
    </w:p>
    <w:p w14:paraId="45F54520" w14:textId="77777777" w:rsidR="00EE61A5" w:rsidRPr="00EE61A5" w:rsidRDefault="00EE61A5" w:rsidP="00EE61A5">
      <w:pPr>
        <w:rPr>
          <w:lang w:val="en-CA"/>
        </w:rPr>
      </w:pPr>
    </w:p>
    <w:p w14:paraId="6D69BA48" w14:textId="682E0C21" w:rsidR="00EE61A5" w:rsidRPr="00EE61A5" w:rsidRDefault="00EE61A5" w:rsidP="00EE61A5">
      <w:pPr>
        <w:pStyle w:val="NormalWeb"/>
        <w:spacing w:before="0" w:beforeAutospacing="0" w:after="0" w:afterAutospacing="0"/>
        <w:ind w:left="2694" w:hanging="2694"/>
        <w:rPr>
          <w:lang w:val="fr-CA"/>
        </w:rPr>
      </w:pPr>
      <w:r w:rsidRPr="00EE61A5">
        <w:rPr>
          <w:rFonts w:ascii="Cambria" w:hAnsi="Cambria"/>
          <w:color w:val="000000"/>
          <w:sz w:val="20"/>
          <w:szCs w:val="20"/>
          <w:lang w:val="fr-CA"/>
        </w:rPr>
        <w:t>Traducteur·trice·s:</w:t>
      </w:r>
      <w:r w:rsidRPr="00EE61A5">
        <w:rPr>
          <w:rStyle w:val="apple-tab-span"/>
          <w:rFonts w:ascii="Cambria" w:hAnsi="Cambria"/>
          <w:color w:val="000000"/>
          <w:sz w:val="20"/>
          <w:szCs w:val="20"/>
          <w:lang w:val="fr-CA"/>
        </w:rPr>
        <w:tab/>
      </w:r>
      <w:r w:rsidRPr="00EE61A5">
        <w:rPr>
          <w:rFonts w:ascii="Cambria" w:hAnsi="Cambria"/>
          <w:color w:val="000000"/>
          <w:sz w:val="20"/>
          <w:szCs w:val="20"/>
          <w:lang w:val="fr-CA"/>
        </w:rPr>
        <w:t>Marie-Pier</w:t>
      </w:r>
      <w:r w:rsidR="005D545E">
        <w:rPr>
          <w:rFonts w:ascii="Cambria" w:hAnsi="Cambria"/>
          <w:color w:val="000000"/>
          <w:sz w:val="20"/>
          <w:szCs w:val="20"/>
          <w:lang w:val="fr-CA"/>
        </w:rPr>
        <w:t> </w:t>
      </w:r>
      <w:r w:rsidRPr="00EE61A5">
        <w:rPr>
          <w:rFonts w:ascii="Cambria" w:hAnsi="Cambria"/>
          <w:color w:val="000000"/>
          <w:sz w:val="20"/>
          <w:szCs w:val="20"/>
          <w:lang w:val="fr-CA"/>
        </w:rPr>
        <w:t>Blain, Frédéric</w:t>
      </w:r>
      <w:r w:rsidR="005D545E">
        <w:rPr>
          <w:rFonts w:ascii="Cambria" w:hAnsi="Cambria"/>
          <w:color w:val="000000"/>
          <w:sz w:val="20"/>
          <w:szCs w:val="20"/>
          <w:lang w:val="fr-CA"/>
        </w:rPr>
        <w:t> </w:t>
      </w:r>
      <w:r w:rsidRPr="00EE61A5">
        <w:rPr>
          <w:rFonts w:ascii="Cambria" w:hAnsi="Cambria"/>
          <w:color w:val="000000"/>
          <w:sz w:val="20"/>
          <w:szCs w:val="20"/>
          <w:lang w:val="fr-CA"/>
        </w:rPr>
        <w:t>Bricaud, Camille</w:t>
      </w:r>
      <w:r w:rsidR="005D545E">
        <w:rPr>
          <w:rFonts w:ascii="Cambria" w:hAnsi="Cambria"/>
          <w:color w:val="000000"/>
          <w:sz w:val="20"/>
          <w:szCs w:val="20"/>
          <w:lang w:val="fr-CA"/>
        </w:rPr>
        <w:t> </w:t>
      </w:r>
      <w:r w:rsidRPr="00EE61A5">
        <w:rPr>
          <w:rFonts w:ascii="Cambria" w:hAnsi="Cambria"/>
          <w:color w:val="000000"/>
          <w:sz w:val="20"/>
          <w:szCs w:val="20"/>
          <w:lang w:val="fr-CA"/>
        </w:rPr>
        <w:t>Crevier-Lalonde, Stephen</w:t>
      </w:r>
      <w:r w:rsidR="005D545E">
        <w:rPr>
          <w:rFonts w:ascii="Cambria" w:hAnsi="Cambria"/>
          <w:color w:val="000000"/>
          <w:sz w:val="20"/>
          <w:szCs w:val="20"/>
          <w:lang w:val="fr-CA"/>
        </w:rPr>
        <w:t> </w:t>
      </w:r>
      <w:r w:rsidRPr="00EE61A5">
        <w:rPr>
          <w:rFonts w:ascii="Cambria" w:hAnsi="Cambria"/>
          <w:color w:val="000000"/>
          <w:sz w:val="20"/>
          <w:szCs w:val="20"/>
          <w:lang w:val="fr-CA"/>
        </w:rPr>
        <w:t>Hart, Karine</w:t>
      </w:r>
      <w:r w:rsidR="005D545E">
        <w:rPr>
          <w:rFonts w:ascii="Cambria" w:hAnsi="Cambria"/>
          <w:color w:val="000000"/>
          <w:sz w:val="20"/>
          <w:szCs w:val="20"/>
          <w:lang w:val="fr-CA"/>
        </w:rPr>
        <w:t> </w:t>
      </w:r>
      <w:r w:rsidRPr="00EE61A5">
        <w:rPr>
          <w:rFonts w:ascii="Cambria" w:hAnsi="Cambria"/>
          <w:color w:val="000000"/>
          <w:sz w:val="20"/>
          <w:szCs w:val="20"/>
          <w:lang w:val="fr-CA"/>
        </w:rPr>
        <w:t>Léonard</w:t>
      </w:r>
      <w:r w:rsidR="005D545E">
        <w:rPr>
          <w:rFonts w:ascii="Cambria" w:hAnsi="Cambria"/>
          <w:color w:val="000000"/>
          <w:sz w:val="20"/>
          <w:szCs w:val="20"/>
          <w:lang w:val="fr-CA"/>
        </w:rPr>
        <w:t> </w:t>
      </w:r>
      <w:r w:rsidRPr="00EE61A5">
        <w:rPr>
          <w:rFonts w:ascii="Cambria" w:hAnsi="Cambria"/>
          <w:color w:val="000000"/>
          <w:sz w:val="20"/>
          <w:szCs w:val="20"/>
          <w:lang w:val="fr-CA"/>
        </w:rPr>
        <w:t>Brouillet, Marie-Elaine</w:t>
      </w:r>
      <w:r w:rsidR="005D545E">
        <w:rPr>
          <w:rFonts w:ascii="Cambria" w:hAnsi="Cambria"/>
          <w:color w:val="000000"/>
          <w:sz w:val="20"/>
          <w:szCs w:val="20"/>
          <w:lang w:val="fr-CA"/>
        </w:rPr>
        <w:t> </w:t>
      </w:r>
      <w:r w:rsidRPr="00EE61A5">
        <w:rPr>
          <w:rFonts w:ascii="Cambria" w:hAnsi="Cambria"/>
          <w:color w:val="000000"/>
          <w:sz w:val="20"/>
          <w:szCs w:val="20"/>
          <w:lang w:val="fr-CA"/>
        </w:rPr>
        <w:t>Mathieu, Philippe</w:t>
      </w:r>
      <w:r w:rsidR="005D545E">
        <w:rPr>
          <w:rFonts w:ascii="Cambria" w:hAnsi="Cambria"/>
          <w:color w:val="000000"/>
          <w:sz w:val="20"/>
          <w:szCs w:val="20"/>
          <w:lang w:val="fr-CA"/>
        </w:rPr>
        <w:t> </w:t>
      </w:r>
      <w:r w:rsidRPr="00EE61A5">
        <w:rPr>
          <w:rFonts w:ascii="Cambria" w:hAnsi="Cambria"/>
          <w:color w:val="000000"/>
          <w:sz w:val="20"/>
          <w:szCs w:val="20"/>
          <w:lang w:val="fr-CA"/>
        </w:rPr>
        <w:t xml:space="preserve">Michon, </w:t>
      </w:r>
      <w:r w:rsidRPr="008D5424">
        <w:rPr>
          <w:rFonts w:ascii="Cambria" w:hAnsi="Cambria"/>
          <w:color w:val="000000"/>
          <w:sz w:val="20"/>
          <w:szCs w:val="20"/>
          <w:lang w:val="fr-CA"/>
        </w:rPr>
        <w:t>Marielle</w:t>
      </w:r>
      <w:r w:rsidR="005D545E">
        <w:rPr>
          <w:rFonts w:ascii="Cambria" w:hAnsi="Cambria"/>
          <w:color w:val="000000"/>
          <w:sz w:val="20"/>
          <w:szCs w:val="20"/>
          <w:lang w:val="fr-CA"/>
        </w:rPr>
        <w:t> </w:t>
      </w:r>
      <w:r w:rsidRPr="00EE61A5">
        <w:rPr>
          <w:rFonts w:ascii="Cambria" w:hAnsi="Cambria"/>
          <w:color w:val="000000"/>
          <w:sz w:val="20"/>
          <w:szCs w:val="20"/>
          <w:lang w:val="fr-CA"/>
        </w:rPr>
        <w:t>St-Germain</w:t>
      </w:r>
    </w:p>
    <w:p w14:paraId="0C1C5E4F" w14:textId="77777777" w:rsidR="00EE61A5" w:rsidRDefault="00EE61A5" w:rsidP="00EE61A5"/>
    <w:p w14:paraId="375AC3CF" w14:textId="77777777" w:rsidR="00EE61A5" w:rsidRPr="00EE61A5" w:rsidRDefault="00EE61A5" w:rsidP="00EE61A5">
      <w:pPr>
        <w:pStyle w:val="NormalWeb"/>
        <w:spacing w:before="0" w:beforeAutospacing="0" w:after="0" w:afterAutospacing="0"/>
        <w:ind w:left="2694" w:hanging="2694"/>
        <w:rPr>
          <w:lang w:val="fr-CA"/>
        </w:rPr>
      </w:pPr>
      <w:r w:rsidRPr="00EE61A5">
        <w:rPr>
          <w:rFonts w:ascii="Cambria" w:hAnsi="Cambria"/>
          <w:color w:val="000000"/>
          <w:sz w:val="20"/>
          <w:szCs w:val="20"/>
          <w:lang w:val="fr-CA"/>
        </w:rPr>
        <w:t>Graphisme :</w:t>
      </w:r>
      <w:r w:rsidRPr="00EE61A5">
        <w:rPr>
          <w:rStyle w:val="apple-tab-span"/>
          <w:rFonts w:ascii="Cambria" w:hAnsi="Cambria"/>
          <w:color w:val="000000"/>
          <w:sz w:val="20"/>
          <w:szCs w:val="20"/>
          <w:lang w:val="fr-CA"/>
        </w:rPr>
        <w:tab/>
      </w:r>
      <w:r w:rsidRPr="00EE61A5">
        <w:rPr>
          <w:rFonts w:ascii="Cambria" w:hAnsi="Cambria"/>
          <w:color w:val="000000"/>
          <w:sz w:val="20"/>
          <w:szCs w:val="20"/>
          <w:lang w:val="fr-CA"/>
        </w:rPr>
        <w:t>Nguyen Khanh Trang Dang, Stephen Hart, Karine Léonard Brouillet, Philippe Michon</w:t>
      </w:r>
    </w:p>
    <w:p w14:paraId="30169E23" w14:textId="77777777" w:rsidR="00EE61A5" w:rsidRDefault="00EE61A5" w:rsidP="00EE61A5"/>
    <w:p w14:paraId="6EBD788F" w14:textId="77777777" w:rsidR="00EE61A5" w:rsidRPr="00EE61A5" w:rsidRDefault="00EE61A5" w:rsidP="00EE61A5">
      <w:pPr>
        <w:pStyle w:val="NormalWeb"/>
        <w:spacing w:before="0" w:beforeAutospacing="0" w:after="0" w:afterAutospacing="0"/>
        <w:ind w:left="2694" w:hanging="2694"/>
        <w:rPr>
          <w:lang w:val="fr-CA"/>
        </w:rPr>
      </w:pPr>
      <w:r w:rsidRPr="00EE61A5">
        <w:rPr>
          <w:rFonts w:ascii="Cambria" w:hAnsi="Cambria"/>
          <w:color w:val="000000"/>
          <w:sz w:val="20"/>
          <w:szCs w:val="20"/>
          <w:lang w:val="fr-CA"/>
        </w:rPr>
        <w:t>Architecture technologique et design :</w:t>
      </w:r>
      <w:r w:rsidRPr="00EE61A5">
        <w:rPr>
          <w:rStyle w:val="apple-tab-span"/>
          <w:rFonts w:ascii="Cambria" w:hAnsi="Cambria"/>
          <w:color w:val="000000"/>
          <w:sz w:val="20"/>
          <w:szCs w:val="20"/>
          <w:lang w:val="fr-CA"/>
        </w:rPr>
        <w:tab/>
      </w:r>
      <w:r w:rsidRPr="00EE61A5">
        <w:rPr>
          <w:rFonts w:ascii="Cambria" w:hAnsi="Cambria"/>
          <w:color w:val="000000"/>
          <w:sz w:val="20"/>
          <w:szCs w:val="20"/>
          <w:lang w:val="fr-CA"/>
        </w:rPr>
        <w:t>Nguyen Khanh Trang Dang </w:t>
      </w:r>
    </w:p>
    <w:p w14:paraId="75C6E99A" w14:textId="77777777" w:rsidR="00EE61A5" w:rsidRDefault="00EE61A5" w:rsidP="00EE61A5">
      <w:pPr>
        <w:spacing w:after="240"/>
        <w:ind w:left="2552"/>
      </w:pPr>
    </w:p>
    <w:p w14:paraId="6AFCA943" w14:textId="77777777" w:rsidR="00EE61A5" w:rsidRPr="00EE61A5" w:rsidRDefault="00EE61A5" w:rsidP="00EE61A5">
      <w:pPr>
        <w:pStyle w:val="NormalWeb"/>
        <w:spacing w:before="0" w:beforeAutospacing="0" w:after="0" w:afterAutospacing="0"/>
        <w:rPr>
          <w:lang w:val="fr-CA"/>
        </w:rPr>
      </w:pPr>
      <w:r w:rsidRPr="00EE61A5">
        <w:rPr>
          <w:rFonts w:ascii="Cambria" w:hAnsi="Cambria"/>
          <w:color w:val="000000"/>
          <w:sz w:val="20"/>
          <w:szCs w:val="20"/>
          <w:lang w:val="fr-CA"/>
        </w:rPr>
        <w:t>Crédits visuels :</w:t>
      </w:r>
    </w:p>
    <w:p w14:paraId="79F653F7" w14:textId="77777777" w:rsidR="00EE61A5" w:rsidRPr="00EE61A5" w:rsidRDefault="00EE61A5" w:rsidP="00EE61A5">
      <w:pPr>
        <w:pStyle w:val="NormalWeb"/>
        <w:spacing w:before="0" w:beforeAutospacing="0" w:after="0" w:afterAutospacing="0"/>
        <w:ind w:left="284"/>
        <w:rPr>
          <w:lang w:val="fr-CA"/>
        </w:rPr>
      </w:pPr>
      <w:r w:rsidRPr="00EE61A5">
        <w:rPr>
          <w:rFonts w:ascii="Cambria" w:hAnsi="Cambria"/>
          <w:i/>
          <w:iCs/>
          <w:color w:val="000000"/>
          <w:sz w:val="20"/>
          <w:szCs w:val="20"/>
          <w:lang w:val="fr-CA"/>
        </w:rPr>
        <w:t>Bibliothèques logicielles diagrams.net</w:t>
      </w:r>
      <w:r w:rsidRPr="00EE61A5">
        <w:rPr>
          <w:rFonts w:ascii="Cambria" w:hAnsi="Cambria"/>
          <w:color w:val="000000"/>
          <w:sz w:val="20"/>
          <w:szCs w:val="20"/>
          <w:lang w:val="fr-CA"/>
        </w:rPr>
        <w:t>, © Réseau canadien d'information sur le patrimoine 2021</w:t>
      </w:r>
    </w:p>
    <w:p w14:paraId="7A0028D5" w14:textId="77777777" w:rsidR="00EE61A5" w:rsidRPr="00EE61A5" w:rsidRDefault="00EE61A5" w:rsidP="00EE61A5">
      <w:pPr>
        <w:pStyle w:val="NormalWeb"/>
        <w:spacing w:before="0" w:beforeAutospacing="0" w:after="0" w:afterAutospacing="0"/>
        <w:ind w:left="284"/>
        <w:rPr>
          <w:lang w:val="fr-CA"/>
        </w:rPr>
      </w:pPr>
      <w:r w:rsidRPr="00EE61A5">
        <w:rPr>
          <w:rFonts w:ascii="Cambria" w:hAnsi="Cambria"/>
          <w:color w:val="000000"/>
          <w:sz w:val="20"/>
          <w:szCs w:val="20"/>
          <w:lang w:val="fr-CA"/>
        </w:rPr>
        <w:t>Icônes de statues par Smashicons - Flaticon, © Freepik Company S.L. 2022</w:t>
      </w:r>
    </w:p>
    <w:p w14:paraId="732B6830" w14:textId="77777777" w:rsidR="00EE61A5" w:rsidRPr="00EE61A5" w:rsidRDefault="00EE61A5" w:rsidP="00EE61A5">
      <w:pPr>
        <w:pStyle w:val="NormalWeb"/>
        <w:spacing w:before="0" w:beforeAutospacing="0" w:after="0" w:afterAutospacing="0"/>
        <w:ind w:left="284"/>
        <w:rPr>
          <w:lang w:val="fr-CA"/>
        </w:rPr>
      </w:pPr>
      <w:r w:rsidRPr="00EE61A5">
        <w:rPr>
          <w:rFonts w:ascii="Cambria" w:hAnsi="Cambria"/>
          <w:color w:val="000000"/>
          <w:sz w:val="20"/>
          <w:szCs w:val="20"/>
          <w:lang w:val="fr-CA"/>
        </w:rPr>
        <w:t>Icône du créateur romain inconnu par Freepik - Flaticon, © Freepik Company S.L. 2022</w:t>
      </w:r>
    </w:p>
    <w:p w14:paraId="63490088" w14:textId="77777777" w:rsidR="00EE61A5" w:rsidRDefault="00EE61A5" w:rsidP="00EE61A5">
      <w:pPr>
        <w:pStyle w:val="NormalWeb"/>
        <w:spacing w:before="0" w:beforeAutospacing="0" w:after="0" w:afterAutospacing="0"/>
        <w:ind w:left="284"/>
      </w:pPr>
      <w:r>
        <w:rPr>
          <w:rFonts w:ascii="Cambria" w:hAnsi="Cambria"/>
          <w:color w:val="000000"/>
          <w:sz w:val="20"/>
          <w:szCs w:val="20"/>
        </w:rPr>
        <w:t>Icône de Winckelmann par Freepik - Flaticon, © Freepik Company S.L. 2022</w:t>
      </w:r>
    </w:p>
    <w:p w14:paraId="02A64E6E" w14:textId="77777777" w:rsidR="00EE61A5" w:rsidRPr="00EE61A5" w:rsidRDefault="00EE61A5" w:rsidP="00EE61A5">
      <w:pPr>
        <w:pStyle w:val="NormalWeb"/>
        <w:spacing w:before="0" w:beforeAutospacing="0" w:after="0" w:afterAutospacing="0"/>
        <w:ind w:left="284"/>
        <w:rPr>
          <w:lang w:val="fr-CA"/>
        </w:rPr>
      </w:pPr>
      <w:r w:rsidRPr="00EE61A5">
        <w:rPr>
          <w:rFonts w:ascii="Cambria" w:hAnsi="Cambria"/>
          <w:color w:val="000000"/>
          <w:sz w:val="20"/>
          <w:szCs w:val="20"/>
          <w:lang w:val="fr-CA"/>
        </w:rPr>
        <w:t xml:space="preserve">Icône de la mère de Winckelmann par </w:t>
      </w:r>
      <w:proofErr w:type="gramStart"/>
      <w:r w:rsidRPr="00EE61A5">
        <w:rPr>
          <w:rFonts w:ascii="Cambria" w:hAnsi="Cambria"/>
          <w:color w:val="000000"/>
          <w:sz w:val="20"/>
          <w:szCs w:val="20"/>
          <w:lang w:val="fr-CA"/>
        </w:rPr>
        <w:t>max.icons</w:t>
      </w:r>
      <w:proofErr w:type="gramEnd"/>
      <w:r w:rsidRPr="00EE61A5">
        <w:rPr>
          <w:rFonts w:ascii="Cambria" w:hAnsi="Cambria"/>
          <w:color w:val="000000"/>
          <w:sz w:val="20"/>
          <w:szCs w:val="20"/>
          <w:lang w:val="fr-CA"/>
        </w:rPr>
        <w:t xml:space="preserve"> - Flaticon, © Freepik Company S.L. 2022</w:t>
      </w:r>
    </w:p>
    <w:p w14:paraId="411B9074" w14:textId="77777777" w:rsidR="00EE61A5" w:rsidRDefault="00EE61A5" w:rsidP="00EE61A5">
      <w:pPr>
        <w:pStyle w:val="NormalWeb"/>
        <w:spacing w:before="0" w:beforeAutospacing="0" w:after="0" w:afterAutospacing="0"/>
        <w:ind w:left="284"/>
      </w:pPr>
      <w:r>
        <w:rPr>
          <w:rFonts w:ascii="Cambria" w:hAnsi="Cambria"/>
          <w:i/>
          <w:iCs/>
          <w:color w:val="000000"/>
          <w:sz w:val="20"/>
          <w:szCs w:val="20"/>
        </w:rPr>
        <w:t>Johann Joachim Winckelmann</w:t>
      </w:r>
      <w:r>
        <w:rPr>
          <w:rFonts w:ascii="Cambria" w:hAnsi="Cambria"/>
          <w:color w:val="000000"/>
          <w:sz w:val="20"/>
          <w:szCs w:val="20"/>
        </w:rPr>
        <w:t>, © Wikimedia Commons CC BY-SA 4.0</w:t>
      </w:r>
    </w:p>
    <w:p w14:paraId="59817859" w14:textId="77777777" w:rsidR="00EE61A5" w:rsidRDefault="00EE61A5" w:rsidP="00EE61A5">
      <w:pPr>
        <w:pStyle w:val="NormalWeb"/>
        <w:spacing w:before="0" w:beforeAutospacing="0" w:after="0" w:afterAutospacing="0"/>
        <w:ind w:left="284"/>
      </w:pPr>
      <w:r>
        <w:rPr>
          <w:rFonts w:ascii="Cambria" w:hAnsi="Cambria"/>
          <w:i/>
          <w:iCs/>
          <w:color w:val="000000"/>
          <w:sz w:val="20"/>
          <w:szCs w:val="20"/>
        </w:rPr>
        <w:t>Laocoön</w:t>
      </w:r>
      <w:r>
        <w:rPr>
          <w:rFonts w:ascii="Cambria" w:hAnsi="Cambria"/>
          <w:color w:val="000000"/>
          <w:sz w:val="20"/>
          <w:szCs w:val="20"/>
        </w:rPr>
        <w:t>, © Wikimedia Commons CC BY-SA 4.0</w:t>
      </w:r>
    </w:p>
    <w:p w14:paraId="56F2E6BE" w14:textId="77777777" w:rsidR="00EE61A5" w:rsidRPr="00EE61A5" w:rsidRDefault="00EE61A5" w:rsidP="00EE61A5">
      <w:pPr>
        <w:spacing w:after="240"/>
        <w:rPr>
          <w:lang w:val="en-CA"/>
        </w:rPr>
      </w:pPr>
      <w:r w:rsidRPr="00EE61A5">
        <w:rPr>
          <w:lang w:val="en-CA"/>
        </w:rPr>
        <w:br/>
      </w:r>
      <w:r w:rsidRPr="00EE61A5">
        <w:rPr>
          <w:lang w:val="en-CA"/>
        </w:rPr>
        <w:br/>
      </w:r>
      <w:r w:rsidRPr="00EE61A5">
        <w:rPr>
          <w:lang w:val="en-CA"/>
        </w:rPr>
        <w:br/>
      </w:r>
      <w:r w:rsidRPr="00EE61A5">
        <w:rPr>
          <w:lang w:val="en-CA"/>
        </w:rPr>
        <w:br/>
      </w:r>
      <w:r w:rsidRPr="00EE61A5">
        <w:rPr>
          <w:lang w:val="en-CA"/>
        </w:rPr>
        <w:br/>
      </w:r>
      <w:r w:rsidRPr="00EE61A5">
        <w:rPr>
          <w:lang w:val="en-CA"/>
        </w:rPr>
        <w:br/>
      </w:r>
      <w:r w:rsidRPr="00EE61A5">
        <w:rPr>
          <w:lang w:val="en-CA"/>
        </w:rPr>
        <w:br/>
      </w:r>
    </w:p>
    <w:p w14:paraId="50415A17" w14:textId="2E404FE2" w:rsidR="00EE61A5" w:rsidRDefault="00EE61A5" w:rsidP="00EE61A5">
      <w:pPr>
        <w:pStyle w:val="Heading1"/>
        <w:spacing w:before="240" w:after="200"/>
        <w:jc w:val="both"/>
        <w:rPr>
          <w:b/>
          <w:bCs/>
          <w:color w:val="00193A"/>
        </w:rPr>
      </w:pPr>
      <w:bookmarkStart w:id="0" w:name="_Toc143590252"/>
      <w:bookmarkStart w:id="1" w:name="_Toc143591492"/>
      <w:bookmarkStart w:id="2" w:name="_Toc143756529"/>
      <w:bookmarkStart w:id="3" w:name="_Toc144360760"/>
      <w:r>
        <w:rPr>
          <w:b/>
          <w:bCs/>
          <w:color w:val="00193A"/>
        </w:rPr>
        <w:lastRenderedPageBreak/>
        <w:t>Table des matières</w:t>
      </w:r>
      <w:bookmarkEnd w:id="0"/>
      <w:bookmarkEnd w:id="1"/>
      <w:bookmarkEnd w:id="2"/>
      <w:bookmarkEnd w:id="3"/>
    </w:p>
    <w:sdt>
      <w:sdtPr>
        <w:id w:val="-1460181359"/>
        <w:docPartObj>
          <w:docPartGallery w:val="Table of Contents"/>
          <w:docPartUnique/>
        </w:docPartObj>
      </w:sdtPr>
      <w:sdtEndPr>
        <w:rPr>
          <w:b/>
          <w:bCs/>
          <w:noProof/>
        </w:rPr>
      </w:sdtEndPr>
      <w:sdtContent>
        <w:p w14:paraId="3980C45E" w14:textId="1B2400C2" w:rsidR="00FF0B24" w:rsidRDefault="00EE61A5">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r>
            <w:fldChar w:fldCharType="begin"/>
          </w:r>
          <w:r>
            <w:instrText xml:space="preserve"> TOC \o "1-3" \h \z \u </w:instrText>
          </w:r>
          <w:r>
            <w:fldChar w:fldCharType="separate"/>
          </w:r>
          <w:hyperlink w:anchor="_Toc144360761" w:history="1">
            <w:r w:rsidR="00FF0B24" w:rsidRPr="00022765">
              <w:rPr>
                <w:rStyle w:val="Hyperlink"/>
                <w:b/>
                <w:bCs/>
                <w:noProof/>
              </w:rPr>
              <w:t>Préface des traducteur·trice·s</w:t>
            </w:r>
            <w:r w:rsidR="00FF0B24">
              <w:rPr>
                <w:noProof/>
                <w:webHidden/>
              </w:rPr>
              <w:tab/>
            </w:r>
            <w:r w:rsidR="00FF0B24">
              <w:rPr>
                <w:noProof/>
                <w:webHidden/>
              </w:rPr>
              <w:fldChar w:fldCharType="begin"/>
            </w:r>
            <w:r w:rsidR="00FF0B24">
              <w:rPr>
                <w:noProof/>
                <w:webHidden/>
              </w:rPr>
              <w:instrText xml:space="preserve"> PAGEREF _Toc144360761 \h </w:instrText>
            </w:r>
            <w:r w:rsidR="00FF0B24">
              <w:rPr>
                <w:noProof/>
                <w:webHidden/>
              </w:rPr>
            </w:r>
            <w:r w:rsidR="00FF0B24">
              <w:rPr>
                <w:noProof/>
                <w:webHidden/>
              </w:rPr>
              <w:fldChar w:fldCharType="separate"/>
            </w:r>
            <w:r w:rsidR="00B33E2A">
              <w:rPr>
                <w:noProof/>
                <w:webHidden/>
              </w:rPr>
              <w:t>xi</w:t>
            </w:r>
            <w:r w:rsidR="00FF0B24">
              <w:rPr>
                <w:noProof/>
                <w:webHidden/>
              </w:rPr>
              <w:fldChar w:fldCharType="end"/>
            </w:r>
          </w:hyperlink>
        </w:p>
        <w:p w14:paraId="1BFA1D9F" w14:textId="48BF1909"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62" w:history="1">
            <w:r w:rsidR="00FF0B24" w:rsidRPr="00022765">
              <w:rPr>
                <w:rStyle w:val="Hyperlink"/>
                <w:b/>
                <w:bCs/>
                <w:noProof/>
              </w:rPr>
              <w:t>Comment interpréter les tableaux et les interventions des traducteur·trice·s</w:t>
            </w:r>
            <w:r w:rsidR="00FF0B24">
              <w:rPr>
                <w:noProof/>
                <w:webHidden/>
              </w:rPr>
              <w:tab/>
            </w:r>
            <w:r w:rsidR="00FF0B24">
              <w:rPr>
                <w:noProof/>
                <w:webHidden/>
              </w:rPr>
              <w:fldChar w:fldCharType="begin"/>
            </w:r>
            <w:r w:rsidR="00FF0B24">
              <w:rPr>
                <w:noProof/>
                <w:webHidden/>
              </w:rPr>
              <w:instrText xml:space="preserve"> PAGEREF _Toc144360762 \h </w:instrText>
            </w:r>
            <w:r w:rsidR="00FF0B24">
              <w:rPr>
                <w:noProof/>
                <w:webHidden/>
              </w:rPr>
            </w:r>
            <w:r w:rsidR="00FF0B24">
              <w:rPr>
                <w:noProof/>
                <w:webHidden/>
              </w:rPr>
              <w:fldChar w:fldCharType="separate"/>
            </w:r>
            <w:r w:rsidR="00B33E2A">
              <w:rPr>
                <w:noProof/>
                <w:webHidden/>
              </w:rPr>
              <w:t>xii</w:t>
            </w:r>
            <w:r w:rsidR="00FF0B24">
              <w:rPr>
                <w:noProof/>
                <w:webHidden/>
              </w:rPr>
              <w:fldChar w:fldCharType="end"/>
            </w:r>
          </w:hyperlink>
        </w:p>
        <w:p w14:paraId="654F1D93" w14:textId="64317884"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63" w:history="1">
            <w:r w:rsidR="00FF0B24" w:rsidRPr="00022765">
              <w:rPr>
                <w:rStyle w:val="Hyperlink"/>
                <w:b/>
                <w:bCs/>
                <w:noProof/>
              </w:rPr>
              <w:t>Contenus traduits</w:t>
            </w:r>
            <w:r w:rsidR="00FF0B24">
              <w:rPr>
                <w:noProof/>
                <w:webHidden/>
              </w:rPr>
              <w:tab/>
            </w:r>
            <w:r w:rsidR="00FF0B24">
              <w:rPr>
                <w:noProof/>
                <w:webHidden/>
              </w:rPr>
              <w:fldChar w:fldCharType="begin"/>
            </w:r>
            <w:r w:rsidR="00FF0B24">
              <w:rPr>
                <w:noProof/>
                <w:webHidden/>
              </w:rPr>
              <w:instrText xml:space="preserve"> PAGEREF _Toc144360763 \h </w:instrText>
            </w:r>
            <w:r w:rsidR="00FF0B24">
              <w:rPr>
                <w:noProof/>
                <w:webHidden/>
              </w:rPr>
            </w:r>
            <w:r w:rsidR="00FF0B24">
              <w:rPr>
                <w:noProof/>
                <w:webHidden/>
              </w:rPr>
              <w:fldChar w:fldCharType="separate"/>
            </w:r>
            <w:r w:rsidR="00B33E2A">
              <w:rPr>
                <w:noProof/>
                <w:webHidden/>
              </w:rPr>
              <w:t>1</w:t>
            </w:r>
            <w:r w:rsidR="00FF0B24">
              <w:rPr>
                <w:noProof/>
                <w:webHidden/>
              </w:rPr>
              <w:fldChar w:fldCharType="end"/>
            </w:r>
          </w:hyperlink>
        </w:p>
        <w:p w14:paraId="272E6ED0" w14:textId="0951D048"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64" w:history="1">
            <w:r w:rsidR="00FF0B24" w:rsidRPr="00022765">
              <w:rPr>
                <w:rStyle w:val="Hyperlink"/>
                <w:noProof/>
              </w:rPr>
              <w:t>Introduction</w:t>
            </w:r>
            <w:r w:rsidR="00FF0B24">
              <w:rPr>
                <w:noProof/>
                <w:webHidden/>
              </w:rPr>
              <w:tab/>
            </w:r>
            <w:r w:rsidR="00FF0B24">
              <w:rPr>
                <w:noProof/>
                <w:webHidden/>
              </w:rPr>
              <w:fldChar w:fldCharType="begin"/>
            </w:r>
            <w:r w:rsidR="00FF0B24">
              <w:rPr>
                <w:noProof/>
                <w:webHidden/>
              </w:rPr>
              <w:instrText xml:space="preserve"> PAGEREF _Toc144360764 \h </w:instrText>
            </w:r>
            <w:r w:rsidR="00FF0B24">
              <w:rPr>
                <w:noProof/>
                <w:webHidden/>
              </w:rPr>
            </w:r>
            <w:r w:rsidR="00FF0B24">
              <w:rPr>
                <w:noProof/>
                <w:webHidden/>
              </w:rPr>
              <w:fldChar w:fldCharType="separate"/>
            </w:r>
            <w:r w:rsidR="00B33E2A">
              <w:rPr>
                <w:noProof/>
                <w:webHidden/>
              </w:rPr>
              <w:t>1</w:t>
            </w:r>
            <w:r w:rsidR="00FF0B24">
              <w:rPr>
                <w:noProof/>
                <w:webHidden/>
              </w:rPr>
              <w:fldChar w:fldCharType="end"/>
            </w:r>
          </w:hyperlink>
        </w:p>
        <w:p w14:paraId="3B5DF64F" w14:textId="54E5AA18"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65" w:history="1">
            <w:r w:rsidR="00FF0B24" w:rsidRPr="00022765">
              <w:rPr>
                <w:rStyle w:val="Hyperlink"/>
                <w:noProof/>
              </w:rPr>
              <w:t>Objectifs du CIDOC CRM</w:t>
            </w:r>
            <w:r w:rsidR="00FF0B24">
              <w:rPr>
                <w:noProof/>
                <w:webHidden/>
              </w:rPr>
              <w:tab/>
            </w:r>
            <w:r w:rsidR="00FF0B24">
              <w:rPr>
                <w:noProof/>
                <w:webHidden/>
              </w:rPr>
              <w:fldChar w:fldCharType="begin"/>
            </w:r>
            <w:r w:rsidR="00FF0B24">
              <w:rPr>
                <w:noProof/>
                <w:webHidden/>
              </w:rPr>
              <w:instrText xml:space="preserve"> PAGEREF _Toc144360765 \h </w:instrText>
            </w:r>
            <w:r w:rsidR="00FF0B24">
              <w:rPr>
                <w:noProof/>
                <w:webHidden/>
              </w:rPr>
            </w:r>
            <w:r w:rsidR="00FF0B24">
              <w:rPr>
                <w:noProof/>
                <w:webHidden/>
              </w:rPr>
              <w:fldChar w:fldCharType="separate"/>
            </w:r>
            <w:r w:rsidR="00B33E2A">
              <w:rPr>
                <w:noProof/>
                <w:webHidden/>
              </w:rPr>
              <w:t>1</w:t>
            </w:r>
            <w:r w:rsidR="00FF0B24">
              <w:rPr>
                <w:noProof/>
                <w:webHidden/>
              </w:rPr>
              <w:fldChar w:fldCharType="end"/>
            </w:r>
          </w:hyperlink>
        </w:p>
        <w:p w14:paraId="1EBEF8E3" w14:textId="7026893C"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66" w:history="1">
            <w:r w:rsidR="00FF0B24" w:rsidRPr="00022765">
              <w:rPr>
                <w:rStyle w:val="Hyperlink"/>
                <w:noProof/>
              </w:rPr>
              <w:t>Portée du CIDOC CRM</w:t>
            </w:r>
            <w:r w:rsidR="00FF0B24">
              <w:rPr>
                <w:noProof/>
                <w:webHidden/>
              </w:rPr>
              <w:tab/>
            </w:r>
            <w:r w:rsidR="00FF0B24">
              <w:rPr>
                <w:noProof/>
                <w:webHidden/>
              </w:rPr>
              <w:fldChar w:fldCharType="begin"/>
            </w:r>
            <w:r w:rsidR="00FF0B24">
              <w:rPr>
                <w:noProof/>
                <w:webHidden/>
              </w:rPr>
              <w:instrText xml:space="preserve"> PAGEREF _Toc144360766 \h </w:instrText>
            </w:r>
            <w:r w:rsidR="00FF0B24">
              <w:rPr>
                <w:noProof/>
                <w:webHidden/>
              </w:rPr>
            </w:r>
            <w:r w:rsidR="00FF0B24">
              <w:rPr>
                <w:noProof/>
                <w:webHidden/>
              </w:rPr>
              <w:fldChar w:fldCharType="separate"/>
            </w:r>
            <w:r w:rsidR="00B33E2A">
              <w:rPr>
                <w:noProof/>
                <w:webHidden/>
              </w:rPr>
              <w:t>3</w:t>
            </w:r>
            <w:r w:rsidR="00FF0B24">
              <w:rPr>
                <w:noProof/>
                <w:webHidden/>
              </w:rPr>
              <w:fldChar w:fldCharType="end"/>
            </w:r>
          </w:hyperlink>
        </w:p>
        <w:p w14:paraId="1F5EDB2F" w14:textId="6E91E3D4"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67" w:history="1">
            <w:r w:rsidR="00FF0B24" w:rsidRPr="00022765">
              <w:rPr>
                <w:rStyle w:val="Hyperlink"/>
                <w:noProof/>
              </w:rPr>
              <w:t>Terminologie</w:t>
            </w:r>
            <w:r w:rsidR="00FF0B24">
              <w:rPr>
                <w:noProof/>
                <w:webHidden/>
              </w:rPr>
              <w:tab/>
            </w:r>
            <w:r w:rsidR="00FF0B24">
              <w:rPr>
                <w:noProof/>
                <w:webHidden/>
              </w:rPr>
              <w:fldChar w:fldCharType="begin"/>
            </w:r>
            <w:r w:rsidR="00FF0B24">
              <w:rPr>
                <w:noProof/>
                <w:webHidden/>
              </w:rPr>
              <w:instrText xml:space="preserve"> PAGEREF _Toc144360767 \h </w:instrText>
            </w:r>
            <w:r w:rsidR="00FF0B24">
              <w:rPr>
                <w:noProof/>
                <w:webHidden/>
              </w:rPr>
            </w:r>
            <w:r w:rsidR="00FF0B24">
              <w:rPr>
                <w:noProof/>
                <w:webHidden/>
              </w:rPr>
              <w:fldChar w:fldCharType="separate"/>
            </w:r>
            <w:r w:rsidR="00B33E2A">
              <w:rPr>
                <w:noProof/>
                <w:webHidden/>
              </w:rPr>
              <w:t>4</w:t>
            </w:r>
            <w:r w:rsidR="00FF0B24">
              <w:rPr>
                <w:noProof/>
                <w:webHidden/>
              </w:rPr>
              <w:fldChar w:fldCharType="end"/>
            </w:r>
          </w:hyperlink>
        </w:p>
        <w:p w14:paraId="150B4ED4" w14:textId="023A5C33"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68" w:history="1">
            <w:r w:rsidR="00FF0B24" w:rsidRPr="00022765">
              <w:rPr>
                <w:rStyle w:val="Hyperlink"/>
                <w:noProof/>
              </w:rPr>
              <w:t>Compatibilité avec le CIDOC CRM</w:t>
            </w:r>
            <w:r w:rsidR="00FF0B24">
              <w:rPr>
                <w:noProof/>
                <w:webHidden/>
              </w:rPr>
              <w:tab/>
            </w:r>
            <w:r w:rsidR="00FF0B24">
              <w:rPr>
                <w:noProof/>
                <w:webHidden/>
              </w:rPr>
              <w:fldChar w:fldCharType="begin"/>
            </w:r>
            <w:r w:rsidR="00FF0B24">
              <w:rPr>
                <w:noProof/>
                <w:webHidden/>
              </w:rPr>
              <w:instrText xml:space="preserve"> PAGEREF _Toc144360768 \h </w:instrText>
            </w:r>
            <w:r w:rsidR="00FF0B24">
              <w:rPr>
                <w:noProof/>
                <w:webHidden/>
              </w:rPr>
            </w:r>
            <w:r w:rsidR="00FF0B24">
              <w:rPr>
                <w:noProof/>
                <w:webHidden/>
              </w:rPr>
              <w:fldChar w:fldCharType="separate"/>
            </w:r>
            <w:r w:rsidR="00B33E2A">
              <w:rPr>
                <w:noProof/>
                <w:webHidden/>
              </w:rPr>
              <w:t>21</w:t>
            </w:r>
            <w:r w:rsidR="00FF0B24">
              <w:rPr>
                <w:noProof/>
                <w:webHidden/>
              </w:rPr>
              <w:fldChar w:fldCharType="end"/>
            </w:r>
          </w:hyperlink>
        </w:p>
        <w:p w14:paraId="6DDBC9B2" w14:textId="712521B0"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69" w:history="1">
            <w:r w:rsidR="00FF0B24" w:rsidRPr="00022765">
              <w:rPr>
                <w:rStyle w:val="Hyperlink"/>
                <w:noProof/>
              </w:rPr>
              <w:t>Quantificateurs de propriétés</w:t>
            </w:r>
            <w:r w:rsidR="00FF0B24">
              <w:rPr>
                <w:noProof/>
                <w:webHidden/>
              </w:rPr>
              <w:tab/>
            </w:r>
            <w:r w:rsidR="00FF0B24">
              <w:rPr>
                <w:noProof/>
                <w:webHidden/>
              </w:rPr>
              <w:fldChar w:fldCharType="begin"/>
            </w:r>
            <w:r w:rsidR="00FF0B24">
              <w:rPr>
                <w:noProof/>
                <w:webHidden/>
              </w:rPr>
              <w:instrText xml:space="preserve"> PAGEREF _Toc144360769 \h </w:instrText>
            </w:r>
            <w:r w:rsidR="00FF0B24">
              <w:rPr>
                <w:noProof/>
                <w:webHidden/>
              </w:rPr>
            </w:r>
            <w:r w:rsidR="00FF0B24">
              <w:rPr>
                <w:noProof/>
                <w:webHidden/>
              </w:rPr>
              <w:fldChar w:fldCharType="separate"/>
            </w:r>
            <w:r w:rsidR="00B33E2A">
              <w:rPr>
                <w:noProof/>
                <w:webHidden/>
              </w:rPr>
              <w:t>22</w:t>
            </w:r>
            <w:r w:rsidR="00FF0B24">
              <w:rPr>
                <w:noProof/>
                <w:webHidden/>
              </w:rPr>
              <w:fldChar w:fldCharType="end"/>
            </w:r>
          </w:hyperlink>
        </w:p>
        <w:p w14:paraId="23D591B9" w14:textId="2F1B6024"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0" w:history="1">
            <w:r w:rsidR="00FF0B24" w:rsidRPr="00022765">
              <w:rPr>
                <w:rStyle w:val="Hyperlink"/>
                <w:noProof/>
              </w:rPr>
              <w:t>Convention d’appellation</w:t>
            </w:r>
            <w:r w:rsidR="00FF0B24">
              <w:rPr>
                <w:noProof/>
                <w:webHidden/>
              </w:rPr>
              <w:tab/>
            </w:r>
            <w:r w:rsidR="00FF0B24">
              <w:rPr>
                <w:noProof/>
                <w:webHidden/>
              </w:rPr>
              <w:fldChar w:fldCharType="begin"/>
            </w:r>
            <w:r w:rsidR="00FF0B24">
              <w:rPr>
                <w:noProof/>
                <w:webHidden/>
              </w:rPr>
              <w:instrText xml:space="preserve"> PAGEREF _Toc144360770 \h </w:instrText>
            </w:r>
            <w:r w:rsidR="00FF0B24">
              <w:rPr>
                <w:noProof/>
                <w:webHidden/>
              </w:rPr>
            </w:r>
            <w:r w:rsidR="00FF0B24">
              <w:rPr>
                <w:noProof/>
                <w:webHidden/>
              </w:rPr>
              <w:fldChar w:fldCharType="separate"/>
            </w:r>
            <w:r w:rsidR="00B33E2A">
              <w:rPr>
                <w:noProof/>
                <w:webHidden/>
              </w:rPr>
              <w:t>28</w:t>
            </w:r>
            <w:r w:rsidR="00FF0B24">
              <w:rPr>
                <w:noProof/>
                <w:webHidden/>
              </w:rPr>
              <w:fldChar w:fldCharType="end"/>
            </w:r>
          </w:hyperlink>
        </w:p>
        <w:p w14:paraId="53443AF3" w14:textId="746C3CB1"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1" w:history="1">
            <w:r w:rsidR="00FF0B24" w:rsidRPr="00022765">
              <w:rPr>
                <w:rStyle w:val="Hyperlink"/>
                <w:noProof/>
              </w:rPr>
              <w:t>Des expressions logiques utilisées dans le CIDOC CRM</w:t>
            </w:r>
            <w:r w:rsidR="00FF0B24">
              <w:rPr>
                <w:noProof/>
                <w:webHidden/>
              </w:rPr>
              <w:tab/>
            </w:r>
            <w:r w:rsidR="00FF0B24">
              <w:rPr>
                <w:noProof/>
                <w:webHidden/>
              </w:rPr>
              <w:fldChar w:fldCharType="begin"/>
            </w:r>
            <w:r w:rsidR="00FF0B24">
              <w:rPr>
                <w:noProof/>
                <w:webHidden/>
              </w:rPr>
              <w:instrText xml:space="preserve"> PAGEREF _Toc144360771 \h </w:instrText>
            </w:r>
            <w:r w:rsidR="00FF0B24">
              <w:rPr>
                <w:noProof/>
                <w:webHidden/>
              </w:rPr>
            </w:r>
            <w:r w:rsidR="00FF0B24">
              <w:rPr>
                <w:noProof/>
                <w:webHidden/>
              </w:rPr>
              <w:fldChar w:fldCharType="separate"/>
            </w:r>
            <w:r w:rsidR="00B33E2A">
              <w:rPr>
                <w:noProof/>
                <w:webHidden/>
              </w:rPr>
              <w:t>29</w:t>
            </w:r>
            <w:r w:rsidR="00FF0B24">
              <w:rPr>
                <w:noProof/>
                <w:webHidden/>
              </w:rPr>
              <w:fldChar w:fldCharType="end"/>
            </w:r>
          </w:hyperlink>
        </w:p>
        <w:p w14:paraId="7B9666D2" w14:textId="6B1FD69C"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2" w:history="1">
            <w:r w:rsidR="00FF0B24" w:rsidRPr="00022765">
              <w:rPr>
                <w:rStyle w:val="Hyperlink"/>
                <w:noProof/>
              </w:rPr>
              <w:t>Principes de modélisation</w:t>
            </w:r>
            <w:r w:rsidR="00FF0B24">
              <w:rPr>
                <w:noProof/>
                <w:webHidden/>
              </w:rPr>
              <w:tab/>
            </w:r>
            <w:r w:rsidR="00FF0B24">
              <w:rPr>
                <w:noProof/>
                <w:webHidden/>
              </w:rPr>
              <w:fldChar w:fldCharType="begin"/>
            </w:r>
            <w:r w:rsidR="00FF0B24">
              <w:rPr>
                <w:noProof/>
                <w:webHidden/>
              </w:rPr>
              <w:instrText xml:space="preserve"> PAGEREF _Toc144360772 \h </w:instrText>
            </w:r>
            <w:r w:rsidR="00FF0B24">
              <w:rPr>
                <w:noProof/>
                <w:webHidden/>
              </w:rPr>
            </w:r>
            <w:r w:rsidR="00FF0B24">
              <w:rPr>
                <w:noProof/>
                <w:webHidden/>
              </w:rPr>
              <w:fldChar w:fldCharType="separate"/>
            </w:r>
            <w:r w:rsidR="00B33E2A">
              <w:rPr>
                <w:noProof/>
                <w:webHidden/>
              </w:rPr>
              <w:t>31</w:t>
            </w:r>
            <w:r w:rsidR="00FF0B24">
              <w:rPr>
                <w:noProof/>
                <w:webHidden/>
              </w:rPr>
              <w:fldChar w:fldCharType="end"/>
            </w:r>
          </w:hyperlink>
        </w:p>
        <w:p w14:paraId="53F391BB" w14:textId="24DBC68A"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3" w:history="1">
            <w:r w:rsidR="00FF0B24" w:rsidRPr="00022765">
              <w:rPr>
                <w:rStyle w:val="Hyperlink"/>
                <w:noProof/>
              </w:rPr>
              <w:t>De la réalité, des bases de connaissance et du CIDOC CRM</w:t>
            </w:r>
            <w:r w:rsidR="00FF0B24">
              <w:rPr>
                <w:noProof/>
                <w:webHidden/>
              </w:rPr>
              <w:tab/>
            </w:r>
            <w:r w:rsidR="00FF0B24">
              <w:rPr>
                <w:noProof/>
                <w:webHidden/>
              </w:rPr>
              <w:fldChar w:fldCharType="begin"/>
            </w:r>
            <w:r w:rsidR="00FF0B24">
              <w:rPr>
                <w:noProof/>
                <w:webHidden/>
              </w:rPr>
              <w:instrText xml:space="preserve"> PAGEREF _Toc144360773 \h </w:instrText>
            </w:r>
            <w:r w:rsidR="00FF0B24">
              <w:rPr>
                <w:noProof/>
                <w:webHidden/>
              </w:rPr>
            </w:r>
            <w:r w:rsidR="00FF0B24">
              <w:rPr>
                <w:noProof/>
                <w:webHidden/>
              </w:rPr>
              <w:fldChar w:fldCharType="separate"/>
            </w:r>
            <w:r w:rsidR="00B33E2A">
              <w:rPr>
                <w:noProof/>
                <w:webHidden/>
              </w:rPr>
              <w:t>31</w:t>
            </w:r>
            <w:r w:rsidR="00FF0B24">
              <w:rPr>
                <w:noProof/>
                <w:webHidden/>
              </w:rPr>
              <w:fldChar w:fldCharType="end"/>
            </w:r>
          </w:hyperlink>
        </w:p>
        <w:p w14:paraId="422A8E1F" w14:textId="568683EC"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4" w:history="1">
            <w:r w:rsidR="00FF0B24" w:rsidRPr="00022765">
              <w:rPr>
                <w:rStyle w:val="Hyperlink"/>
                <w:noProof/>
              </w:rPr>
              <w:t>De l’auctorialité des contenus d’une base de connaissances</w:t>
            </w:r>
            <w:r w:rsidR="00FF0B24">
              <w:rPr>
                <w:noProof/>
                <w:webHidden/>
              </w:rPr>
              <w:tab/>
            </w:r>
            <w:r w:rsidR="00FF0B24">
              <w:rPr>
                <w:noProof/>
                <w:webHidden/>
              </w:rPr>
              <w:fldChar w:fldCharType="begin"/>
            </w:r>
            <w:r w:rsidR="00FF0B24">
              <w:rPr>
                <w:noProof/>
                <w:webHidden/>
              </w:rPr>
              <w:instrText xml:space="preserve"> PAGEREF _Toc144360774 \h </w:instrText>
            </w:r>
            <w:r w:rsidR="00FF0B24">
              <w:rPr>
                <w:noProof/>
                <w:webHidden/>
              </w:rPr>
            </w:r>
            <w:r w:rsidR="00FF0B24">
              <w:rPr>
                <w:noProof/>
                <w:webHidden/>
              </w:rPr>
              <w:fldChar w:fldCharType="separate"/>
            </w:r>
            <w:r w:rsidR="00B33E2A">
              <w:rPr>
                <w:noProof/>
                <w:webHidden/>
              </w:rPr>
              <w:t>33</w:t>
            </w:r>
            <w:r w:rsidR="00FF0B24">
              <w:rPr>
                <w:noProof/>
                <w:webHidden/>
              </w:rPr>
              <w:fldChar w:fldCharType="end"/>
            </w:r>
          </w:hyperlink>
        </w:p>
        <w:p w14:paraId="759B1745" w14:textId="1E081BE1"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5" w:history="1">
            <w:r w:rsidR="00FF0B24" w:rsidRPr="00022765">
              <w:rPr>
                <w:rStyle w:val="Hyperlink"/>
                <w:noProof/>
              </w:rPr>
              <w:t>Des extensions de CIDOC CRM</w:t>
            </w:r>
            <w:r w:rsidR="00FF0B24">
              <w:rPr>
                <w:noProof/>
                <w:webHidden/>
              </w:rPr>
              <w:tab/>
            </w:r>
            <w:r w:rsidR="00FF0B24">
              <w:rPr>
                <w:noProof/>
                <w:webHidden/>
              </w:rPr>
              <w:fldChar w:fldCharType="begin"/>
            </w:r>
            <w:r w:rsidR="00FF0B24">
              <w:rPr>
                <w:noProof/>
                <w:webHidden/>
              </w:rPr>
              <w:instrText xml:space="preserve"> PAGEREF _Toc144360775 \h </w:instrText>
            </w:r>
            <w:r w:rsidR="00FF0B24">
              <w:rPr>
                <w:noProof/>
                <w:webHidden/>
              </w:rPr>
            </w:r>
            <w:r w:rsidR="00FF0B24">
              <w:rPr>
                <w:noProof/>
                <w:webHidden/>
              </w:rPr>
              <w:fldChar w:fldCharType="separate"/>
            </w:r>
            <w:r w:rsidR="00B33E2A">
              <w:rPr>
                <w:noProof/>
                <w:webHidden/>
              </w:rPr>
              <w:t>34</w:t>
            </w:r>
            <w:r w:rsidR="00FF0B24">
              <w:rPr>
                <w:noProof/>
                <w:webHidden/>
              </w:rPr>
              <w:fldChar w:fldCharType="end"/>
            </w:r>
          </w:hyperlink>
        </w:p>
        <w:p w14:paraId="59D8B45E" w14:textId="17B523E7"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6" w:history="1">
            <w:r w:rsidR="00FF0B24" w:rsidRPr="00022765">
              <w:rPr>
                <w:rStyle w:val="Hyperlink"/>
                <w:noProof/>
              </w:rPr>
              <w:t>De la minimalité</w:t>
            </w:r>
            <w:r w:rsidR="00FF0B24">
              <w:rPr>
                <w:noProof/>
                <w:webHidden/>
              </w:rPr>
              <w:tab/>
            </w:r>
            <w:r w:rsidR="00FF0B24">
              <w:rPr>
                <w:noProof/>
                <w:webHidden/>
              </w:rPr>
              <w:fldChar w:fldCharType="begin"/>
            </w:r>
            <w:r w:rsidR="00FF0B24">
              <w:rPr>
                <w:noProof/>
                <w:webHidden/>
              </w:rPr>
              <w:instrText xml:space="preserve"> PAGEREF _Toc144360776 \h </w:instrText>
            </w:r>
            <w:r w:rsidR="00FF0B24">
              <w:rPr>
                <w:noProof/>
                <w:webHidden/>
              </w:rPr>
            </w:r>
            <w:r w:rsidR="00FF0B24">
              <w:rPr>
                <w:noProof/>
                <w:webHidden/>
              </w:rPr>
              <w:fldChar w:fldCharType="separate"/>
            </w:r>
            <w:r w:rsidR="00B33E2A">
              <w:rPr>
                <w:noProof/>
                <w:webHidden/>
              </w:rPr>
              <w:t>38</w:t>
            </w:r>
            <w:r w:rsidR="00FF0B24">
              <w:rPr>
                <w:noProof/>
                <w:webHidden/>
              </w:rPr>
              <w:fldChar w:fldCharType="end"/>
            </w:r>
          </w:hyperlink>
        </w:p>
        <w:p w14:paraId="698C4F31" w14:textId="76FA3582"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7" w:history="1">
            <w:r w:rsidR="00FF0B24" w:rsidRPr="00022765">
              <w:rPr>
                <w:rStyle w:val="Hyperlink"/>
                <w:noProof/>
              </w:rPr>
              <w:t>Des raccourcis</w:t>
            </w:r>
            <w:r w:rsidR="00FF0B24">
              <w:rPr>
                <w:noProof/>
                <w:webHidden/>
              </w:rPr>
              <w:tab/>
            </w:r>
            <w:r w:rsidR="00FF0B24">
              <w:rPr>
                <w:noProof/>
                <w:webHidden/>
              </w:rPr>
              <w:fldChar w:fldCharType="begin"/>
            </w:r>
            <w:r w:rsidR="00FF0B24">
              <w:rPr>
                <w:noProof/>
                <w:webHidden/>
              </w:rPr>
              <w:instrText xml:space="preserve"> PAGEREF _Toc144360777 \h </w:instrText>
            </w:r>
            <w:r w:rsidR="00FF0B24">
              <w:rPr>
                <w:noProof/>
                <w:webHidden/>
              </w:rPr>
            </w:r>
            <w:r w:rsidR="00FF0B24">
              <w:rPr>
                <w:noProof/>
                <w:webHidden/>
              </w:rPr>
              <w:fldChar w:fldCharType="separate"/>
            </w:r>
            <w:r w:rsidR="00B33E2A">
              <w:rPr>
                <w:noProof/>
                <w:webHidden/>
              </w:rPr>
              <w:t>39</w:t>
            </w:r>
            <w:r w:rsidR="00FF0B24">
              <w:rPr>
                <w:noProof/>
                <w:webHidden/>
              </w:rPr>
              <w:fldChar w:fldCharType="end"/>
            </w:r>
          </w:hyperlink>
        </w:p>
        <w:p w14:paraId="46C6EADC" w14:textId="72B2E877"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8" w:history="1">
            <w:r w:rsidR="00FF0B24" w:rsidRPr="00022765">
              <w:rPr>
                <w:rStyle w:val="Hyperlink"/>
                <w:noProof/>
              </w:rPr>
              <w:t>De la monotonicité</w:t>
            </w:r>
            <w:r w:rsidR="00FF0B24">
              <w:rPr>
                <w:noProof/>
                <w:webHidden/>
              </w:rPr>
              <w:tab/>
            </w:r>
            <w:r w:rsidR="00FF0B24">
              <w:rPr>
                <w:noProof/>
                <w:webHidden/>
              </w:rPr>
              <w:fldChar w:fldCharType="begin"/>
            </w:r>
            <w:r w:rsidR="00FF0B24">
              <w:rPr>
                <w:noProof/>
                <w:webHidden/>
              </w:rPr>
              <w:instrText xml:space="preserve"> PAGEREF _Toc144360778 \h </w:instrText>
            </w:r>
            <w:r w:rsidR="00FF0B24">
              <w:rPr>
                <w:noProof/>
                <w:webHidden/>
              </w:rPr>
            </w:r>
            <w:r w:rsidR="00FF0B24">
              <w:rPr>
                <w:noProof/>
                <w:webHidden/>
              </w:rPr>
              <w:fldChar w:fldCharType="separate"/>
            </w:r>
            <w:r w:rsidR="00B33E2A">
              <w:rPr>
                <w:noProof/>
                <w:webHidden/>
              </w:rPr>
              <w:t>39</w:t>
            </w:r>
            <w:r w:rsidR="00FF0B24">
              <w:rPr>
                <w:noProof/>
                <w:webHidden/>
              </w:rPr>
              <w:fldChar w:fldCharType="end"/>
            </w:r>
          </w:hyperlink>
        </w:p>
        <w:p w14:paraId="582CCE84" w14:textId="45727447"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79" w:history="1">
            <w:r w:rsidR="00FF0B24" w:rsidRPr="00022765">
              <w:rPr>
                <w:rStyle w:val="Hyperlink"/>
                <w:noProof/>
              </w:rPr>
              <w:t>De la disjonction</w:t>
            </w:r>
            <w:r w:rsidR="00FF0B24">
              <w:rPr>
                <w:noProof/>
                <w:webHidden/>
              </w:rPr>
              <w:tab/>
            </w:r>
            <w:r w:rsidR="00FF0B24">
              <w:rPr>
                <w:noProof/>
                <w:webHidden/>
              </w:rPr>
              <w:fldChar w:fldCharType="begin"/>
            </w:r>
            <w:r w:rsidR="00FF0B24">
              <w:rPr>
                <w:noProof/>
                <w:webHidden/>
              </w:rPr>
              <w:instrText xml:space="preserve"> PAGEREF _Toc144360779 \h </w:instrText>
            </w:r>
            <w:r w:rsidR="00FF0B24">
              <w:rPr>
                <w:noProof/>
                <w:webHidden/>
              </w:rPr>
            </w:r>
            <w:r w:rsidR="00FF0B24">
              <w:rPr>
                <w:noProof/>
                <w:webHidden/>
              </w:rPr>
              <w:fldChar w:fldCharType="separate"/>
            </w:r>
            <w:r w:rsidR="00B33E2A">
              <w:rPr>
                <w:noProof/>
                <w:webHidden/>
              </w:rPr>
              <w:t>42</w:t>
            </w:r>
            <w:r w:rsidR="00FF0B24">
              <w:rPr>
                <w:noProof/>
                <w:webHidden/>
              </w:rPr>
              <w:fldChar w:fldCharType="end"/>
            </w:r>
          </w:hyperlink>
        </w:p>
        <w:p w14:paraId="49FB7A90" w14:textId="00F63E73"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0" w:history="1">
            <w:r w:rsidR="00FF0B24" w:rsidRPr="00022765">
              <w:rPr>
                <w:rStyle w:val="Hyperlink"/>
                <w:noProof/>
              </w:rPr>
              <w:t>De l’héritage et de la transitivité</w:t>
            </w:r>
            <w:r w:rsidR="00FF0B24">
              <w:rPr>
                <w:noProof/>
                <w:webHidden/>
              </w:rPr>
              <w:tab/>
            </w:r>
            <w:r w:rsidR="00FF0B24">
              <w:rPr>
                <w:noProof/>
                <w:webHidden/>
              </w:rPr>
              <w:fldChar w:fldCharType="begin"/>
            </w:r>
            <w:r w:rsidR="00FF0B24">
              <w:rPr>
                <w:noProof/>
                <w:webHidden/>
              </w:rPr>
              <w:instrText xml:space="preserve"> PAGEREF _Toc144360780 \h </w:instrText>
            </w:r>
            <w:r w:rsidR="00FF0B24">
              <w:rPr>
                <w:noProof/>
                <w:webHidden/>
              </w:rPr>
            </w:r>
            <w:r w:rsidR="00FF0B24">
              <w:rPr>
                <w:noProof/>
                <w:webHidden/>
              </w:rPr>
              <w:fldChar w:fldCharType="separate"/>
            </w:r>
            <w:r w:rsidR="00B33E2A">
              <w:rPr>
                <w:noProof/>
                <w:webHidden/>
              </w:rPr>
              <w:t>43</w:t>
            </w:r>
            <w:r w:rsidR="00FF0B24">
              <w:rPr>
                <w:noProof/>
                <w:webHidden/>
              </w:rPr>
              <w:fldChar w:fldCharType="end"/>
            </w:r>
          </w:hyperlink>
        </w:p>
        <w:p w14:paraId="4F99D3A2" w14:textId="37DA55C6"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1" w:history="1">
            <w:r w:rsidR="00FF0B24" w:rsidRPr="00022765">
              <w:rPr>
                <w:rStyle w:val="Hyperlink"/>
                <w:noProof/>
              </w:rPr>
              <w:t>Introduction aux concepts fondamentaux</w:t>
            </w:r>
            <w:r w:rsidR="00FF0B24">
              <w:rPr>
                <w:noProof/>
                <w:webHidden/>
              </w:rPr>
              <w:tab/>
            </w:r>
            <w:r w:rsidR="00FF0B24">
              <w:rPr>
                <w:noProof/>
                <w:webHidden/>
              </w:rPr>
              <w:fldChar w:fldCharType="begin"/>
            </w:r>
            <w:r w:rsidR="00FF0B24">
              <w:rPr>
                <w:noProof/>
                <w:webHidden/>
              </w:rPr>
              <w:instrText xml:space="preserve"> PAGEREF _Toc144360781 \h </w:instrText>
            </w:r>
            <w:r w:rsidR="00FF0B24">
              <w:rPr>
                <w:noProof/>
                <w:webHidden/>
              </w:rPr>
            </w:r>
            <w:r w:rsidR="00FF0B24">
              <w:rPr>
                <w:noProof/>
                <w:webHidden/>
              </w:rPr>
              <w:fldChar w:fldCharType="separate"/>
            </w:r>
            <w:r w:rsidR="00B33E2A">
              <w:rPr>
                <w:noProof/>
                <w:webHidden/>
              </w:rPr>
              <w:t>43</w:t>
            </w:r>
            <w:r w:rsidR="00FF0B24">
              <w:rPr>
                <w:noProof/>
                <w:webHidden/>
              </w:rPr>
              <w:fldChar w:fldCharType="end"/>
            </w:r>
          </w:hyperlink>
        </w:p>
        <w:p w14:paraId="5B58C837" w14:textId="4110AC9F"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2" w:history="1">
            <w:r w:rsidR="00FF0B24" w:rsidRPr="00022765">
              <w:rPr>
                <w:rStyle w:val="Hyperlink"/>
                <w:noProof/>
              </w:rPr>
              <w:t>Des relations évènementielles</w:t>
            </w:r>
            <w:r w:rsidR="00FF0B24">
              <w:rPr>
                <w:noProof/>
                <w:webHidden/>
              </w:rPr>
              <w:tab/>
            </w:r>
            <w:r w:rsidR="00FF0B24">
              <w:rPr>
                <w:noProof/>
                <w:webHidden/>
              </w:rPr>
              <w:fldChar w:fldCharType="begin"/>
            </w:r>
            <w:r w:rsidR="00FF0B24">
              <w:rPr>
                <w:noProof/>
                <w:webHidden/>
              </w:rPr>
              <w:instrText xml:space="preserve"> PAGEREF _Toc144360782 \h </w:instrText>
            </w:r>
            <w:r w:rsidR="00FF0B24">
              <w:rPr>
                <w:noProof/>
                <w:webHidden/>
              </w:rPr>
            </w:r>
            <w:r w:rsidR="00FF0B24">
              <w:rPr>
                <w:noProof/>
                <w:webHidden/>
              </w:rPr>
              <w:fldChar w:fldCharType="separate"/>
            </w:r>
            <w:r w:rsidR="00B33E2A">
              <w:rPr>
                <w:noProof/>
                <w:webHidden/>
              </w:rPr>
              <w:t>46</w:t>
            </w:r>
            <w:r w:rsidR="00FF0B24">
              <w:rPr>
                <w:noProof/>
                <w:webHidden/>
              </w:rPr>
              <w:fldChar w:fldCharType="end"/>
            </w:r>
          </w:hyperlink>
        </w:p>
        <w:p w14:paraId="7805C210" w14:textId="203821A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3" w:history="1">
            <w:r w:rsidR="00FF0B24" w:rsidRPr="00022765">
              <w:rPr>
                <w:rStyle w:val="Hyperlink"/>
                <w:noProof/>
              </w:rPr>
              <w:t>Des relations spatiales</w:t>
            </w:r>
            <w:r w:rsidR="00FF0B24">
              <w:rPr>
                <w:noProof/>
                <w:webHidden/>
              </w:rPr>
              <w:tab/>
            </w:r>
            <w:r w:rsidR="00FF0B24">
              <w:rPr>
                <w:noProof/>
                <w:webHidden/>
              </w:rPr>
              <w:fldChar w:fldCharType="begin"/>
            </w:r>
            <w:r w:rsidR="00FF0B24">
              <w:rPr>
                <w:noProof/>
                <w:webHidden/>
              </w:rPr>
              <w:instrText xml:space="preserve"> PAGEREF _Toc144360783 \h </w:instrText>
            </w:r>
            <w:r w:rsidR="00FF0B24">
              <w:rPr>
                <w:noProof/>
                <w:webHidden/>
              </w:rPr>
            </w:r>
            <w:r w:rsidR="00FF0B24">
              <w:rPr>
                <w:noProof/>
                <w:webHidden/>
              </w:rPr>
              <w:fldChar w:fldCharType="separate"/>
            </w:r>
            <w:r w:rsidR="00B33E2A">
              <w:rPr>
                <w:noProof/>
                <w:webHidden/>
              </w:rPr>
              <w:t>52</w:t>
            </w:r>
            <w:r w:rsidR="00FF0B24">
              <w:rPr>
                <w:noProof/>
                <w:webHidden/>
              </w:rPr>
              <w:fldChar w:fldCharType="end"/>
            </w:r>
          </w:hyperlink>
        </w:p>
        <w:p w14:paraId="0FF2E916" w14:textId="5C33978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4" w:history="1">
            <w:r w:rsidR="00FF0B24" w:rsidRPr="00022765">
              <w:rPr>
                <w:rStyle w:val="Hyperlink"/>
                <w:noProof/>
              </w:rPr>
              <w:t>Des relations temporelles</w:t>
            </w:r>
            <w:r w:rsidR="00FF0B24">
              <w:rPr>
                <w:noProof/>
                <w:webHidden/>
              </w:rPr>
              <w:tab/>
            </w:r>
            <w:r w:rsidR="00FF0B24">
              <w:rPr>
                <w:noProof/>
                <w:webHidden/>
              </w:rPr>
              <w:fldChar w:fldCharType="begin"/>
            </w:r>
            <w:r w:rsidR="00FF0B24">
              <w:rPr>
                <w:noProof/>
                <w:webHidden/>
              </w:rPr>
              <w:instrText xml:space="preserve"> PAGEREF _Toc144360784 \h </w:instrText>
            </w:r>
            <w:r w:rsidR="00FF0B24">
              <w:rPr>
                <w:noProof/>
                <w:webHidden/>
              </w:rPr>
            </w:r>
            <w:r w:rsidR="00FF0B24">
              <w:rPr>
                <w:noProof/>
                <w:webHidden/>
              </w:rPr>
              <w:fldChar w:fldCharType="separate"/>
            </w:r>
            <w:r w:rsidR="00B33E2A">
              <w:rPr>
                <w:noProof/>
                <w:webHidden/>
              </w:rPr>
              <w:t>55</w:t>
            </w:r>
            <w:r w:rsidR="00FF0B24">
              <w:rPr>
                <w:noProof/>
                <w:webHidden/>
              </w:rPr>
              <w:fldChar w:fldCharType="end"/>
            </w:r>
          </w:hyperlink>
        </w:p>
        <w:p w14:paraId="74E49B79" w14:textId="71C00B3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5" w:history="1">
            <w:r w:rsidR="00FF0B24" w:rsidRPr="00022765">
              <w:rPr>
                <w:rStyle w:val="Hyperlink"/>
                <w:noProof/>
              </w:rPr>
              <w:t>Des relations spatio-temporelles</w:t>
            </w:r>
            <w:r w:rsidR="00FF0B24">
              <w:rPr>
                <w:noProof/>
                <w:webHidden/>
              </w:rPr>
              <w:tab/>
            </w:r>
            <w:r w:rsidR="00FF0B24">
              <w:rPr>
                <w:noProof/>
                <w:webHidden/>
              </w:rPr>
              <w:fldChar w:fldCharType="begin"/>
            </w:r>
            <w:r w:rsidR="00FF0B24">
              <w:rPr>
                <w:noProof/>
                <w:webHidden/>
              </w:rPr>
              <w:instrText xml:space="preserve"> PAGEREF _Toc144360785 \h </w:instrText>
            </w:r>
            <w:r w:rsidR="00FF0B24">
              <w:rPr>
                <w:noProof/>
                <w:webHidden/>
              </w:rPr>
            </w:r>
            <w:r w:rsidR="00FF0B24">
              <w:rPr>
                <w:noProof/>
                <w:webHidden/>
              </w:rPr>
              <w:fldChar w:fldCharType="separate"/>
            </w:r>
            <w:r w:rsidR="00B33E2A">
              <w:rPr>
                <w:noProof/>
                <w:webHidden/>
              </w:rPr>
              <w:t>57</w:t>
            </w:r>
            <w:r w:rsidR="00FF0B24">
              <w:rPr>
                <w:noProof/>
                <w:webHidden/>
              </w:rPr>
              <w:fldChar w:fldCharType="end"/>
            </w:r>
          </w:hyperlink>
        </w:p>
        <w:p w14:paraId="012D70CA" w14:textId="743AE0CC"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6" w:history="1">
            <w:r w:rsidR="00FF0B24" w:rsidRPr="00022765">
              <w:rPr>
                <w:rStyle w:val="Hyperlink"/>
                <w:noProof/>
              </w:rPr>
              <w:t>Construits spécifiques de modélisation</w:t>
            </w:r>
            <w:r w:rsidR="00FF0B24">
              <w:rPr>
                <w:noProof/>
                <w:webHidden/>
              </w:rPr>
              <w:tab/>
            </w:r>
            <w:r w:rsidR="00FF0B24">
              <w:rPr>
                <w:noProof/>
                <w:webHidden/>
              </w:rPr>
              <w:fldChar w:fldCharType="begin"/>
            </w:r>
            <w:r w:rsidR="00FF0B24">
              <w:rPr>
                <w:noProof/>
                <w:webHidden/>
              </w:rPr>
              <w:instrText xml:space="preserve"> PAGEREF _Toc144360786 \h </w:instrText>
            </w:r>
            <w:r w:rsidR="00FF0B24">
              <w:rPr>
                <w:noProof/>
                <w:webHidden/>
              </w:rPr>
            </w:r>
            <w:r w:rsidR="00FF0B24">
              <w:rPr>
                <w:noProof/>
                <w:webHidden/>
              </w:rPr>
              <w:fldChar w:fldCharType="separate"/>
            </w:r>
            <w:r w:rsidR="00B33E2A">
              <w:rPr>
                <w:noProof/>
                <w:webHidden/>
              </w:rPr>
              <w:t>61</w:t>
            </w:r>
            <w:r w:rsidR="00FF0B24">
              <w:rPr>
                <w:noProof/>
                <w:webHidden/>
              </w:rPr>
              <w:fldChar w:fldCharType="end"/>
            </w:r>
          </w:hyperlink>
        </w:p>
        <w:p w14:paraId="474CA45D" w14:textId="4BC8321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7" w:history="1">
            <w:r w:rsidR="00FF0B24" w:rsidRPr="00022765">
              <w:rPr>
                <w:rStyle w:val="Hyperlink"/>
                <w:noProof/>
              </w:rPr>
              <w:t>Des Types</w:t>
            </w:r>
            <w:r w:rsidR="00FF0B24">
              <w:rPr>
                <w:noProof/>
                <w:webHidden/>
              </w:rPr>
              <w:tab/>
            </w:r>
            <w:r w:rsidR="00FF0B24">
              <w:rPr>
                <w:noProof/>
                <w:webHidden/>
              </w:rPr>
              <w:fldChar w:fldCharType="begin"/>
            </w:r>
            <w:r w:rsidR="00FF0B24">
              <w:rPr>
                <w:noProof/>
                <w:webHidden/>
              </w:rPr>
              <w:instrText xml:space="preserve"> PAGEREF _Toc144360787 \h </w:instrText>
            </w:r>
            <w:r w:rsidR="00FF0B24">
              <w:rPr>
                <w:noProof/>
                <w:webHidden/>
              </w:rPr>
            </w:r>
            <w:r w:rsidR="00FF0B24">
              <w:rPr>
                <w:noProof/>
                <w:webHidden/>
              </w:rPr>
              <w:fldChar w:fldCharType="separate"/>
            </w:r>
            <w:r w:rsidR="00B33E2A">
              <w:rPr>
                <w:noProof/>
                <w:webHidden/>
              </w:rPr>
              <w:t>61</w:t>
            </w:r>
            <w:r w:rsidR="00FF0B24">
              <w:rPr>
                <w:noProof/>
                <w:webHidden/>
              </w:rPr>
              <w:fldChar w:fldCharType="end"/>
            </w:r>
          </w:hyperlink>
        </w:p>
        <w:p w14:paraId="624A595A" w14:textId="6E3D2B9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8" w:history="1">
            <w:r w:rsidR="00FF0B24" w:rsidRPr="00022765">
              <w:rPr>
                <w:rStyle w:val="Hyperlink"/>
                <w:noProof/>
              </w:rPr>
              <w:t>Des relations temporelles primitives fondées sur des frontières floues</w:t>
            </w:r>
            <w:r w:rsidR="00FF0B24">
              <w:rPr>
                <w:noProof/>
                <w:webHidden/>
              </w:rPr>
              <w:tab/>
            </w:r>
            <w:r w:rsidR="00FF0B24">
              <w:rPr>
                <w:noProof/>
                <w:webHidden/>
              </w:rPr>
              <w:fldChar w:fldCharType="begin"/>
            </w:r>
            <w:r w:rsidR="00FF0B24">
              <w:rPr>
                <w:noProof/>
                <w:webHidden/>
              </w:rPr>
              <w:instrText xml:space="preserve"> PAGEREF _Toc144360788 \h </w:instrText>
            </w:r>
            <w:r w:rsidR="00FF0B24">
              <w:rPr>
                <w:noProof/>
                <w:webHidden/>
              </w:rPr>
            </w:r>
            <w:r w:rsidR="00FF0B24">
              <w:rPr>
                <w:noProof/>
                <w:webHidden/>
              </w:rPr>
              <w:fldChar w:fldCharType="separate"/>
            </w:r>
            <w:r w:rsidR="00B33E2A">
              <w:rPr>
                <w:noProof/>
                <w:webHidden/>
              </w:rPr>
              <w:t>63</w:t>
            </w:r>
            <w:r w:rsidR="00FF0B24">
              <w:rPr>
                <w:noProof/>
                <w:webHidden/>
              </w:rPr>
              <w:fldChar w:fldCharType="end"/>
            </w:r>
          </w:hyperlink>
        </w:p>
        <w:p w14:paraId="5952C7A2" w14:textId="11AB7793"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89" w:history="1">
            <w:r w:rsidR="00FF0B24" w:rsidRPr="00022765">
              <w:rPr>
                <w:rStyle w:val="Hyperlink"/>
                <w:noProof/>
              </w:rPr>
              <w:t>Application formelle</w:t>
            </w:r>
            <w:r w:rsidR="00FF0B24">
              <w:rPr>
                <w:noProof/>
                <w:webHidden/>
              </w:rPr>
              <w:tab/>
            </w:r>
            <w:r w:rsidR="00FF0B24">
              <w:rPr>
                <w:noProof/>
                <w:webHidden/>
              </w:rPr>
              <w:fldChar w:fldCharType="begin"/>
            </w:r>
            <w:r w:rsidR="00FF0B24">
              <w:rPr>
                <w:noProof/>
                <w:webHidden/>
              </w:rPr>
              <w:instrText xml:space="preserve"> PAGEREF _Toc144360789 \h </w:instrText>
            </w:r>
            <w:r w:rsidR="00FF0B24">
              <w:rPr>
                <w:noProof/>
                <w:webHidden/>
              </w:rPr>
            </w:r>
            <w:r w:rsidR="00FF0B24">
              <w:rPr>
                <w:noProof/>
                <w:webHidden/>
              </w:rPr>
              <w:fldChar w:fldCharType="separate"/>
            </w:r>
            <w:r w:rsidR="00B33E2A">
              <w:rPr>
                <w:noProof/>
                <w:webHidden/>
              </w:rPr>
              <w:t>67</w:t>
            </w:r>
            <w:r w:rsidR="00FF0B24">
              <w:rPr>
                <w:noProof/>
                <w:webHidden/>
              </w:rPr>
              <w:fldChar w:fldCharType="end"/>
            </w:r>
          </w:hyperlink>
        </w:p>
        <w:p w14:paraId="57C167F1" w14:textId="5EF49E1F"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0" w:history="1">
            <w:r w:rsidR="00FF0B24" w:rsidRPr="00022765">
              <w:rPr>
                <w:rStyle w:val="Hyperlink"/>
                <w:noProof/>
              </w:rPr>
              <w:t>Hiérarchies de classes et de propriétés</w:t>
            </w:r>
            <w:r w:rsidR="00FF0B24">
              <w:rPr>
                <w:noProof/>
                <w:webHidden/>
              </w:rPr>
              <w:tab/>
            </w:r>
            <w:r w:rsidR="00FF0B24">
              <w:rPr>
                <w:noProof/>
                <w:webHidden/>
              </w:rPr>
              <w:fldChar w:fldCharType="begin"/>
            </w:r>
            <w:r w:rsidR="00FF0B24">
              <w:rPr>
                <w:noProof/>
                <w:webHidden/>
              </w:rPr>
              <w:instrText xml:space="preserve"> PAGEREF _Toc144360790 \h </w:instrText>
            </w:r>
            <w:r w:rsidR="00FF0B24">
              <w:rPr>
                <w:noProof/>
                <w:webHidden/>
              </w:rPr>
            </w:r>
            <w:r w:rsidR="00FF0B24">
              <w:rPr>
                <w:noProof/>
                <w:webHidden/>
              </w:rPr>
              <w:fldChar w:fldCharType="separate"/>
            </w:r>
            <w:r w:rsidR="00B33E2A">
              <w:rPr>
                <w:noProof/>
                <w:webHidden/>
              </w:rPr>
              <w:t>68</w:t>
            </w:r>
            <w:r w:rsidR="00FF0B24">
              <w:rPr>
                <w:noProof/>
                <w:webHidden/>
              </w:rPr>
              <w:fldChar w:fldCharType="end"/>
            </w:r>
          </w:hyperlink>
        </w:p>
        <w:p w14:paraId="31BD7D71" w14:textId="167F742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1" w:history="1">
            <w:r w:rsidR="00FF0B24" w:rsidRPr="00022765">
              <w:rPr>
                <w:rStyle w:val="Hyperlink"/>
                <w:noProof/>
              </w:rPr>
              <w:t>Liste hiérarchisée des classes du CIDOC CRM</w:t>
            </w:r>
            <w:r w:rsidR="00FF0B24">
              <w:rPr>
                <w:noProof/>
                <w:webHidden/>
              </w:rPr>
              <w:tab/>
            </w:r>
            <w:r w:rsidR="00FF0B24">
              <w:rPr>
                <w:noProof/>
                <w:webHidden/>
              </w:rPr>
              <w:fldChar w:fldCharType="begin"/>
            </w:r>
            <w:r w:rsidR="00FF0B24">
              <w:rPr>
                <w:noProof/>
                <w:webHidden/>
              </w:rPr>
              <w:instrText xml:space="preserve"> PAGEREF _Toc144360791 \h </w:instrText>
            </w:r>
            <w:r w:rsidR="00FF0B24">
              <w:rPr>
                <w:noProof/>
                <w:webHidden/>
              </w:rPr>
            </w:r>
            <w:r w:rsidR="00FF0B24">
              <w:rPr>
                <w:noProof/>
                <w:webHidden/>
              </w:rPr>
              <w:fldChar w:fldCharType="separate"/>
            </w:r>
            <w:r w:rsidR="00B33E2A">
              <w:rPr>
                <w:noProof/>
                <w:webHidden/>
              </w:rPr>
              <w:t>69</w:t>
            </w:r>
            <w:r w:rsidR="00FF0B24">
              <w:rPr>
                <w:noProof/>
                <w:webHidden/>
              </w:rPr>
              <w:fldChar w:fldCharType="end"/>
            </w:r>
          </w:hyperlink>
        </w:p>
        <w:p w14:paraId="4D821950" w14:textId="625BF69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2" w:history="1">
            <w:r w:rsidR="00FF0B24" w:rsidRPr="00022765">
              <w:rPr>
                <w:rStyle w:val="Hyperlink"/>
                <w:noProof/>
              </w:rPr>
              <w:t>Liste hiérarchisée des propriétés du CIDOC CRM</w:t>
            </w:r>
            <w:r w:rsidR="00FF0B24">
              <w:rPr>
                <w:noProof/>
                <w:webHidden/>
              </w:rPr>
              <w:tab/>
            </w:r>
            <w:r w:rsidR="00FF0B24">
              <w:rPr>
                <w:noProof/>
                <w:webHidden/>
              </w:rPr>
              <w:fldChar w:fldCharType="begin"/>
            </w:r>
            <w:r w:rsidR="00FF0B24">
              <w:rPr>
                <w:noProof/>
                <w:webHidden/>
              </w:rPr>
              <w:instrText xml:space="preserve"> PAGEREF _Toc144360792 \h </w:instrText>
            </w:r>
            <w:r w:rsidR="00FF0B24">
              <w:rPr>
                <w:noProof/>
                <w:webHidden/>
              </w:rPr>
            </w:r>
            <w:r w:rsidR="00FF0B24">
              <w:rPr>
                <w:noProof/>
                <w:webHidden/>
              </w:rPr>
              <w:fldChar w:fldCharType="separate"/>
            </w:r>
            <w:r w:rsidR="00B33E2A">
              <w:rPr>
                <w:noProof/>
                <w:webHidden/>
              </w:rPr>
              <w:t>73</w:t>
            </w:r>
            <w:r w:rsidR="00FF0B24">
              <w:rPr>
                <w:noProof/>
                <w:webHidden/>
              </w:rPr>
              <w:fldChar w:fldCharType="end"/>
            </w:r>
          </w:hyperlink>
        </w:p>
        <w:p w14:paraId="1311F3EC" w14:textId="106A3678"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3" w:history="1">
            <w:r w:rsidR="00FF0B24" w:rsidRPr="00022765">
              <w:rPr>
                <w:rStyle w:val="Hyperlink"/>
                <w:noProof/>
              </w:rPr>
              <w:t>Déclaration des classes du CIDOC CRM</w:t>
            </w:r>
            <w:r w:rsidR="00FF0B24">
              <w:rPr>
                <w:noProof/>
                <w:webHidden/>
              </w:rPr>
              <w:tab/>
            </w:r>
            <w:r w:rsidR="00FF0B24">
              <w:rPr>
                <w:noProof/>
                <w:webHidden/>
              </w:rPr>
              <w:fldChar w:fldCharType="begin"/>
            </w:r>
            <w:r w:rsidR="00FF0B24">
              <w:rPr>
                <w:noProof/>
                <w:webHidden/>
              </w:rPr>
              <w:instrText xml:space="preserve"> PAGEREF _Toc144360793 \h </w:instrText>
            </w:r>
            <w:r w:rsidR="00FF0B24">
              <w:rPr>
                <w:noProof/>
                <w:webHidden/>
              </w:rPr>
            </w:r>
            <w:r w:rsidR="00FF0B24">
              <w:rPr>
                <w:noProof/>
                <w:webHidden/>
              </w:rPr>
              <w:fldChar w:fldCharType="separate"/>
            </w:r>
            <w:r w:rsidR="00B33E2A">
              <w:rPr>
                <w:noProof/>
                <w:webHidden/>
              </w:rPr>
              <w:t>80</w:t>
            </w:r>
            <w:r w:rsidR="00FF0B24">
              <w:rPr>
                <w:noProof/>
                <w:webHidden/>
              </w:rPr>
              <w:fldChar w:fldCharType="end"/>
            </w:r>
          </w:hyperlink>
        </w:p>
        <w:p w14:paraId="32C760C1" w14:textId="195D89A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4" w:history="1">
            <w:r w:rsidR="00FF0B24" w:rsidRPr="00022765">
              <w:rPr>
                <w:rStyle w:val="Hyperlink"/>
                <w:noProof/>
              </w:rPr>
              <w:t>E1 Entité CRM</w:t>
            </w:r>
            <w:r w:rsidR="00FF0B24">
              <w:rPr>
                <w:noProof/>
                <w:webHidden/>
              </w:rPr>
              <w:tab/>
            </w:r>
            <w:r w:rsidR="00FF0B24">
              <w:rPr>
                <w:noProof/>
                <w:webHidden/>
              </w:rPr>
              <w:fldChar w:fldCharType="begin"/>
            </w:r>
            <w:r w:rsidR="00FF0B24">
              <w:rPr>
                <w:noProof/>
                <w:webHidden/>
              </w:rPr>
              <w:instrText xml:space="preserve"> PAGEREF _Toc144360794 \h </w:instrText>
            </w:r>
            <w:r w:rsidR="00FF0B24">
              <w:rPr>
                <w:noProof/>
                <w:webHidden/>
              </w:rPr>
            </w:r>
            <w:r w:rsidR="00FF0B24">
              <w:rPr>
                <w:noProof/>
                <w:webHidden/>
              </w:rPr>
              <w:fldChar w:fldCharType="separate"/>
            </w:r>
            <w:r w:rsidR="00B33E2A">
              <w:rPr>
                <w:noProof/>
                <w:webHidden/>
              </w:rPr>
              <w:t>80</w:t>
            </w:r>
            <w:r w:rsidR="00FF0B24">
              <w:rPr>
                <w:noProof/>
                <w:webHidden/>
              </w:rPr>
              <w:fldChar w:fldCharType="end"/>
            </w:r>
          </w:hyperlink>
        </w:p>
        <w:p w14:paraId="25D7928C" w14:textId="2034B97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5" w:history="1">
            <w:r w:rsidR="00FF0B24" w:rsidRPr="00022765">
              <w:rPr>
                <w:rStyle w:val="Hyperlink"/>
                <w:noProof/>
              </w:rPr>
              <w:t>E2 Entité temporelle</w:t>
            </w:r>
            <w:r w:rsidR="00FF0B24">
              <w:rPr>
                <w:noProof/>
                <w:webHidden/>
              </w:rPr>
              <w:tab/>
            </w:r>
            <w:r w:rsidR="00FF0B24">
              <w:rPr>
                <w:noProof/>
                <w:webHidden/>
              </w:rPr>
              <w:fldChar w:fldCharType="begin"/>
            </w:r>
            <w:r w:rsidR="00FF0B24">
              <w:rPr>
                <w:noProof/>
                <w:webHidden/>
              </w:rPr>
              <w:instrText xml:space="preserve"> PAGEREF _Toc144360795 \h </w:instrText>
            </w:r>
            <w:r w:rsidR="00FF0B24">
              <w:rPr>
                <w:noProof/>
                <w:webHidden/>
              </w:rPr>
            </w:r>
            <w:r w:rsidR="00FF0B24">
              <w:rPr>
                <w:noProof/>
                <w:webHidden/>
              </w:rPr>
              <w:fldChar w:fldCharType="separate"/>
            </w:r>
            <w:r w:rsidR="00B33E2A">
              <w:rPr>
                <w:noProof/>
                <w:webHidden/>
              </w:rPr>
              <w:t>81</w:t>
            </w:r>
            <w:r w:rsidR="00FF0B24">
              <w:rPr>
                <w:noProof/>
                <w:webHidden/>
              </w:rPr>
              <w:fldChar w:fldCharType="end"/>
            </w:r>
          </w:hyperlink>
        </w:p>
        <w:p w14:paraId="5A1DD4CE" w14:textId="5F776FA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6" w:history="1">
            <w:r w:rsidR="00FF0B24" w:rsidRPr="00022765">
              <w:rPr>
                <w:rStyle w:val="Hyperlink"/>
                <w:noProof/>
              </w:rPr>
              <w:t>E3 État matériel</w:t>
            </w:r>
            <w:r w:rsidR="00FF0B24">
              <w:rPr>
                <w:noProof/>
                <w:webHidden/>
              </w:rPr>
              <w:tab/>
            </w:r>
            <w:r w:rsidR="00FF0B24">
              <w:rPr>
                <w:noProof/>
                <w:webHidden/>
              </w:rPr>
              <w:fldChar w:fldCharType="begin"/>
            </w:r>
            <w:r w:rsidR="00FF0B24">
              <w:rPr>
                <w:noProof/>
                <w:webHidden/>
              </w:rPr>
              <w:instrText xml:space="preserve"> PAGEREF _Toc144360796 \h </w:instrText>
            </w:r>
            <w:r w:rsidR="00FF0B24">
              <w:rPr>
                <w:noProof/>
                <w:webHidden/>
              </w:rPr>
            </w:r>
            <w:r w:rsidR="00FF0B24">
              <w:rPr>
                <w:noProof/>
                <w:webHidden/>
              </w:rPr>
              <w:fldChar w:fldCharType="separate"/>
            </w:r>
            <w:r w:rsidR="00B33E2A">
              <w:rPr>
                <w:noProof/>
                <w:webHidden/>
              </w:rPr>
              <w:t>83</w:t>
            </w:r>
            <w:r w:rsidR="00FF0B24">
              <w:rPr>
                <w:noProof/>
                <w:webHidden/>
              </w:rPr>
              <w:fldChar w:fldCharType="end"/>
            </w:r>
          </w:hyperlink>
        </w:p>
        <w:p w14:paraId="4579DBC5" w14:textId="06F6354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7" w:history="1">
            <w:r w:rsidR="00FF0B24" w:rsidRPr="00022765">
              <w:rPr>
                <w:rStyle w:val="Hyperlink"/>
                <w:noProof/>
              </w:rPr>
              <w:t>E4 Période</w:t>
            </w:r>
            <w:r w:rsidR="00FF0B24">
              <w:rPr>
                <w:noProof/>
                <w:webHidden/>
              </w:rPr>
              <w:tab/>
            </w:r>
            <w:r w:rsidR="00FF0B24">
              <w:rPr>
                <w:noProof/>
                <w:webHidden/>
              </w:rPr>
              <w:fldChar w:fldCharType="begin"/>
            </w:r>
            <w:r w:rsidR="00FF0B24">
              <w:rPr>
                <w:noProof/>
                <w:webHidden/>
              </w:rPr>
              <w:instrText xml:space="preserve"> PAGEREF _Toc144360797 \h </w:instrText>
            </w:r>
            <w:r w:rsidR="00FF0B24">
              <w:rPr>
                <w:noProof/>
                <w:webHidden/>
              </w:rPr>
            </w:r>
            <w:r w:rsidR="00FF0B24">
              <w:rPr>
                <w:noProof/>
                <w:webHidden/>
              </w:rPr>
              <w:fldChar w:fldCharType="separate"/>
            </w:r>
            <w:r w:rsidR="00B33E2A">
              <w:rPr>
                <w:noProof/>
                <w:webHidden/>
              </w:rPr>
              <w:t>84</w:t>
            </w:r>
            <w:r w:rsidR="00FF0B24">
              <w:rPr>
                <w:noProof/>
                <w:webHidden/>
              </w:rPr>
              <w:fldChar w:fldCharType="end"/>
            </w:r>
          </w:hyperlink>
        </w:p>
        <w:p w14:paraId="6EF0F4D9" w14:textId="23B7F8D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8" w:history="1">
            <w:r w:rsidR="00FF0B24" w:rsidRPr="00022765">
              <w:rPr>
                <w:rStyle w:val="Hyperlink"/>
                <w:noProof/>
              </w:rPr>
              <w:t>E5 Évènement</w:t>
            </w:r>
            <w:r w:rsidR="00FF0B24">
              <w:rPr>
                <w:noProof/>
                <w:webHidden/>
              </w:rPr>
              <w:tab/>
            </w:r>
            <w:r w:rsidR="00FF0B24">
              <w:rPr>
                <w:noProof/>
                <w:webHidden/>
              </w:rPr>
              <w:fldChar w:fldCharType="begin"/>
            </w:r>
            <w:r w:rsidR="00FF0B24">
              <w:rPr>
                <w:noProof/>
                <w:webHidden/>
              </w:rPr>
              <w:instrText xml:space="preserve"> PAGEREF _Toc144360798 \h </w:instrText>
            </w:r>
            <w:r w:rsidR="00FF0B24">
              <w:rPr>
                <w:noProof/>
                <w:webHidden/>
              </w:rPr>
            </w:r>
            <w:r w:rsidR="00FF0B24">
              <w:rPr>
                <w:noProof/>
                <w:webHidden/>
              </w:rPr>
              <w:fldChar w:fldCharType="separate"/>
            </w:r>
            <w:r w:rsidR="00B33E2A">
              <w:rPr>
                <w:noProof/>
                <w:webHidden/>
              </w:rPr>
              <w:t>87</w:t>
            </w:r>
            <w:r w:rsidR="00FF0B24">
              <w:rPr>
                <w:noProof/>
                <w:webHidden/>
              </w:rPr>
              <w:fldChar w:fldCharType="end"/>
            </w:r>
          </w:hyperlink>
        </w:p>
        <w:p w14:paraId="2CEE1255" w14:textId="7B72AE7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799" w:history="1">
            <w:r w:rsidR="00FF0B24" w:rsidRPr="00022765">
              <w:rPr>
                <w:rStyle w:val="Hyperlink"/>
                <w:noProof/>
              </w:rPr>
              <w:t>E6 Destruction</w:t>
            </w:r>
            <w:r w:rsidR="00FF0B24">
              <w:rPr>
                <w:noProof/>
                <w:webHidden/>
              </w:rPr>
              <w:tab/>
            </w:r>
            <w:r w:rsidR="00FF0B24">
              <w:rPr>
                <w:noProof/>
                <w:webHidden/>
              </w:rPr>
              <w:fldChar w:fldCharType="begin"/>
            </w:r>
            <w:r w:rsidR="00FF0B24">
              <w:rPr>
                <w:noProof/>
                <w:webHidden/>
              </w:rPr>
              <w:instrText xml:space="preserve"> PAGEREF _Toc144360799 \h </w:instrText>
            </w:r>
            <w:r w:rsidR="00FF0B24">
              <w:rPr>
                <w:noProof/>
                <w:webHidden/>
              </w:rPr>
            </w:r>
            <w:r w:rsidR="00FF0B24">
              <w:rPr>
                <w:noProof/>
                <w:webHidden/>
              </w:rPr>
              <w:fldChar w:fldCharType="separate"/>
            </w:r>
            <w:r w:rsidR="00B33E2A">
              <w:rPr>
                <w:noProof/>
                <w:webHidden/>
              </w:rPr>
              <w:t>89</w:t>
            </w:r>
            <w:r w:rsidR="00FF0B24">
              <w:rPr>
                <w:noProof/>
                <w:webHidden/>
              </w:rPr>
              <w:fldChar w:fldCharType="end"/>
            </w:r>
          </w:hyperlink>
        </w:p>
        <w:p w14:paraId="44421721" w14:textId="184C3EF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0" w:history="1">
            <w:r w:rsidR="00FF0B24" w:rsidRPr="00022765">
              <w:rPr>
                <w:rStyle w:val="Hyperlink"/>
                <w:noProof/>
              </w:rPr>
              <w:t>E7 Activité</w:t>
            </w:r>
            <w:r w:rsidR="00FF0B24">
              <w:rPr>
                <w:noProof/>
                <w:webHidden/>
              </w:rPr>
              <w:tab/>
            </w:r>
            <w:r w:rsidR="00FF0B24">
              <w:rPr>
                <w:noProof/>
                <w:webHidden/>
              </w:rPr>
              <w:fldChar w:fldCharType="begin"/>
            </w:r>
            <w:r w:rsidR="00FF0B24">
              <w:rPr>
                <w:noProof/>
                <w:webHidden/>
              </w:rPr>
              <w:instrText xml:space="preserve"> PAGEREF _Toc144360800 \h </w:instrText>
            </w:r>
            <w:r w:rsidR="00FF0B24">
              <w:rPr>
                <w:noProof/>
                <w:webHidden/>
              </w:rPr>
            </w:r>
            <w:r w:rsidR="00FF0B24">
              <w:rPr>
                <w:noProof/>
                <w:webHidden/>
              </w:rPr>
              <w:fldChar w:fldCharType="separate"/>
            </w:r>
            <w:r w:rsidR="00B33E2A">
              <w:rPr>
                <w:noProof/>
                <w:webHidden/>
              </w:rPr>
              <w:t>90</w:t>
            </w:r>
            <w:r w:rsidR="00FF0B24">
              <w:rPr>
                <w:noProof/>
                <w:webHidden/>
              </w:rPr>
              <w:fldChar w:fldCharType="end"/>
            </w:r>
          </w:hyperlink>
        </w:p>
        <w:p w14:paraId="367E1512" w14:textId="1F1EE24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1" w:history="1">
            <w:r w:rsidR="00FF0B24" w:rsidRPr="00022765">
              <w:rPr>
                <w:rStyle w:val="Hyperlink"/>
                <w:noProof/>
              </w:rPr>
              <w:t>E8 Acquisition</w:t>
            </w:r>
            <w:r w:rsidR="00FF0B24">
              <w:rPr>
                <w:noProof/>
                <w:webHidden/>
              </w:rPr>
              <w:tab/>
            </w:r>
            <w:r w:rsidR="00FF0B24">
              <w:rPr>
                <w:noProof/>
                <w:webHidden/>
              </w:rPr>
              <w:fldChar w:fldCharType="begin"/>
            </w:r>
            <w:r w:rsidR="00FF0B24">
              <w:rPr>
                <w:noProof/>
                <w:webHidden/>
              </w:rPr>
              <w:instrText xml:space="preserve"> PAGEREF _Toc144360801 \h </w:instrText>
            </w:r>
            <w:r w:rsidR="00FF0B24">
              <w:rPr>
                <w:noProof/>
                <w:webHidden/>
              </w:rPr>
            </w:r>
            <w:r w:rsidR="00FF0B24">
              <w:rPr>
                <w:noProof/>
                <w:webHidden/>
              </w:rPr>
              <w:fldChar w:fldCharType="separate"/>
            </w:r>
            <w:r w:rsidR="00B33E2A">
              <w:rPr>
                <w:noProof/>
                <w:webHidden/>
              </w:rPr>
              <w:t>91</w:t>
            </w:r>
            <w:r w:rsidR="00FF0B24">
              <w:rPr>
                <w:noProof/>
                <w:webHidden/>
              </w:rPr>
              <w:fldChar w:fldCharType="end"/>
            </w:r>
          </w:hyperlink>
        </w:p>
        <w:p w14:paraId="1DFB2357" w14:textId="2C907ED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2" w:history="1">
            <w:r w:rsidR="00FF0B24" w:rsidRPr="00022765">
              <w:rPr>
                <w:rStyle w:val="Hyperlink"/>
                <w:noProof/>
              </w:rPr>
              <w:t>E9 Déplacement</w:t>
            </w:r>
            <w:r w:rsidR="00FF0B24">
              <w:rPr>
                <w:noProof/>
                <w:webHidden/>
              </w:rPr>
              <w:tab/>
            </w:r>
            <w:r w:rsidR="00FF0B24">
              <w:rPr>
                <w:noProof/>
                <w:webHidden/>
              </w:rPr>
              <w:fldChar w:fldCharType="begin"/>
            </w:r>
            <w:r w:rsidR="00FF0B24">
              <w:rPr>
                <w:noProof/>
                <w:webHidden/>
              </w:rPr>
              <w:instrText xml:space="preserve"> PAGEREF _Toc144360802 \h </w:instrText>
            </w:r>
            <w:r w:rsidR="00FF0B24">
              <w:rPr>
                <w:noProof/>
                <w:webHidden/>
              </w:rPr>
            </w:r>
            <w:r w:rsidR="00FF0B24">
              <w:rPr>
                <w:noProof/>
                <w:webHidden/>
              </w:rPr>
              <w:fldChar w:fldCharType="separate"/>
            </w:r>
            <w:r w:rsidR="00B33E2A">
              <w:rPr>
                <w:noProof/>
                <w:webHidden/>
              </w:rPr>
              <w:t>93</w:t>
            </w:r>
            <w:r w:rsidR="00FF0B24">
              <w:rPr>
                <w:noProof/>
                <w:webHidden/>
              </w:rPr>
              <w:fldChar w:fldCharType="end"/>
            </w:r>
          </w:hyperlink>
        </w:p>
        <w:p w14:paraId="4687853D" w14:textId="6FB91A4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3" w:history="1">
            <w:r w:rsidR="00FF0B24" w:rsidRPr="00022765">
              <w:rPr>
                <w:rStyle w:val="Hyperlink"/>
                <w:noProof/>
              </w:rPr>
              <w:t>E10 Transfert de la garde</w:t>
            </w:r>
            <w:r w:rsidR="00FF0B24">
              <w:rPr>
                <w:noProof/>
                <w:webHidden/>
              </w:rPr>
              <w:tab/>
            </w:r>
            <w:r w:rsidR="00FF0B24">
              <w:rPr>
                <w:noProof/>
                <w:webHidden/>
              </w:rPr>
              <w:fldChar w:fldCharType="begin"/>
            </w:r>
            <w:r w:rsidR="00FF0B24">
              <w:rPr>
                <w:noProof/>
                <w:webHidden/>
              </w:rPr>
              <w:instrText xml:space="preserve"> PAGEREF _Toc144360803 \h </w:instrText>
            </w:r>
            <w:r w:rsidR="00FF0B24">
              <w:rPr>
                <w:noProof/>
                <w:webHidden/>
              </w:rPr>
            </w:r>
            <w:r w:rsidR="00FF0B24">
              <w:rPr>
                <w:noProof/>
                <w:webHidden/>
              </w:rPr>
              <w:fldChar w:fldCharType="separate"/>
            </w:r>
            <w:r w:rsidR="00B33E2A">
              <w:rPr>
                <w:noProof/>
                <w:webHidden/>
              </w:rPr>
              <w:t>93</w:t>
            </w:r>
            <w:r w:rsidR="00FF0B24">
              <w:rPr>
                <w:noProof/>
                <w:webHidden/>
              </w:rPr>
              <w:fldChar w:fldCharType="end"/>
            </w:r>
          </w:hyperlink>
        </w:p>
        <w:p w14:paraId="580F5DAF" w14:textId="34B4B7C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4" w:history="1">
            <w:r w:rsidR="00FF0B24" w:rsidRPr="00022765">
              <w:rPr>
                <w:rStyle w:val="Hyperlink"/>
                <w:noProof/>
              </w:rPr>
              <w:t>E11 Modification</w:t>
            </w:r>
            <w:r w:rsidR="00FF0B24">
              <w:rPr>
                <w:noProof/>
                <w:webHidden/>
              </w:rPr>
              <w:tab/>
            </w:r>
            <w:r w:rsidR="00FF0B24">
              <w:rPr>
                <w:noProof/>
                <w:webHidden/>
              </w:rPr>
              <w:fldChar w:fldCharType="begin"/>
            </w:r>
            <w:r w:rsidR="00FF0B24">
              <w:rPr>
                <w:noProof/>
                <w:webHidden/>
              </w:rPr>
              <w:instrText xml:space="preserve"> PAGEREF _Toc144360804 \h </w:instrText>
            </w:r>
            <w:r w:rsidR="00FF0B24">
              <w:rPr>
                <w:noProof/>
                <w:webHidden/>
              </w:rPr>
            </w:r>
            <w:r w:rsidR="00FF0B24">
              <w:rPr>
                <w:noProof/>
                <w:webHidden/>
              </w:rPr>
              <w:fldChar w:fldCharType="separate"/>
            </w:r>
            <w:r w:rsidR="00B33E2A">
              <w:rPr>
                <w:noProof/>
                <w:webHidden/>
              </w:rPr>
              <w:t>95</w:t>
            </w:r>
            <w:r w:rsidR="00FF0B24">
              <w:rPr>
                <w:noProof/>
                <w:webHidden/>
              </w:rPr>
              <w:fldChar w:fldCharType="end"/>
            </w:r>
          </w:hyperlink>
        </w:p>
        <w:p w14:paraId="6089EB53" w14:textId="0424709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5" w:history="1">
            <w:r w:rsidR="00FF0B24" w:rsidRPr="00022765">
              <w:rPr>
                <w:rStyle w:val="Hyperlink"/>
                <w:noProof/>
              </w:rPr>
              <w:t>E12 Production</w:t>
            </w:r>
            <w:r w:rsidR="00FF0B24">
              <w:rPr>
                <w:noProof/>
                <w:webHidden/>
              </w:rPr>
              <w:tab/>
            </w:r>
            <w:r w:rsidR="00FF0B24">
              <w:rPr>
                <w:noProof/>
                <w:webHidden/>
              </w:rPr>
              <w:fldChar w:fldCharType="begin"/>
            </w:r>
            <w:r w:rsidR="00FF0B24">
              <w:rPr>
                <w:noProof/>
                <w:webHidden/>
              </w:rPr>
              <w:instrText xml:space="preserve"> PAGEREF _Toc144360805 \h </w:instrText>
            </w:r>
            <w:r w:rsidR="00FF0B24">
              <w:rPr>
                <w:noProof/>
                <w:webHidden/>
              </w:rPr>
            </w:r>
            <w:r w:rsidR="00FF0B24">
              <w:rPr>
                <w:noProof/>
                <w:webHidden/>
              </w:rPr>
              <w:fldChar w:fldCharType="separate"/>
            </w:r>
            <w:r w:rsidR="00B33E2A">
              <w:rPr>
                <w:noProof/>
                <w:webHidden/>
              </w:rPr>
              <w:t>96</w:t>
            </w:r>
            <w:r w:rsidR="00FF0B24">
              <w:rPr>
                <w:noProof/>
                <w:webHidden/>
              </w:rPr>
              <w:fldChar w:fldCharType="end"/>
            </w:r>
          </w:hyperlink>
        </w:p>
        <w:p w14:paraId="2615A672" w14:textId="79C20C2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6" w:history="1">
            <w:r w:rsidR="00FF0B24" w:rsidRPr="00022765">
              <w:rPr>
                <w:rStyle w:val="Hyperlink"/>
                <w:noProof/>
              </w:rPr>
              <w:t>E13 Assignation d’attribut</w:t>
            </w:r>
            <w:r w:rsidR="00FF0B24">
              <w:rPr>
                <w:noProof/>
                <w:webHidden/>
              </w:rPr>
              <w:tab/>
            </w:r>
            <w:r w:rsidR="00FF0B24">
              <w:rPr>
                <w:noProof/>
                <w:webHidden/>
              </w:rPr>
              <w:fldChar w:fldCharType="begin"/>
            </w:r>
            <w:r w:rsidR="00FF0B24">
              <w:rPr>
                <w:noProof/>
                <w:webHidden/>
              </w:rPr>
              <w:instrText xml:space="preserve"> PAGEREF _Toc144360806 \h </w:instrText>
            </w:r>
            <w:r w:rsidR="00FF0B24">
              <w:rPr>
                <w:noProof/>
                <w:webHidden/>
              </w:rPr>
            </w:r>
            <w:r w:rsidR="00FF0B24">
              <w:rPr>
                <w:noProof/>
                <w:webHidden/>
              </w:rPr>
              <w:fldChar w:fldCharType="separate"/>
            </w:r>
            <w:r w:rsidR="00B33E2A">
              <w:rPr>
                <w:noProof/>
                <w:webHidden/>
              </w:rPr>
              <w:t>97</w:t>
            </w:r>
            <w:r w:rsidR="00FF0B24">
              <w:rPr>
                <w:noProof/>
                <w:webHidden/>
              </w:rPr>
              <w:fldChar w:fldCharType="end"/>
            </w:r>
          </w:hyperlink>
        </w:p>
        <w:p w14:paraId="279F2E58" w14:textId="7C4F151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7" w:history="1">
            <w:r w:rsidR="00FF0B24" w:rsidRPr="00022765">
              <w:rPr>
                <w:rStyle w:val="Hyperlink"/>
                <w:noProof/>
              </w:rPr>
              <w:t>E14 Évaluation d’état matériel</w:t>
            </w:r>
            <w:r w:rsidR="00FF0B24">
              <w:rPr>
                <w:noProof/>
                <w:webHidden/>
              </w:rPr>
              <w:tab/>
            </w:r>
            <w:r w:rsidR="00FF0B24">
              <w:rPr>
                <w:noProof/>
                <w:webHidden/>
              </w:rPr>
              <w:fldChar w:fldCharType="begin"/>
            </w:r>
            <w:r w:rsidR="00FF0B24">
              <w:rPr>
                <w:noProof/>
                <w:webHidden/>
              </w:rPr>
              <w:instrText xml:space="preserve"> PAGEREF _Toc144360807 \h </w:instrText>
            </w:r>
            <w:r w:rsidR="00FF0B24">
              <w:rPr>
                <w:noProof/>
                <w:webHidden/>
              </w:rPr>
            </w:r>
            <w:r w:rsidR="00FF0B24">
              <w:rPr>
                <w:noProof/>
                <w:webHidden/>
              </w:rPr>
              <w:fldChar w:fldCharType="separate"/>
            </w:r>
            <w:r w:rsidR="00B33E2A">
              <w:rPr>
                <w:noProof/>
                <w:webHidden/>
              </w:rPr>
              <w:t>99</w:t>
            </w:r>
            <w:r w:rsidR="00FF0B24">
              <w:rPr>
                <w:noProof/>
                <w:webHidden/>
              </w:rPr>
              <w:fldChar w:fldCharType="end"/>
            </w:r>
          </w:hyperlink>
        </w:p>
        <w:p w14:paraId="20C1B206" w14:textId="70E6580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8" w:history="1">
            <w:r w:rsidR="00FF0B24" w:rsidRPr="00022765">
              <w:rPr>
                <w:rStyle w:val="Hyperlink"/>
                <w:noProof/>
              </w:rPr>
              <w:t>E15 Assignation d’identifiant</w:t>
            </w:r>
            <w:r w:rsidR="00FF0B24">
              <w:rPr>
                <w:noProof/>
                <w:webHidden/>
              </w:rPr>
              <w:tab/>
            </w:r>
            <w:r w:rsidR="00FF0B24">
              <w:rPr>
                <w:noProof/>
                <w:webHidden/>
              </w:rPr>
              <w:fldChar w:fldCharType="begin"/>
            </w:r>
            <w:r w:rsidR="00FF0B24">
              <w:rPr>
                <w:noProof/>
                <w:webHidden/>
              </w:rPr>
              <w:instrText xml:space="preserve"> PAGEREF _Toc144360808 \h </w:instrText>
            </w:r>
            <w:r w:rsidR="00FF0B24">
              <w:rPr>
                <w:noProof/>
                <w:webHidden/>
              </w:rPr>
            </w:r>
            <w:r w:rsidR="00FF0B24">
              <w:rPr>
                <w:noProof/>
                <w:webHidden/>
              </w:rPr>
              <w:fldChar w:fldCharType="separate"/>
            </w:r>
            <w:r w:rsidR="00B33E2A">
              <w:rPr>
                <w:noProof/>
                <w:webHidden/>
              </w:rPr>
              <w:t>100</w:t>
            </w:r>
            <w:r w:rsidR="00FF0B24">
              <w:rPr>
                <w:noProof/>
                <w:webHidden/>
              </w:rPr>
              <w:fldChar w:fldCharType="end"/>
            </w:r>
          </w:hyperlink>
        </w:p>
        <w:p w14:paraId="41D751AB" w14:textId="688A384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09" w:history="1">
            <w:r w:rsidR="00FF0B24" w:rsidRPr="00022765">
              <w:rPr>
                <w:rStyle w:val="Hyperlink"/>
                <w:noProof/>
              </w:rPr>
              <w:t>E16 Mesurage</w:t>
            </w:r>
            <w:r w:rsidR="00FF0B24">
              <w:rPr>
                <w:noProof/>
                <w:webHidden/>
              </w:rPr>
              <w:tab/>
            </w:r>
            <w:r w:rsidR="00FF0B24">
              <w:rPr>
                <w:noProof/>
                <w:webHidden/>
              </w:rPr>
              <w:fldChar w:fldCharType="begin"/>
            </w:r>
            <w:r w:rsidR="00FF0B24">
              <w:rPr>
                <w:noProof/>
                <w:webHidden/>
              </w:rPr>
              <w:instrText xml:space="preserve"> PAGEREF _Toc144360809 \h </w:instrText>
            </w:r>
            <w:r w:rsidR="00FF0B24">
              <w:rPr>
                <w:noProof/>
                <w:webHidden/>
              </w:rPr>
            </w:r>
            <w:r w:rsidR="00FF0B24">
              <w:rPr>
                <w:noProof/>
                <w:webHidden/>
              </w:rPr>
              <w:fldChar w:fldCharType="separate"/>
            </w:r>
            <w:r w:rsidR="00B33E2A">
              <w:rPr>
                <w:noProof/>
                <w:webHidden/>
              </w:rPr>
              <w:t>101</w:t>
            </w:r>
            <w:r w:rsidR="00FF0B24">
              <w:rPr>
                <w:noProof/>
                <w:webHidden/>
              </w:rPr>
              <w:fldChar w:fldCharType="end"/>
            </w:r>
          </w:hyperlink>
        </w:p>
        <w:p w14:paraId="7C64DD84" w14:textId="494138F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0" w:history="1">
            <w:r w:rsidR="00FF0B24" w:rsidRPr="00022765">
              <w:rPr>
                <w:rStyle w:val="Hyperlink"/>
                <w:noProof/>
              </w:rPr>
              <w:t>E17 Assignation de type</w:t>
            </w:r>
            <w:r w:rsidR="00FF0B24">
              <w:rPr>
                <w:noProof/>
                <w:webHidden/>
              </w:rPr>
              <w:tab/>
            </w:r>
            <w:r w:rsidR="00FF0B24">
              <w:rPr>
                <w:noProof/>
                <w:webHidden/>
              </w:rPr>
              <w:fldChar w:fldCharType="begin"/>
            </w:r>
            <w:r w:rsidR="00FF0B24">
              <w:rPr>
                <w:noProof/>
                <w:webHidden/>
              </w:rPr>
              <w:instrText xml:space="preserve"> PAGEREF _Toc144360810 \h </w:instrText>
            </w:r>
            <w:r w:rsidR="00FF0B24">
              <w:rPr>
                <w:noProof/>
                <w:webHidden/>
              </w:rPr>
            </w:r>
            <w:r w:rsidR="00FF0B24">
              <w:rPr>
                <w:noProof/>
                <w:webHidden/>
              </w:rPr>
              <w:fldChar w:fldCharType="separate"/>
            </w:r>
            <w:r w:rsidR="00B33E2A">
              <w:rPr>
                <w:noProof/>
                <w:webHidden/>
              </w:rPr>
              <w:t>102</w:t>
            </w:r>
            <w:r w:rsidR="00FF0B24">
              <w:rPr>
                <w:noProof/>
                <w:webHidden/>
              </w:rPr>
              <w:fldChar w:fldCharType="end"/>
            </w:r>
          </w:hyperlink>
        </w:p>
        <w:p w14:paraId="44930D56" w14:textId="6F20ADC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1" w:history="1">
            <w:r w:rsidR="00FF0B24" w:rsidRPr="00022765">
              <w:rPr>
                <w:rStyle w:val="Hyperlink"/>
                <w:noProof/>
              </w:rPr>
              <w:t>E18 Chose matérielle</w:t>
            </w:r>
            <w:r w:rsidR="00FF0B24">
              <w:rPr>
                <w:noProof/>
                <w:webHidden/>
              </w:rPr>
              <w:tab/>
            </w:r>
            <w:r w:rsidR="00FF0B24">
              <w:rPr>
                <w:noProof/>
                <w:webHidden/>
              </w:rPr>
              <w:fldChar w:fldCharType="begin"/>
            </w:r>
            <w:r w:rsidR="00FF0B24">
              <w:rPr>
                <w:noProof/>
                <w:webHidden/>
              </w:rPr>
              <w:instrText xml:space="preserve"> PAGEREF _Toc144360811 \h </w:instrText>
            </w:r>
            <w:r w:rsidR="00FF0B24">
              <w:rPr>
                <w:noProof/>
                <w:webHidden/>
              </w:rPr>
            </w:r>
            <w:r w:rsidR="00FF0B24">
              <w:rPr>
                <w:noProof/>
                <w:webHidden/>
              </w:rPr>
              <w:fldChar w:fldCharType="separate"/>
            </w:r>
            <w:r w:rsidR="00B33E2A">
              <w:rPr>
                <w:noProof/>
                <w:webHidden/>
              </w:rPr>
              <w:t>103</w:t>
            </w:r>
            <w:r w:rsidR="00FF0B24">
              <w:rPr>
                <w:noProof/>
                <w:webHidden/>
              </w:rPr>
              <w:fldChar w:fldCharType="end"/>
            </w:r>
          </w:hyperlink>
        </w:p>
        <w:p w14:paraId="587363CC" w14:textId="1EF1747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2" w:history="1">
            <w:r w:rsidR="00FF0B24" w:rsidRPr="00022765">
              <w:rPr>
                <w:rStyle w:val="Hyperlink"/>
                <w:noProof/>
              </w:rPr>
              <w:t>E19 Objet matériel</w:t>
            </w:r>
            <w:r w:rsidR="00FF0B24">
              <w:rPr>
                <w:noProof/>
                <w:webHidden/>
              </w:rPr>
              <w:tab/>
            </w:r>
            <w:r w:rsidR="00FF0B24">
              <w:rPr>
                <w:noProof/>
                <w:webHidden/>
              </w:rPr>
              <w:fldChar w:fldCharType="begin"/>
            </w:r>
            <w:r w:rsidR="00FF0B24">
              <w:rPr>
                <w:noProof/>
                <w:webHidden/>
              </w:rPr>
              <w:instrText xml:space="preserve"> PAGEREF _Toc144360812 \h </w:instrText>
            </w:r>
            <w:r w:rsidR="00FF0B24">
              <w:rPr>
                <w:noProof/>
                <w:webHidden/>
              </w:rPr>
            </w:r>
            <w:r w:rsidR="00FF0B24">
              <w:rPr>
                <w:noProof/>
                <w:webHidden/>
              </w:rPr>
              <w:fldChar w:fldCharType="separate"/>
            </w:r>
            <w:r w:rsidR="00B33E2A">
              <w:rPr>
                <w:noProof/>
                <w:webHidden/>
              </w:rPr>
              <w:t>105</w:t>
            </w:r>
            <w:r w:rsidR="00FF0B24">
              <w:rPr>
                <w:noProof/>
                <w:webHidden/>
              </w:rPr>
              <w:fldChar w:fldCharType="end"/>
            </w:r>
          </w:hyperlink>
        </w:p>
        <w:p w14:paraId="5DC874DB" w14:textId="41DCA74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3" w:history="1">
            <w:r w:rsidR="00FF0B24" w:rsidRPr="00022765">
              <w:rPr>
                <w:rStyle w:val="Hyperlink"/>
                <w:noProof/>
              </w:rPr>
              <w:t>E20 Objet biologique</w:t>
            </w:r>
            <w:r w:rsidR="00FF0B24">
              <w:rPr>
                <w:noProof/>
                <w:webHidden/>
              </w:rPr>
              <w:tab/>
            </w:r>
            <w:r w:rsidR="00FF0B24">
              <w:rPr>
                <w:noProof/>
                <w:webHidden/>
              </w:rPr>
              <w:fldChar w:fldCharType="begin"/>
            </w:r>
            <w:r w:rsidR="00FF0B24">
              <w:rPr>
                <w:noProof/>
                <w:webHidden/>
              </w:rPr>
              <w:instrText xml:space="preserve"> PAGEREF _Toc144360813 \h </w:instrText>
            </w:r>
            <w:r w:rsidR="00FF0B24">
              <w:rPr>
                <w:noProof/>
                <w:webHidden/>
              </w:rPr>
            </w:r>
            <w:r w:rsidR="00FF0B24">
              <w:rPr>
                <w:noProof/>
                <w:webHidden/>
              </w:rPr>
              <w:fldChar w:fldCharType="separate"/>
            </w:r>
            <w:r w:rsidR="00B33E2A">
              <w:rPr>
                <w:noProof/>
                <w:webHidden/>
              </w:rPr>
              <w:t>106</w:t>
            </w:r>
            <w:r w:rsidR="00FF0B24">
              <w:rPr>
                <w:noProof/>
                <w:webHidden/>
              </w:rPr>
              <w:fldChar w:fldCharType="end"/>
            </w:r>
          </w:hyperlink>
        </w:p>
        <w:p w14:paraId="6E37D70A" w14:textId="381BAD5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4" w:history="1">
            <w:r w:rsidR="00FF0B24" w:rsidRPr="00022765">
              <w:rPr>
                <w:rStyle w:val="Hyperlink"/>
                <w:noProof/>
              </w:rPr>
              <w:t>E21 Personne</w:t>
            </w:r>
            <w:r w:rsidR="00FF0B24">
              <w:rPr>
                <w:noProof/>
                <w:webHidden/>
              </w:rPr>
              <w:tab/>
            </w:r>
            <w:r w:rsidR="00FF0B24">
              <w:rPr>
                <w:noProof/>
                <w:webHidden/>
              </w:rPr>
              <w:fldChar w:fldCharType="begin"/>
            </w:r>
            <w:r w:rsidR="00FF0B24">
              <w:rPr>
                <w:noProof/>
                <w:webHidden/>
              </w:rPr>
              <w:instrText xml:space="preserve"> PAGEREF _Toc144360814 \h </w:instrText>
            </w:r>
            <w:r w:rsidR="00FF0B24">
              <w:rPr>
                <w:noProof/>
                <w:webHidden/>
              </w:rPr>
            </w:r>
            <w:r w:rsidR="00FF0B24">
              <w:rPr>
                <w:noProof/>
                <w:webHidden/>
              </w:rPr>
              <w:fldChar w:fldCharType="separate"/>
            </w:r>
            <w:r w:rsidR="00B33E2A">
              <w:rPr>
                <w:noProof/>
                <w:webHidden/>
              </w:rPr>
              <w:t>106</w:t>
            </w:r>
            <w:r w:rsidR="00FF0B24">
              <w:rPr>
                <w:noProof/>
                <w:webHidden/>
              </w:rPr>
              <w:fldChar w:fldCharType="end"/>
            </w:r>
          </w:hyperlink>
        </w:p>
        <w:p w14:paraId="6F418088" w14:textId="527031E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5" w:history="1">
            <w:r w:rsidR="00FF0B24" w:rsidRPr="00022765">
              <w:rPr>
                <w:rStyle w:val="Hyperlink"/>
                <w:noProof/>
              </w:rPr>
              <w:t>E22 Objet élaboré par l’humain</w:t>
            </w:r>
            <w:r w:rsidR="00FF0B24">
              <w:rPr>
                <w:noProof/>
                <w:webHidden/>
              </w:rPr>
              <w:tab/>
            </w:r>
            <w:r w:rsidR="00FF0B24">
              <w:rPr>
                <w:noProof/>
                <w:webHidden/>
              </w:rPr>
              <w:fldChar w:fldCharType="begin"/>
            </w:r>
            <w:r w:rsidR="00FF0B24">
              <w:rPr>
                <w:noProof/>
                <w:webHidden/>
              </w:rPr>
              <w:instrText xml:space="preserve"> PAGEREF _Toc144360815 \h </w:instrText>
            </w:r>
            <w:r w:rsidR="00FF0B24">
              <w:rPr>
                <w:noProof/>
                <w:webHidden/>
              </w:rPr>
            </w:r>
            <w:r w:rsidR="00FF0B24">
              <w:rPr>
                <w:noProof/>
                <w:webHidden/>
              </w:rPr>
              <w:fldChar w:fldCharType="separate"/>
            </w:r>
            <w:r w:rsidR="00B33E2A">
              <w:rPr>
                <w:noProof/>
                <w:webHidden/>
              </w:rPr>
              <w:t>107</w:t>
            </w:r>
            <w:r w:rsidR="00FF0B24">
              <w:rPr>
                <w:noProof/>
                <w:webHidden/>
              </w:rPr>
              <w:fldChar w:fldCharType="end"/>
            </w:r>
          </w:hyperlink>
        </w:p>
        <w:p w14:paraId="3EECE2CF" w14:textId="0607553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6" w:history="1">
            <w:r w:rsidR="00FF0B24" w:rsidRPr="00022765">
              <w:rPr>
                <w:rStyle w:val="Hyperlink"/>
                <w:noProof/>
              </w:rPr>
              <w:t>E24 Chose matérielle élaborée par l’humain</w:t>
            </w:r>
            <w:r w:rsidR="00FF0B24">
              <w:rPr>
                <w:noProof/>
                <w:webHidden/>
              </w:rPr>
              <w:tab/>
            </w:r>
            <w:r w:rsidR="00FF0B24">
              <w:rPr>
                <w:noProof/>
                <w:webHidden/>
              </w:rPr>
              <w:fldChar w:fldCharType="begin"/>
            </w:r>
            <w:r w:rsidR="00FF0B24">
              <w:rPr>
                <w:noProof/>
                <w:webHidden/>
              </w:rPr>
              <w:instrText xml:space="preserve"> PAGEREF _Toc144360816 \h </w:instrText>
            </w:r>
            <w:r w:rsidR="00FF0B24">
              <w:rPr>
                <w:noProof/>
                <w:webHidden/>
              </w:rPr>
            </w:r>
            <w:r w:rsidR="00FF0B24">
              <w:rPr>
                <w:noProof/>
                <w:webHidden/>
              </w:rPr>
              <w:fldChar w:fldCharType="separate"/>
            </w:r>
            <w:r w:rsidR="00B33E2A">
              <w:rPr>
                <w:noProof/>
                <w:webHidden/>
              </w:rPr>
              <w:t>108</w:t>
            </w:r>
            <w:r w:rsidR="00FF0B24">
              <w:rPr>
                <w:noProof/>
                <w:webHidden/>
              </w:rPr>
              <w:fldChar w:fldCharType="end"/>
            </w:r>
          </w:hyperlink>
        </w:p>
        <w:p w14:paraId="20C5ED5A" w14:textId="0C4D902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7" w:history="1">
            <w:r w:rsidR="00FF0B24" w:rsidRPr="00022765">
              <w:rPr>
                <w:rStyle w:val="Hyperlink"/>
                <w:noProof/>
              </w:rPr>
              <w:t>E25 Caractéristique élaborée par l'humain</w:t>
            </w:r>
            <w:r w:rsidR="00FF0B24">
              <w:rPr>
                <w:noProof/>
                <w:webHidden/>
              </w:rPr>
              <w:tab/>
            </w:r>
            <w:r w:rsidR="00FF0B24">
              <w:rPr>
                <w:noProof/>
                <w:webHidden/>
              </w:rPr>
              <w:fldChar w:fldCharType="begin"/>
            </w:r>
            <w:r w:rsidR="00FF0B24">
              <w:rPr>
                <w:noProof/>
                <w:webHidden/>
              </w:rPr>
              <w:instrText xml:space="preserve"> PAGEREF _Toc144360817 \h </w:instrText>
            </w:r>
            <w:r w:rsidR="00FF0B24">
              <w:rPr>
                <w:noProof/>
                <w:webHidden/>
              </w:rPr>
            </w:r>
            <w:r w:rsidR="00FF0B24">
              <w:rPr>
                <w:noProof/>
                <w:webHidden/>
              </w:rPr>
              <w:fldChar w:fldCharType="separate"/>
            </w:r>
            <w:r w:rsidR="00B33E2A">
              <w:rPr>
                <w:noProof/>
                <w:webHidden/>
              </w:rPr>
              <w:t>109</w:t>
            </w:r>
            <w:r w:rsidR="00FF0B24">
              <w:rPr>
                <w:noProof/>
                <w:webHidden/>
              </w:rPr>
              <w:fldChar w:fldCharType="end"/>
            </w:r>
          </w:hyperlink>
        </w:p>
        <w:p w14:paraId="642F5A7A" w14:textId="67BDB01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8" w:history="1">
            <w:r w:rsidR="00FF0B24" w:rsidRPr="00022765">
              <w:rPr>
                <w:rStyle w:val="Hyperlink"/>
                <w:noProof/>
              </w:rPr>
              <w:t>E26 Caractéristique physique</w:t>
            </w:r>
            <w:r w:rsidR="00FF0B24">
              <w:rPr>
                <w:noProof/>
                <w:webHidden/>
              </w:rPr>
              <w:tab/>
            </w:r>
            <w:r w:rsidR="00FF0B24">
              <w:rPr>
                <w:noProof/>
                <w:webHidden/>
              </w:rPr>
              <w:fldChar w:fldCharType="begin"/>
            </w:r>
            <w:r w:rsidR="00FF0B24">
              <w:rPr>
                <w:noProof/>
                <w:webHidden/>
              </w:rPr>
              <w:instrText xml:space="preserve"> PAGEREF _Toc144360818 \h </w:instrText>
            </w:r>
            <w:r w:rsidR="00FF0B24">
              <w:rPr>
                <w:noProof/>
                <w:webHidden/>
              </w:rPr>
            </w:r>
            <w:r w:rsidR="00FF0B24">
              <w:rPr>
                <w:noProof/>
                <w:webHidden/>
              </w:rPr>
              <w:fldChar w:fldCharType="separate"/>
            </w:r>
            <w:r w:rsidR="00B33E2A">
              <w:rPr>
                <w:noProof/>
                <w:webHidden/>
              </w:rPr>
              <w:t>110</w:t>
            </w:r>
            <w:r w:rsidR="00FF0B24">
              <w:rPr>
                <w:noProof/>
                <w:webHidden/>
              </w:rPr>
              <w:fldChar w:fldCharType="end"/>
            </w:r>
          </w:hyperlink>
        </w:p>
        <w:p w14:paraId="07AEF0C9" w14:textId="5A6C8FD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19" w:history="1">
            <w:r w:rsidR="00FF0B24" w:rsidRPr="00022765">
              <w:rPr>
                <w:rStyle w:val="Hyperlink"/>
                <w:noProof/>
              </w:rPr>
              <w:t>E27 Site</w:t>
            </w:r>
            <w:r w:rsidR="00FF0B24">
              <w:rPr>
                <w:noProof/>
                <w:webHidden/>
              </w:rPr>
              <w:tab/>
            </w:r>
            <w:r w:rsidR="00FF0B24">
              <w:rPr>
                <w:noProof/>
                <w:webHidden/>
              </w:rPr>
              <w:fldChar w:fldCharType="begin"/>
            </w:r>
            <w:r w:rsidR="00FF0B24">
              <w:rPr>
                <w:noProof/>
                <w:webHidden/>
              </w:rPr>
              <w:instrText xml:space="preserve"> PAGEREF _Toc144360819 \h </w:instrText>
            </w:r>
            <w:r w:rsidR="00FF0B24">
              <w:rPr>
                <w:noProof/>
                <w:webHidden/>
              </w:rPr>
            </w:r>
            <w:r w:rsidR="00FF0B24">
              <w:rPr>
                <w:noProof/>
                <w:webHidden/>
              </w:rPr>
              <w:fldChar w:fldCharType="separate"/>
            </w:r>
            <w:r w:rsidR="00B33E2A">
              <w:rPr>
                <w:noProof/>
                <w:webHidden/>
              </w:rPr>
              <w:t>111</w:t>
            </w:r>
            <w:r w:rsidR="00FF0B24">
              <w:rPr>
                <w:noProof/>
                <w:webHidden/>
              </w:rPr>
              <w:fldChar w:fldCharType="end"/>
            </w:r>
          </w:hyperlink>
        </w:p>
        <w:p w14:paraId="5D58092A" w14:textId="2472302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0" w:history="1">
            <w:r w:rsidR="00FF0B24" w:rsidRPr="00022765">
              <w:rPr>
                <w:rStyle w:val="Hyperlink"/>
                <w:noProof/>
              </w:rPr>
              <w:t>E28 Objet conceptuel</w:t>
            </w:r>
            <w:r w:rsidR="00FF0B24">
              <w:rPr>
                <w:noProof/>
                <w:webHidden/>
              </w:rPr>
              <w:tab/>
            </w:r>
            <w:r w:rsidR="00FF0B24">
              <w:rPr>
                <w:noProof/>
                <w:webHidden/>
              </w:rPr>
              <w:fldChar w:fldCharType="begin"/>
            </w:r>
            <w:r w:rsidR="00FF0B24">
              <w:rPr>
                <w:noProof/>
                <w:webHidden/>
              </w:rPr>
              <w:instrText xml:space="preserve"> PAGEREF _Toc144360820 \h </w:instrText>
            </w:r>
            <w:r w:rsidR="00FF0B24">
              <w:rPr>
                <w:noProof/>
                <w:webHidden/>
              </w:rPr>
            </w:r>
            <w:r w:rsidR="00FF0B24">
              <w:rPr>
                <w:noProof/>
                <w:webHidden/>
              </w:rPr>
              <w:fldChar w:fldCharType="separate"/>
            </w:r>
            <w:r w:rsidR="00B33E2A">
              <w:rPr>
                <w:noProof/>
                <w:webHidden/>
              </w:rPr>
              <w:t>112</w:t>
            </w:r>
            <w:r w:rsidR="00FF0B24">
              <w:rPr>
                <w:noProof/>
                <w:webHidden/>
              </w:rPr>
              <w:fldChar w:fldCharType="end"/>
            </w:r>
          </w:hyperlink>
        </w:p>
        <w:p w14:paraId="1564684D" w14:textId="607B464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1" w:history="1">
            <w:r w:rsidR="00FF0B24" w:rsidRPr="00022765">
              <w:rPr>
                <w:rStyle w:val="Hyperlink"/>
                <w:noProof/>
              </w:rPr>
              <w:t>E29 Conceptualisation ou procédure</w:t>
            </w:r>
            <w:r w:rsidR="00FF0B24">
              <w:rPr>
                <w:noProof/>
                <w:webHidden/>
              </w:rPr>
              <w:tab/>
            </w:r>
            <w:r w:rsidR="00FF0B24">
              <w:rPr>
                <w:noProof/>
                <w:webHidden/>
              </w:rPr>
              <w:fldChar w:fldCharType="begin"/>
            </w:r>
            <w:r w:rsidR="00FF0B24">
              <w:rPr>
                <w:noProof/>
                <w:webHidden/>
              </w:rPr>
              <w:instrText xml:space="preserve"> PAGEREF _Toc144360821 \h </w:instrText>
            </w:r>
            <w:r w:rsidR="00FF0B24">
              <w:rPr>
                <w:noProof/>
                <w:webHidden/>
              </w:rPr>
            </w:r>
            <w:r w:rsidR="00FF0B24">
              <w:rPr>
                <w:noProof/>
                <w:webHidden/>
              </w:rPr>
              <w:fldChar w:fldCharType="separate"/>
            </w:r>
            <w:r w:rsidR="00B33E2A">
              <w:rPr>
                <w:noProof/>
                <w:webHidden/>
              </w:rPr>
              <w:t>113</w:t>
            </w:r>
            <w:r w:rsidR="00FF0B24">
              <w:rPr>
                <w:noProof/>
                <w:webHidden/>
              </w:rPr>
              <w:fldChar w:fldCharType="end"/>
            </w:r>
          </w:hyperlink>
        </w:p>
        <w:p w14:paraId="480215DC" w14:textId="7838B2D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2" w:history="1">
            <w:r w:rsidR="00FF0B24" w:rsidRPr="00022765">
              <w:rPr>
                <w:rStyle w:val="Hyperlink"/>
                <w:noProof/>
              </w:rPr>
              <w:t>E30 Droit</w:t>
            </w:r>
            <w:r w:rsidR="00FF0B24">
              <w:rPr>
                <w:noProof/>
                <w:webHidden/>
              </w:rPr>
              <w:tab/>
            </w:r>
            <w:r w:rsidR="00FF0B24">
              <w:rPr>
                <w:noProof/>
                <w:webHidden/>
              </w:rPr>
              <w:fldChar w:fldCharType="begin"/>
            </w:r>
            <w:r w:rsidR="00FF0B24">
              <w:rPr>
                <w:noProof/>
                <w:webHidden/>
              </w:rPr>
              <w:instrText xml:space="preserve"> PAGEREF _Toc144360822 \h </w:instrText>
            </w:r>
            <w:r w:rsidR="00FF0B24">
              <w:rPr>
                <w:noProof/>
                <w:webHidden/>
              </w:rPr>
            </w:r>
            <w:r w:rsidR="00FF0B24">
              <w:rPr>
                <w:noProof/>
                <w:webHidden/>
              </w:rPr>
              <w:fldChar w:fldCharType="separate"/>
            </w:r>
            <w:r w:rsidR="00B33E2A">
              <w:rPr>
                <w:noProof/>
                <w:webHidden/>
              </w:rPr>
              <w:t>114</w:t>
            </w:r>
            <w:r w:rsidR="00FF0B24">
              <w:rPr>
                <w:noProof/>
                <w:webHidden/>
              </w:rPr>
              <w:fldChar w:fldCharType="end"/>
            </w:r>
          </w:hyperlink>
        </w:p>
        <w:p w14:paraId="130D6221" w14:textId="31F6D5E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3" w:history="1">
            <w:r w:rsidR="00FF0B24" w:rsidRPr="00022765">
              <w:rPr>
                <w:rStyle w:val="Hyperlink"/>
                <w:noProof/>
              </w:rPr>
              <w:t>E31 Document</w:t>
            </w:r>
            <w:r w:rsidR="00FF0B24">
              <w:rPr>
                <w:noProof/>
                <w:webHidden/>
              </w:rPr>
              <w:tab/>
            </w:r>
            <w:r w:rsidR="00FF0B24">
              <w:rPr>
                <w:noProof/>
                <w:webHidden/>
              </w:rPr>
              <w:fldChar w:fldCharType="begin"/>
            </w:r>
            <w:r w:rsidR="00FF0B24">
              <w:rPr>
                <w:noProof/>
                <w:webHidden/>
              </w:rPr>
              <w:instrText xml:space="preserve"> PAGEREF _Toc144360823 \h </w:instrText>
            </w:r>
            <w:r w:rsidR="00FF0B24">
              <w:rPr>
                <w:noProof/>
                <w:webHidden/>
              </w:rPr>
            </w:r>
            <w:r w:rsidR="00FF0B24">
              <w:rPr>
                <w:noProof/>
                <w:webHidden/>
              </w:rPr>
              <w:fldChar w:fldCharType="separate"/>
            </w:r>
            <w:r w:rsidR="00B33E2A">
              <w:rPr>
                <w:noProof/>
                <w:webHidden/>
              </w:rPr>
              <w:t>114</w:t>
            </w:r>
            <w:r w:rsidR="00FF0B24">
              <w:rPr>
                <w:noProof/>
                <w:webHidden/>
              </w:rPr>
              <w:fldChar w:fldCharType="end"/>
            </w:r>
          </w:hyperlink>
        </w:p>
        <w:p w14:paraId="037A513A" w14:textId="4382A1E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4" w:history="1">
            <w:r w:rsidR="00FF0B24" w:rsidRPr="00022765">
              <w:rPr>
                <w:rStyle w:val="Hyperlink"/>
                <w:noProof/>
              </w:rPr>
              <w:t>E32 Document de référence</w:t>
            </w:r>
            <w:r w:rsidR="00FF0B24">
              <w:rPr>
                <w:noProof/>
                <w:webHidden/>
              </w:rPr>
              <w:tab/>
            </w:r>
            <w:r w:rsidR="00FF0B24">
              <w:rPr>
                <w:noProof/>
                <w:webHidden/>
              </w:rPr>
              <w:fldChar w:fldCharType="begin"/>
            </w:r>
            <w:r w:rsidR="00FF0B24">
              <w:rPr>
                <w:noProof/>
                <w:webHidden/>
              </w:rPr>
              <w:instrText xml:space="preserve"> PAGEREF _Toc144360824 \h </w:instrText>
            </w:r>
            <w:r w:rsidR="00FF0B24">
              <w:rPr>
                <w:noProof/>
                <w:webHidden/>
              </w:rPr>
            </w:r>
            <w:r w:rsidR="00FF0B24">
              <w:rPr>
                <w:noProof/>
                <w:webHidden/>
              </w:rPr>
              <w:fldChar w:fldCharType="separate"/>
            </w:r>
            <w:r w:rsidR="00B33E2A">
              <w:rPr>
                <w:noProof/>
                <w:webHidden/>
              </w:rPr>
              <w:t>115</w:t>
            </w:r>
            <w:r w:rsidR="00FF0B24">
              <w:rPr>
                <w:noProof/>
                <w:webHidden/>
              </w:rPr>
              <w:fldChar w:fldCharType="end"/>
            </w:r>
          </w:hyperlink>
        </w:p>
        <w:p w14:paraId="068ACB42" w14:textId="77AD622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5" w:history="1">
            <w:r w:rsidR="00FF0B24" w:rsidRPr="00022765">
              <w:rPr>
                <w:rStyle w:val="Hyperlink"/>
                <w:noProof/>
              </w:rPr>
              <w:t>E33 Objet linguistique</w:t>
            </w:r>
            <w:r w:rsidR="00FF0B24">
              <w:rPr>
                <w:noProof/>
                <w:webHidden/>
              </w:rPr>
              <w:tab/>
            </w:r>
            <w:r w:rsidR="00FF0B24">
              <w:rPr>
                <w:noProof/>
                <w:webHidden/>
              </w:rPr>
              <w:fldChar w:fldCharType="begin"/>
            </w:r>
            <w:r w:rsidR="00FF0B24">
              <w:rPr>
                <w:noProof/>
                <w:webHidden/>
              </w:rPr>
              <w:instrText xml:space="preserve"> PAGEREF _Toc144360825 \h </w:instrText>
            </w:r>
            <w:r w:rsidR="00FF0B24">
              <w:rPr>
                <w:noProof/>
                <w:webHidden/>
              </w:rPr>
            </w:r>
            <w:r w:rsidR="00FF0B24">
              <w:rPr>
                <w:noProof/>
                <w:webHidden/>
              </w:rPr>
              <w:fldChar w:fldCharType="separate"/>
            </w:r>
            <w:r w:rsidR="00B33E2A">
              <w:rPr>
                <w:noProof/>
                <w:webHidden/>
              </w:rPr>
              <w:t>116</w:t>
            </w:r>
            <w:r w:rsidR="00FF0B24">
              <w:rPr>
                <w:noProof/>
                <w:webHidden/>
              </w:rPr>
              <w:fldChar w:fldCharType="end"/>
            </w:r>
          </w:hyperlink>
        </w:p>
        <w:p w14:paraId="15A44466" w14:textId="64A4D2D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6" w:history="1">
            <w:r w:rsidR="00FF0B24" w:rsidRPr="00022765">
              <w:rPr>
                <w:rStyle w:val="Hyperlink"/>
                <w:noProof/>
              </w:rPr>
              <w:t>E34 Inscription</w:t>
            </w:r>
            <w:r w:rsidR="00FF0B24">
              <w:rPr>
                <w:noProof/>
                <w:webHidden/>
              </w:rPr>
              <w:tab/>
            </w:r>
            <w:r w:rsidR="00FF0B24">
              <w:rPr>
                <w:noProof/>
                <w:webHidden/>
              </w:rPr>
              <w:fldChar w:fldCharType="begin"/>
            </w:r>
            <w:r w:rsidR="00FF0B24">
              <w:rPr>
                <w:noProof/>
                <w:webHidden/>
              </w:rPr>
              <w:instrText xml:space="preserve"> PAGEREF _Toc144360826 \h </w:instrText>
            </w:r>
            <w:r w:rsidR="00FF0B24">
              <w:rPr>
                <w:noProof/>
                <w:webHidden/>
              </w:rPr>
            </w:r>
            <w:r w:rsidR="00FF0B24">
              <w:rPr>
                <w:noProof/>
                <w:webHidden/>
              </w:rPr>
              <w:fldChar w:fldCharType="separate"/>
            </w:r>
            <w:r w:rsidR="00B33E2A">
              <w:rPr>
                <w:noProof/>
                <w:webHidden/>
              </w:rPr>
              <w:t>117</w:t>
            </w:r>
            <w:r w:rsidR="00FF0B24">
              <w:rPr>
                <w:noProof/>
                <w:webHidden/>
              </w:rPr>
              <w:fldChar w:fldCharType="end"/>
            </w:r>
          </w:hyperlink>
        </w:p>
        <w:p w14:paraId="59E0B0FB" w14:textId="209CE8D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7" w:history="1">
            <w:r w:rsidR="00FF0B24" w:rsidRPr="00022765">
              <w:rPr>
                <w:rStyle w:val="Hyperlink"/>
                <w:noProof/>
              </w:rPr>
              <w:t>E35 Titre</w:t>
            </w:r>
            <w:r w:rsidR="00FF0B24">
              <w:rPr>
                <w:noProof/>
                <w:webHidden/>
              </w:rPr>
              <w:tab/>
            </w:r>
            <w:r w:rsidR="00FF0B24">
              <w:rPr>
                <w:noProof/>
                <w:webHidden/>
              </w:rPr>
              <w:fldChar w:fldCharType="begin"/>
            </w:r>
            <w:r w:rsidR="00FF0B24">
              <w:rPr>
                <w:noProof/>
                <w:webHidden/>
              </w:rPr>
              <w:instrText xml:space="preserve"> PAGEREF _Toc144360827 \h </w:instrText>
            </w:r>
            <w:r w:rsidR="00FF0B24">
              <w:rPr>
                <w:noProof/>
                <w:webHidden/>
              </w:rPr>
            </w:r>
            <w:r w:rsidR="00FF0B24">
              <w:rPr>
                <w:noProof/>
                <w:webHidden/>
              </w:rPr>
              <w:fldChar w:fldCharType="separate"/>
            </w:r>
            <w:r w:rsidR="00B33E2A">
              <w:rPr>
                <w:noProof/>
                <w:webHidden/>
              </w:rPr>
              <w:t>118</w:t>
            </w:r>
            <w:r w:rsidR="00FF0B24">
              <w:rPr>
                <w:noProof/>
                <w:webHidden/>
              </w:rPr>
              <w:fldChar w:fldCharType="end"/>
            </w:r>
          </w:hyperlink>
        </w:p>
        <w:p w14:paraId="1BF2624E" w14:textId="550F5FD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8" w:history="1">
            <w:r w:rsidR="00FF0B24" w:rsidRPr="00022765">
              <w:rPr>
                <w:rStyle w:val="Hyperlink"/>
                <w:noProof/>
              </w:rPr>
              <w:t>E36 Entité visuelle</w:t>
            </w:r>
            <w:r w:rsidR="00FF0B24">
              <w:rPr>
                <w:noProof/>
                <w:webHidden/>
              </w:rPr>
              <w:tab/>
            </w:r>
            <w:r w:rsidR="00FF0B24">
              <w:rPr>
                <w:noProof/>
                <w:webHidden/>
              </w:rPr>
              <w:fldChar w:fldCharType="begin"/>
            </w:r>
            <w:r w:rsidR="00FF0B24">
              <w:rPr>
                <w:noProof/>
                <w:webHidden/>
              </w:rPr>
              <w:instrText xml:space="preserve"> PAGEREF _Toc144360828 \h </w:instrText>
            </w:r>
            <w:r w:rsidR="00FF0B24">
              <w:rPr>
                <w:noProof/>
                <w:webHidden/>
              </w:rPr>
            </w:r>
            <w:r w:rsidR="00FF0B24">
              <w:rPr>
                <w:noProof/>
                <w:webHidden/>
              </w:rPr>
              <w:fldChar w:fldCharType="separate"/>
            </w:r>
            <w:r w:rsidR="00B33E2A">
              <w:rPr>
                <w:noProof/>
                <w:webHidden/>
              </w:rPr>
              <w:t>118</w:t>
            </w:r>
            <w:r w:rsidR="00FF0B24">
              <w:rPr>
                <w:noProof/>
                <w:webHidden/>
              </w:rPr>
              <w:fldChar w:fldCharType="end"/>
            </w:r>
          </w:hyperlink>
        </w:p>
        <w:p w14:paraId="3CB20B00" w14:textId="1B25D61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29" w:history="1">
            <w:r w:rsidR="00FF0B24" w:rsidRPr="00022765">
              <w:rPr>
                <w:rStyle w:val="Hyperlink"/>
                <w:noProof/>
              </w:rPr>
              <w:t>E37 Marque</w:t>
            </w:r>
            <w:r w:rsidR="00FF0B24">
              <w:rPr>
                <w:noProof/>
                <w:webHidden/>
              </w:rPr>
              <w:tab/>
            </w:r>
            <w:r w:rsidR="00FF0B24">
              <w:rPr>
                <w:noProof/>
                <w:webHidden/>
              </w:rPr>
              <w:fldChar w:fldCharType="begin"/>
            </w:r>
            <w:r w:rsidR="00FF0B24">
              <w:rPr>
                <w:noProof/>
                <w:webHidden/>
              </w:rPr>
              <w:instrText xml:space="preserve"> PAGEREF _Toc144360829 \h </w:instrText>
            </w:r>
            <w:r w:rsidR="00FF0B24">
              <w:rPr>
                <w:noProof/>
                <w:webHidden/>
              </w:rPr>
            </w:r>
            <w:r w:rsidR="00FF0B24">
              <w:rPr>
                <w:noProof/>
                <w:webHidden/>
              </w:rPr>
              <w:fldChar w:fldCharType="separate"/>
            </w:r>
            <w:r w:rsidR="00B33E2A">
              <w:rPr>
                <w:noProof/>
                <w:webHidden/>
              </w:rPr>
              <w:t>119</w:t>
            </w:r>
            <w:r w:rsidR="00FF0B24">
              <w:rPr>
                <w:noProof/>
                <w:webHidden/>
              </w:rPr>
              <w:fldChar w:fldCharType="end"/>
            </w:r>
          </w:hyperlink>
        </w:p>
        <w:p w14:paraId="155CCF7A" w14:textId="400D0A9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0" w:history="1">
            <w:r w:rsidR="00FF0B24" w:rsidRPr="00022765">
              <w:rPr>
                <w:rStyle w:val="Hyperlink"/>
                <w:noProof/>
              </w:rPr>
              <w:t>E39 Actant</w:t>
            </w:r>
            <w:r w:rsidR="00FF0B24">
              <w:rPr>
                <w:noProof/>
                <w:webHidden/>
              </w:rPr>
              <w:tab/>
            </w:r>
            <w:r w:rsidR="00FF0B24">
              <w:rPr>
                <w:noProof/>
                <w:webHidden/>
              </w:rPr>
              <w:fldChar w:fldCharType="begin"/>
            </w:r>
            <w:r w:rsidR="00FF0B24">
              <w:rPr>
                <w:noProof/>
                <w:webHidden/>
              </w:rPr>
              <w:instrText xml:space="preserve"> PAGEREF _Toc144360830 \h </w:instrText>
            </w:r>
            <w:r w:rsidR="00FF0B24">
              <w:rPr>
                <w:noProof/>
                <w:webHidden/>
              </w:rPr>
            </w:r>
            <w:r w:rsidR="00FF0B24">
              <w:rPr>
                <w:noProof/>
                <w:webHidden/>
              </w:rPr>
              <w:fldChar w:fldCharType="separate"/>
            </w:r>
            <w:r w:rsidR="00B33E2A">
              <w:rPr>
                <w:noProof/>
                <w:webHidden/>
              </w:rPr>
              <w:t>120</w:t>
            </w:r>
            <w:r w:rsidR="00FF0B24">
              <w:rPr>
                <w:noProof/>
                <w:webHidden/>
              </w:rPr>
              <w:fldChar w:fldCharType="end"/>
            </w:r>
          </w:hyperlink>
        </w:p>
        <w:p w14:paraId="249031F2" w14:textId="395BF59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1" w:history="1">
            <w:r w:rsidR="00FF0B24" w:rsidRPr="00022765">
              <w:rPr>
                <w:rStyle w:val="Hyperlink"/>
                <w:noProof/>
              </w:rPr>
              <w:t>E41 Appellation</w:t>
            </w:r>
            <w:r w:rsidR="00FF0B24">
              <w:rPr>
                <w:noProof/>
                <w:webHidden/>
              </w:rPr>
              <w:tab/>
            </w:r>
            <w:r w:rsidR="00FF0B24">
              <w:rPr>
                <w:noProof/>
                <w:webHidden/>
              </w:rPr>
              <w:fldChar w:fldCharType="begin"/>
            </w:r>
            <w:r w:rsidR="00FF0B24">
              <w:rPr>
                <w:noProof/>
                <w:webHidden/>
              </w:rPr>
              <w:instrText xml:space="preserve"> PAGEREF _Toc144360831 \h </w:instrText>
            </w:r>
            <w:r w:rsidR="00FF0B24">
              <w:rPr>
                <w:noProof/>
                <w:webHidden/>
              </w:rPr>
            </w:r>
            <w:r w:rsidR="00FF0B24">
              <w:rPr>
                <w:noProof/>
                <w:webHidden/>
              </w:rPr>
              <w:fldChar w:fldCharType="separate"/>
            </w:r>
            <w:r w:rsidR="00B33E2A">
              <w:rPr>
                <w:noProof/>
                <w:webHidden/>
              </w:rPr>
              <w:t>121</w:t>
            </w:r>
            <w:r w:rsidR="00FF0B24">
              <w:rPr>
                <w:noProof/>
                <w:webHidden/>
              </w:rPr>
              <w:fldChar w:fldCharType="end"/>
            </w:r>
          </w:hyperlink>
        </w:p>
        <w:p w14:paraId="4AD8D459" w14:textId="4A98615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2" w:history="1">
            <w:r w:rsidR="00FF0B24" w:rsidRPr="00022765">
              <w:rPr>
                <w:rStyle w:val="Hyperlink"/>
                <w:noProof/>
              </w:rPr>
              <w:t>E42 Identifiant</w:t>
            </w:r>
            <w:r w:rsidR="00FF0B24">
              <w:rPr>
                <w:noProof/>
                <w:webHidden/>
              </w:rPr>
              <w:tab/>
            </w:r>
            <w:r w:rsidR="00FF0B24">
              <w:rPr>
                <w:noProof/>
                <w:webHidden/>
              </w:rPr>
              <w:fldChar w:fldCharType="begin"/>
            </w:r>
            <w:r w:rsidR="00FF0B24">
              <w:rPr>
                <w:noProof/>
                <w:webHidden/>
              </w:rPr>
              <w:instrText xml:space="preserve"> PAGEREF _Toc144360832 \h </w:instrText>
            </w:r>
            <w:r w:rsidR="00FF0B24">
              <w:rPr>
                <w:noProof/>
                <w:webHidden/>
              </w:rPr>
            </w:r>
            <w:r w:rsidR="00FF0B24">
              <w:rPr>
                <w:noProof/>
                <w:webHidden/>
              </w:rPr>
              <w:fldChar w:fldCharType="separate"/>
            </w:r>
            <w:r w:rsidR="00B33E2A">
              <w:rPr>
                <w:noProof/>
                <w:webHidden/>
              </w:rPr>
              <w:t>123</w:t>
            </w:r>
            <w:r w:rsidR="00FF0B24">
              <w:rPr>
                <w:noProof/>
                <w:webHidden/>
              </w:rPr>
              <w:fldChar w:fldCharType="end"/>
            </w:r>
          </w:hyperlink>
        </w:p>
        <w:p w14:paraId="7B574673" w14:textId="6243E84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3" w:history="1">
            <w:r w:rsidR="00FF0B24" w:rsidRPr="00022765">
              <w:rPr>
                <w:rStyle w:val="Hyperlink"/>
                <w:noProof/>
              </w:rPr>
              <w:t>E52 Intervalle temporel</w:t>
            </w:r>
            <w:r w:rsidR="00FF0B24">
              <w:rPr>
                <w:noProof/>
                <w:webHidden/>
              </w:rPr>
              <w:tab/>
            </w:r>
            <w:r w:rsidR="00FF0B24">
              <w:rPr>
                <w:noProof/>
                <w:webHidden/>
              </w:rPr>
              <w:fldChar w:fldCharType="begin"/>
            </w:r>
            <w:r w:rsidR="00FF0B24">
              <w:rPr>
                <w:noProof/>
                <w:webHidden/>
              </w:rPr>
              <w:instrText xml:space="preserve"> PAGEREF _Toc144360833 \h </w:instrText>
            </w:r>
            <w:r w:rsidR="00FF0B24">
              <w:rPr>
                <w:noProof/>
                <w:webHidden/>
              </w:rPr>
            </w:r>
            <w:r w:rsidR="00FF0B24">
              <w:rPr>
                <w:noProof/>
                <w:webHidden/>
              </w:rPr>
              <w:fldChar w:fldCharType="separate"/>
            </w:r>
            <w:r w:rsidR="00B33E2A">
              <w:rPr>
                <w:noProof/>
                <w:webHidden/>
              </w:rPr>
              <w:t>123</w:t>
            </w:r>
            <w:r w:rsidR="00FF0B24">
              <w:rPr>
                <w:noProof/>
                <w:webHidden/>
              </w:rPr>
              <w:fldChar w:fldCharType="end"/>
            </w:r>
          </w:hyperlink>
        </w:p>
        <w:p w14:paraId="5E36AE19" w14:textId="3EB25A6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4" w:history="1">
            <w:r w:rsidR="00FF0B24" w:rsidRPr="00022765">
              <w:rPr>
                <w:rStyle w:val="Hyperlink"/>
                <w:noProof/>
              </w:rPr>
              <w:t>E53 Lieu</w:t>
            </w:r>
            <w:r w:rsidR="00FF0B24">
              <w:rPr>
                <w:noProof/>
                <w:webHidden/>
              </w:rPr>
              <w:tab/>
            </w:r>
            <w:r w:rsidR="00FF0B24">
              <w:rPr>
                <w:noProof/>
                <w:webHidden/>
              </w:rPr>
              <w:fldChar w:fldCharType="begin"/>
            </w:r>
            <w:r w:rsidR="00FF0B24">
              <w:rPr>
                <w:noProof/>
                <w:webHidden/>
              </w:rPr>
              <w:instrText xml:space="preserve"> PAGEREF _Toc144360834 \h </w:instrText>
            </w:r>
            <w:r w:rsidR="00FF0B24">
              <w:rPr>
                <w:noProof/>
                <w:webHidden/>
              </w:rPr>
            </w:r>
            <w:r w:rsidR="00FF0B24">
              <w:rPr>
                <w:noProof/>
                <w:webHidden/>
              </w:rPr>
              <w:fldChar w:fldCharType="separate"/>
            </w:r>
            <w:r w:rsidR="00B33E2A">
              <w:rPr>
                <w:noProof/>
                <w:webHidden/>
              </w:rPr>
              <w:t>125</w:t>
            </w:r>
            <w:r w:rsidR="00FF0B24">
              <w:rPr>
                <w:noProof/>
                <w:webHidden/>
              </w:rPr>
              <w:fldChar w:fldCharType="end"/>
            </w:r>
          </w:hyperlink>
        </w:p>
        <w:p w14:paraId="72C1ECE4" w14:textId="19A9B04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5" w:history="1">
            <w:r w:rsidR="00FF0B24" w:rsidRPr="00022765">
              <w:rPr>
                <w:rStyle w:val="Hyperlink"/>
                <w:noProof/>
              </w:rPr>
              <w:t>E54 Dimension</w:t>
            </w:r>
            <w:r w:rsidR="00FF0B24">
              <w:rPr>
                <w:noProof/>
                <w:webHidden/>
              </w:rPr>
              <w:tab/>
            </w:r>
            <w:r w:rsidR="00FF0B24">
              <w:rPr>
                <w:noProof/>
                <w:webHidden/>
              </w:rPr>
              <w:fldChar w:fldCharType="begin"/>
            </w:r>
            <w:r w:rsidR="00FF0B24">
              <w:rPr>
                <w:noProof/>
                <w:webHidden/>
              </w:rPr>
              <w:instrText xml:space="preserve"> PAGEREF _Toc144360835 \h </w:instrText>
            </w:r>
            <w:r w:rsidR="00FF0B24">
              <w:rPr>
                <w:noProof/>
                <w:webHidden/>
              </w:rPr>
            </w:r>
            <w:r w:rsidR="00FF0B24">
              <w:rPr>
                <w:noProof/>
                <w:webHidden/>
              </w:rPr>
              <w:fldChar w:fldCharType="separate"/>
            </w:r>
            <w:r w:rsidR="00B33E2A">
              <w:rPr>
                <w:noProof/>
                <w:webHidden/>
              </w:rPr>
              <w:t>126</w:t>
            </w:r>
            <w:r w:rsidR="00FF0B24">
              <w:rPr>
                <w:noProof/>
                <w:webHidden/>
              </w:rPr>
              <w:fldChar w:fldCharType="end"/>
            </w:r>
          </w:hyperlink>
        </w:p>
        <w:p w14:paraId="14A9D1AE" w14:textId="487BCE1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6" w:history="1">
            <w:r w:rsidR="00FF0B24" w:rsidRPr="00022765">
              <w:rPr>
                <w:rStyle w:val="Hyperlink"/>
                <w:noProof/>
              </w:rPr>
              <w:t>E55 Type</w:t>
            </w:r>
            <w:r w:rsidR="00FF0B24">
              <w:rPr>
                <w:noProof/>
                <w:webHidden/>
              </w:rPr>
              <w:tab/>
            </w:r>
            <w:r w:rsidR="00FF0B24">
              <w:rPr>
                <w:noProof/>
                <w:webHidden/>
              </w:rPr>
              <w:fldChar w:fldCharType="begin"/>
            </w:r>
            <w:r w:rsidR="00FF0B24">
              <w:rPr>
                <w:noProof/>
                <w:webHidden/>
              </w:rPr>
              <w:instrText xml:space="preserve"> PAGEREF _Toc144360836 \h </w:instrText>
            </w:r>
            <w:r w:rsidR="00FF0B24">
              <w:rPr>
                <w:noProof/>
                <w:webHidden/>
              </w:rPr>
            </w:r>
            <w:r w:rsidR="00FF0B24">
              <w:rPr>
                <w:noProof/>
                <w:webHidden/>
              </w:rPr>
              <w:fldChar w:fldCharType="separate"/>
            </w:r>
            <w:r w:rsidR="00B33E2A">
              <w:rPr>
                <w:noProof/>
                <w:webHidden/>
              </w:rPr>
              <w:t>128</w:t>
            </w:r>
            <w:r w:rsidR="00FF0B24">
              <w:rPr>
                <w:noProof/>
                <w:webHidden/>
              </w:rPr>
              <w:fldChar w:fldCharType="end"/>
            </w:r>
          </w:hyperlink>
        </w:p>
        <w:p w14:paraId="51DDB496" w14:textId="4E337AE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7" w:history="1">
            <w:r w:rsidR="00FF0B24" w:rsidRPr="00022765">
              <w:rPr>
                <w:rStyle w:val="Hyperlink"/>
                <w:noProof/>
              </w:rPr>
              <w:t>E56 Langue</w:t>
            </w:r>
            <w:r w:rsidR="00FF0B24">
              <w:rPr>
                <w:noProof/>
                <w:webHidden/>
              </w:rPr>
              <w:tab/>
            </w:r>
            <w:r w:rsidR="00FF0B24">
              <w:rPr>
                <w:noProof/>
                <w:webHidden/>
              </w:rPr>
              <w:fldChar w:fldCharType="begin"/>
            </w:r>
            <w:r w:rsidR="00FF0B24">
              <w:rPr>
                <w:noProof/>
                <w:webHidden/>
              </w:rPr>
              <w:instrText xml:space="preserve"> PAGEREF _Toc144360837 \h </w:instrText>
            </w:r>
            <w:r w:rsidR="00FF0B24">
              <w:rPr>
                <w:noProof/>
                <w:webHidden/>
              </w:rPr>
            </w:r>
            <w:r w:rsidR="00FF0B24">
              <w:rPr>
                <w:noProof/>
                <w:webHidden/>
              </w:rPr>
              <w:fldChar w:fldCharType="separate"/>
            </w:r>
            <w:r w:rsidR="00B33E2A">
              <w:rPr>
                <w:noProof/>
                <w:webHidden/>
              </w:rPr>
              <w:t>129</w:t>
            </w:r>
            <w:r w:rsidR="00FF0B24">
              <w:rPr>
                <w:noProof/>
                <w:webHidden/>
              </w:rPr>
              <w:fldChar w:fldCharType="end"/>
            </w:r>
          </w:hyperlink>
        </w:p>
        <w:p w14:paraId="4165B70F" w14:textId="581810F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8" w:history="1">
            <w:r w:rsidR="00FF0B24" w:rsidRPr="00022765">
              <w:rPr>
                <w:rStyle w:val="Hyperlink"/>
                <w:noProof/>
              </w:rPr>
              <w:t>E57 Matériau</w:t>
            </w:r>
            <w:r w:rsidR="00FF0B24">
              <w:rPr>
                <w:noProof/>
                <w:webHidden/>
              </w:rPr>
              <w:tab/>
            </w:r>
            <w:r w:rsidR="00FF0B24">
              <w:rPr>
                <w:noProof/>
                <w:webHidden/>
              </w:rPr>
              <w:fldChar w:fldCharType="begin"/>
            </w:r>
            <w:r w:rsidR="00FF0B24">
              <w:rPr>
                <w:noProof/>
                <w:webHidden/>
              </w:rPr>
              <w:instrText xml:space="preserve"> PAGEREF _Toc144360838 \h </w:instrText>
            </w:r>
            <w:r w:rsidR="00FF0B24">
              <w:rPr>
                <w:noProof/>
                <w:webHidden/>
              </w:rPr>
            </w:r>
            <w:r w:rsidR="00FF0B24">
              <w:rPr>
                <w:noProof/>
                <w:webHidden/>
              </w:rPr>
              <w:fldChar w:fldCharType="separate"/>
            </w:r>
            <w:r w:rsidR="00B33E2A">
              <w:rPr>
                <w:noProof/>
                <w:webHidden/>
              </w:rPr>
              <w:t>129</w:t>
            </w:r>
            <w:r w:rsidR="00FF0B24">
              <w:rPr>
                <w:noProof/>
                <w:webHidden/>
              </w:rPr>
              <w:fldChar w:fldCharType="end"/>
            </w:r>
          </w:hyperlink>
        </w:p>
        <w:p w14:paraId="762C88BF" w14:textId="65FE8A6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39" w:history="1">
            <w:r w:rsidR="00FF0B24" w:rsidRPr="00022765">
              <w:rPr>
                <w:rStyle w:val="Hyperlink"/>
                <w:noProof/>
              </w:rPr>
              <w:t>E58 Unité de mesure</w:t>
            </w:r>
            <w:r w:rsidR="00FF0B24">
              <w:rPr>
                <w:noProof/>
                <w:webHidden/>
              </w:rPr>
              <w:tab/>
            </w:r>
            <w:r w:rsidR="00FF0B24">
              <w:rPr>
                <w:noProof/>
                <w:webHidden/>
              </w:rPr>
              <w:fldChar w:fldCharType="begin"/>
            </w:r>
            <w:r w:rsidR="00FF0B24">
              <w:rPr>
                <w:noProof/>
                <w:webHidden/>
              </w:rPr>
              <w:instrText xml:space="preserve"> PAGEREF _Toc144360839 \h </w:instrText>
            </w:r>
            <w:r w:rsidR="00FF0B24">
              <w:rPr>
                <w:noProof/>
                <w:webHidden/>
              </w:rPr>
            </w:r>
            <w:r w:rsidR="00FF0B24">
              <w:rPr>
                <w:noProof/>
                <w:webHidden/>
              </w:rPr>
              <w:fldChar w:fldCharType="separate"/>
            </w:r>
            <w:r w:rsidR="00B33E2A">
              <w:rPr>
                <w:noProof/>
                <w:webHidden/>
              </w:rPr>
              <w:t>130</w:t>
            </w:r>
            <w:r w:rsidR="00FF0B24">
              <w:rPr>
                <w:noProof/>
                <w:webHidden/>
              </w:rPr>
              <w:fldChar w:fldCharType="end"/>
            </w:r>
          </w:hyperlink>
        </w:p>
        <w:p w14:paraId="25870079" w14:textId="77A2ADC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0" w:history="1">
            <w:r w:rsidR="00FF0B24" w:rsidRPr="00022765">
              <w:rPr>
                <w:rStyle w:val="Hyperlink"/>
                <w:noProof/>
              </w:rPr>
              <w:t>E59 Valeur primitive</w:t>
            </w:r>
            <w:r w:rsidR="00FF0B24">
              <w:rPr>
                <w:noProof/>
                <w:webHidden/>
              </w:rPr>
              <w:tab/>
            </w:r>
            <w:r w:rsidR="00FF0B24">
              <w:rPr>
                <w:noProof/>
                <w:webHidden/>
              </w:rPr>
              <w:fldChar w:fldCharType="begin"/>
            </w:r>
            <w:r w:rsidR="00FF0B24">
              <w:rPr>
                <w:noProof/>
                <w:webHidden/>
              </w:rPr>
              <w:instrText xml:space="preserve"> PAGEREF _Toc144360840 \h </w:instrText>
            </w:r>
            <w:r w:rsidR="00FF0B24">
              <w:rPr>
                <w:noProof/>
                <w:webHidden/>
              </w:rPr>
            </w:r>
            <w:r w:rsidR="00FF0B24">
              <w:rPr>
                <w:noProof/>
                <w:webHidden/>
              </w:rPr>
              <w:fldChar w:fldCharType="separate"/>
            </w:r>
            <w:r w:rsidR="00B33E2A">
              <w:rPr>
                <w:noProof/>
                <w:webHidden/>
              </w:rPr>
              <w:t>131</w:t>
            </w:r>
            <w:r w:rsidR="00FF0B24">
              <w:rPr>
                <w:noProof/>
                <w:webHidden/>
              </w:rPr>
              <w:fldChar w:fldCharType="end"/>
            </w:r>
          </w:hyperlink>
        </w:p>
        <w:p w14:paraId="4729E9D0" w14:textId="6CE3203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1" w:history="1">
            <w:r w:rsidR="00FF0B24" w:rsidRPr="00022765">
              <w:rPr>
                <w:rStyle w:val="Hyperlink"/>
                <w:noProof/>
              </w:rPr>
              <w:t>E60 Nombre</w:t>
            </w:r>
            <w:r w:rsidR="00FF0B24">
              <w:rPr>
                <w:noProof/>
                <w:webHidden/>
              </w:rPr>
              <w:tab/>
            </w:r>
            <w:r w:rsidR="00FF0B24">
              <w:rPr>
                <w:noProof/>
                <w:webHidden/>
              </w:rPr>
              <w:fldChar w:fldCharType="begin"/>
            </w:r>
            <w:r w:rsidR="00FF0B24">
              <w:rPr>
                <w:noProof/>
                <w:webHidden/>
              </w:rPr>
              <w:instrText xml:space="preserve"> PAGEREF _Toc144360841 \h </w:instrText>
            </w:r>
            <w:r w:rsidR="00FF0B24">
              <w:rPr>
                <w:noProof/>
                <w:webHidden/>
              </w:rPr>
            </w:r>
            <w:r w:rsidR="00FF0B24">
              <w:rPr>
                <w:noProof/>
                <w:webHidden/>
              </w:rPr>
              <w:fldChar w:fldCharType="separate"/>
            </w:r>
            <w:r w:rsidR="00B33E2A">
              <w:rPr>
                <w:noProof/>
                <w:webHidden/>
              </w:rPr>
              <w:t>132</w:t>
            </w:r>
            <w:r w:rsidR="00FF0B24">
              <w:rPr>
                <w:noProof/>
                <w:webHidden/>
              </w:rPr>
              <w:fldChar w:fldCharType="end"/>
            </w:r>
          </w:hyperlink>
        </w:p>
        <w:p w14:paraId="2DFBB1D2" w14:textId="0834F97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2" w:history="1">
            <w:r w:rsidR="00FF0B24" w:rsidRPr="00022765">
              <w:rPr>
                <w:rStyle w:val="Hyperlink"/>
                <w:noProof/>
              </w:rPr>
              <w:t>E61 Primitive temporelle</w:t>
            </w:r>
            <w:r w:rsidR="00FF0B24">
              <w:rPr>
                <w:noProof/>
                <w:webHidden/>
              </w:rPr>
              <w:tab/>
            </w:r>
            <w:r w:rsidR="00FF0B24">
              <w:rPr>
                <w:noProof/>
                <w:webHidden/>
              </w:rPr>
              <w:fldChar w:fldCharType="begin"/>
            </w:r>
            <w:r w:rsidR="00FF0B24">
              <w:rPr>
                <w:noProof/>
                <w:webHidden/>
              </w:rPr>
              <w:instrText xml:space="preserve"> PAGEREF _Toc144360842 \h </w:instrText>
            </w:r>
            <w:r w:rsidR="00FF0B24">
              <w:rPr>
                <w:noProof/>
                <w:webHidden/>
              </w:rPr>
            </w:r>
            <w:r w:rsidR="00FF0B24">
              <w:rPr>
                <w:noProof/>
                <w:webHidden/>
              </w:rPr>
              <w:fldChar w:fldCharType="separate"/>
            </w:r>
            <w:r w:rsidR="00B33E2A">
              <w:rPr>
                <w:noProof/>
                <w:webHidden/>
              </w:rPr>
              <w:t>133</w:t>
            </w:r>
            <w:r w:rsidR="00FF0B24">
              <w:rPr>
                <w:noProof/>
                <w:webHidden/>
              </w:rPr>
              <w:fldChar w:fldCharType="end"/>
            </w:r>
          </w:hyperlink>
        </w:p>
        <w:p w14:paraId="2BE1964A" w14:textId="6E19352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3" w:history="1">
            <w:r w:rsidR="00FF0B24" w:rsidRPr="00022765">
              <w:rPr>
                <w:rStyle w:val="Hyperlink"/>
                <w:noProof/>
              </w:rPr>
              <w:t>E62 Chaîne de caractères</w:t>
            </w:r>
            <w:r w:rsidR="00FF0B24">
              <w:rPr>
                <w:noProof/>
                <w:webHidden/>
              </w:rPr>
              <w:tab/>
            </w:r>
            <w:r w:rsidR="00FF0B24">
              <w:rPr>
                <w:noProof/>
                <w:webHidden/>
              </w:rPr>
              <w:fldChar w:fldCharType="begin"/>
            </w:r>
            <w:r w:rsidR="00FF0B24">
              <w:rPr>
                <w:noProof/>
                <w:webHidden/>
              </w:rPr>
              <w:instrText xml:space="preserve"> PAGEREF _Toc144360843 \h </w:instrText>
            </w:r>
            <w:r w:rsidR="00FF0B24">
              <w:rPr>
                <w:noProof/>
                <w:webHidden/>
              </w:rPr>
            </w:r>
            <w:r w:rsidR="00FF0B24">
              <w:rPr>
                <w:noProof/>
                <w:webHidden/>
              </w:rPr>
              <w:fldChar w:fldCharType="separate"/>
            </w:r>
            <w:r w:rsidR="00B33E2A">
              <w:rPr>
                <w:noProof/>
                <w:webHidden/>
              </w:rPr>
              <w:t>134</w:t>
            </w:r>
            <w:r w:rsidR="00FF0B24">
              <w:rPr>
                <w:noProof/>
                <w:webHidden/>
              </w:rPr>
              <w:fldChar w:fldCharType="end"/>
            </w:r>
          </w:hyperlink>
        </w:p>
        <w:p w14:paraId="084F55ED" w14:textId="6BEB660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4" w:history="1">
            <w:r w:rsidR="00FF0B24" w:rsidRPr="00022765">
              <w:rPr>
                <w:rStyle w:val="Hyperlink"/>
                <w:noProof/>
              </w:rPr>
              <w:t>E63 Début d’Existence</w:t>
            </w:r>
            <w:r w:rsidR="00FF0B24">
              <w:rPr>
                <w:noProof/>
                <w:webHidden/>
              </w:rPr>
              <w:tab/>
            </w:r>
            <w:r w:rsidR="00FF0B24">
              <w:rPr>
                <w:noProof/>
                <w:webHidden/>
              </w:rPr>
              <w:fldChar w:fldCharType="begin"/>
            </w:r>
            <w:r w:rsidR="00FF0B24">
              <w:rPr>
                <w:noProof/>
                <w:webHidden/>
              </w:rPr>
              <w:instrText xml:space="preserve"> PAGEREF _Toc144360844 \h </w:instrText>
            </w:r>
            <w:r w:rsidR="00FF0B24">
              <w:rPr>
                <w:noProof/>
                <w:webHidden/>
              </w:rPr>
            </w:r>
            <w:r w:rsidR="00FF0B24">
              <w:rPr>
                <w:noProof/>
                <w:webHidden/>
              </w:rPr>
              <w:fldChar w:fldCharType="separate"/>
            </w:r>
            <w:r w:rsidR="00B33E2A">
              <w:rPr>
                <w:noProof/>
                <w:webHidden/>
              </w:rPr>
              <w:t>135</w:t>
            </w:r>
            <w:r w:rsidR="00FF0B24">
              <w:rPr>
                <w:noProof/>
                <w:webHidden/>
              </w:rPr>
              <w:fldChar w:fldCharType="end"/>
            </w:r>
          </w:hyperlink>
        </w:p>
        <w:p w14:paraId="66A00BAF" w14:textId="2FBDC95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5" w:history="1">
            <w:r w:rsidR="00FF0B24" w:rsidRPr="00022765">
              <w:rPr>
                <w:rStyle w:val="Hyperlink"/>
                <w:noProof/>
              </w:rPr>
              <w:t>E64 Fin d’existence</w:t>
            </w:r>
            <w:r w:rsidR="00FF0B24">
              <w:rPr>
                <w:noProof/>
                <w:webHidden/>
              </w:rPr>
              <w:tab/>
            </w:r>
            <w:r w:rsidR="00FF0B24">
              <w:rPr>
                <w:noProof/>
                <w:webHidden/>
              </w:rPr>
              <w:fldChar w:fldCharType="begin"/>
            </w:r>
            <w:r w:rsidR="00FF0B24">
              <w:rPr>
                <w:noProof/>
                <w:webHidden/>
              </w:rPr>
              <w:instrText xml:space="preserve"> PAGEREF _Toc144360845 \h </w:instrText>
            </w:r>
            <w:r w:rsidR="00FF0B24">
              <w:rPr>
                <w:noProof/>
                <w:webHidden/>
              </w:rPr>
            </w:r>
            <w:r w:rsidR="00FF0B24">
              <w:rPr>
                <w:noProof/>
                <w:webHidden/>
              </w:rPr>
              <w:fldChar w:fldCharType="separate"/>
            </w:r>
            <w:r w:rsidR="00B33E2A">
              <w:rPr>
                <w:noProof/>
                <w:webHidden/>
              </w:rPr>
              <w:t>135</w:t>
            </w:r>
            <w:r w:rsidR="00FF0B24">
              <w:rPr>
                <w:noProof/>
                <w:webHidden/>
              </w:rPr>
              <w:fldChar w:fldCharType="end"/>
            </w:r>
          </w:hyperlink>
        </w:p>
        <w:p w14:paraId="24ED2752" w14:textId="7D90C82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6" w:history="1">
            <w:r w:rsidR="00FF0B24" w:rsidRPr="00022765">
              <w:rPr>
                <w:rStyle w:val="Hyperlink"/>
                <w:noProof/>
              </w:rPr>
              <w:t>E65 Création</w:t>
            </w:r>
            <w:r w:rsidR="00FF0B24">
              <w:rPr>
                <w:noProof/>
                <w:webHidden/>
              </w:rPr>
              <w:tab/>
            </w:r>
            <w:r w:rsidR="00FF0B24">
              <w:rPr>
                <w:noProof/>
                <w:webHidden/>
              </w:rPr>
              <w:fldChar w:fldCharType="begin"/>
            </w:r>
            <w:r w:rsidR="00FF0B24">
              <w:rPr>
                <w:noProof/>
                <w:webHidden/>
              </w:rPr>
              <w:instrText xml:space="preserve"> PAGEREF _Toc144360846 \h </w:instrText>
            </w:r>
            <w:r w:rsidR="00FF0B24">
              <w:rPr>
                <w:noProof/>
                <w:webHidden/>
              </w:rPr>
            </w:r>
            <w:r w:rsidR="00FF0B24">
              <w:rPr>
                <w:noProof/>
                <w:webHidden/>
              </w:rPr>
              <w:fldChar w:fldCharType="separate"/>
            </w:r>
            <w:r w:rsidR="00B33E2A">
              <w:rPr>
                <w:noProof/>
                <w:webHidden/>
              </w:rPr>
              <w:t>137</w:t>
            </w:r>
            <w:r w:rsidR="00FF0B24">
              <w:rPr>
                <w:noProof/>
                <w:webHidden/>
              </w:rPr>
              <w:fldChar w:fldCharType="end"/>
            </w:r>
          </w:hyperlink>
        </w:p>
        <w:p w14:paraId="390A3A19" w14:textId="4E4CEAC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7" w:history="1">
            <w:r w:rsidR="00FF0B24" w:rsidRPr="00022765">
              <w:rPr>
                <w:rStyle w:val="Hyperlink"/>
                <w:noProof/>
              </w:rPr>
              <w:t>E66 Formation</w:t>
            </w:r>
            <w:r w:rsidR="00FF0B24">
              <w:rPr>
                <w:noProof/>
                <w:webHidden/>
              </w:rPr>
              <w:tab/>
            </w:r>
            <w:r w:rsidR="00FF0B24">
              <w:rPr>
                <w:noProof/>
                <w:webHidden/>
              </w:rPr>
              <w:fldChar w:fldCharType="begin"/>
            </w:r>
            <w:r w:rsidR="00FF0B24">
              <w:rPr>
                <w:noProof/>
                <w:webHidden/>
              </w:rPr>
              <w:instrText xml:space="preserve"> PAGEREF _Toc144360847 \h </w:instrText>
            </w:r>
            <w:r w:rsidR="00FF0B24">
              <w:rPr>
                <w:noProof/>
                <w:webHidden/>
              </w:rPr>
            </w:r>
            <w:r w:rsidR="00FF0B24">
              <w:rPr>
                <w:noProof/>
                <w:webHidden/>
              </w:rPr>
              <w:fldChar w:fldCharType="separate"/>
            </w:r>
            <w:r w:rsidR="00B33E2A">
              <w:rPr>
                <w:noProof/>
                <w:webHidden/>
              </w:rPr>
              <w:t>137</w:t>
            </w:r>
            <w:r w:rsidR="00FF0B24">
              <w:rPr>
                <w:noProof/>
                <w:webHidden/>
              </w:rPr>
              <w:fldChar w:fldCharType="end"/>
            </w:r>
          </w:hyperlink>
        </w:p>
        <w:p w14:paraId="5863AB98" w14:textId="3A3FF0B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8" w:history="1">
            <w:r w:rsidR="00FF0B24" w:rsidRPr="00022765">
              <w:rPr>
                <w:rStyle w:val="Hyperlink"/>
                <w:noProof/>
              </w:rPr>
              <w:t>E67 Naissance</w:t>
            </w:r>
            <w:r w:rsidR="00FF0B24">
              <w:rPr>
                <w:noProof/>
                <w:webHidden/>
              </w:rPr>
              <w:tab/>
            </w:r>
            <w:r w:rsidR="00FF0B24">
              <w:rPr>
                <w:noProof/>
                <w:webHidden/>
              </w:rPr>
              <w:fldChar w:fldCharType="begin"/>
            </w:r>
            <w:r w:rsidR="00FF0B24">
              <w:rPr>
                <w:noProof/>
                <w:webHidden/>
              </w:rPr>
              <w:instrText xml:space="preserve"> PAGEREF _Toc144360848 \h </w:instrText>
            </w:r>
            <w:r w:rsidR="00FF0B24">
              <w:rPr>
                <w:noProof/>
                <w:webHidden/>
              </w:rPr>
            </w:r>
            <w:r w:rsidR="00FF0B24">
              <w:rPr>
                <w:noProof/>
                <w:webHidden/>
              </w:rPr>
              <w:fldChar w:fldCharType="separate"/>
            </w:r>
            <w:r w:rsidR="00B33E2A">
              <w:rPr>
                <w:noProof/>
                <w:webHidden/>
              </w:rPr>
              <w:t>138</w:t>
            </w:r>
            <w:r w:rsidR="00FF0B24">
              <w:rPr>
                <w:noProof/>
                <w:webHidden/>
              </w:rPr>
              <w:fldChar w:fldCharType="end"/>
            </w:r>
          </w:hyperlink>
        </w:p>
        <w:p w14:paraId="02BAD03F" w14:textId="7251472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49" w:history="1">
            <w:r w:rsidR="00FF0B24" w:rsidRPr="00022765">
              <w:rPr>
                <w:rStyle w:val="Hyperlink"/>
                <w:noProof/>
              </w:rPr>
              <w:t>E68 Dissolution</w:t>
            </w:r>
            <w:r w:rsidR="00FF0B24">
              <w:rPr>
                <w:noProof/>
                <w:webHidden/>
              </w:rPr>
              <w:tab/>
            </w:r>
            <w:r w:rsidR="00FF0B24">
              <w:rPr>
                <w:noProof/>
                <w:webHidden/>
              </w:rPr>
              <w:fldChar w:fldCharType="begin"/>
            </w:r>
            <w:r w:rsidR="00FF0B24">
              <w:rPr>
                <w:noProof/>
                <w:webHidden/>
              </w:rPr>
              <w:instrText xml:space="preserve"> PAGEREF _Toc144360849 \h </w:instrText>
            </w:r>
            <w:r w:rsidR="00FF0B24">
              <w:rPr>
                <w:noProof/>
                <w:webHidden/>
              </w:rPr>
            </w:r>
            <w:r w:rsidR="00FF0B24">
              <w:rPr>
                <w:noProof/>
                <w:webHidden/>
              </w:rPr>
              <w:fldChar w:fldCharType="separate"/>
            </w:r>
            <w:r w:rsidR="00B33E2A">
              <w:rPr>
                <w:noProof/>
                <w:webHidden/>
              </w:rPr>
              <w:t>139</w:t>
            </w:r>
            <w:r w:rsidR="00FF0B24">
              <w:rPr>
                <w:noProof/>
                <w:webHidden/>
              </w:rPr>
              <w:fldChar w:fldCharType="end"/>
            </w:r>
          </w:hyperlink>
        </w:p>
        <w:p w14:paraId="53D3B530" w14:textId="0CA665C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0" w:history="1">
            <w:r w:rsidR="00FF0B24" w:rsidRPr="00022765">
              <w:rPr>
                <w:rStyle w:val="Hyperlink"/>
                <w:noProof/>
              </w:rPr>
              <w:t>E69 Mort</w:t>
            </w:r>
            <w:r w:rsidR="00FF0B24">
              <w:rPr>
                <w:noProof/>
                <w:webHidden/>
              </w:rPr>
              <w:tab/>
            </w:r>
            <w:r w:rsidR="00FF0B24">
              <w:rPr>
                <w:noProof/>
                <w:webHidden/>
              </w:rPr>
              <w:fldChar w:fldCharType="begin"/>
            </w:r>
            <w:r w:rsidR="00FF0B24">
              <w:rPr>
                <w:noProof/>
                <w:webHidden/>
              </w:rPr>
              <w:instrText xml:space="preserve"> PAGEREF _Toc144360850 \h </w:instrText>
            </w:r>
            <w:r w:rsidR="00FF0B24">
              <w:rPr>
                <w:noProof/>
                <w:webHidden/>
              </w:rPr>
            </w:r>
            <w:r w:rsidR="00FF0B24">
              <w:rPr>
                <w:noProof/>
                <w:webHidden/>
              </w:rPr>
              <w:fldChar w:fldCharType="separate"/>
            </w:r>
            <w:r w:rsidR="00B33E2A">
              <w:rPr>
                <w:noProof/>
                <w:webHidden/>
              </w:rPr>
              <w:t>139</w:t>
            </w:r>
            <w:r w:rsidR="00FF0B24">
              <w:rPr>
                <w:noProof/>
                <w:webHidden/>
              </w:rPr>
              <w:fldChar w:fldCharType="end"/>
            </w:r>
          </w:hyperlink>
        </w:p>
        <w:p w14:paraId="7BDAC409" w14:textId="7A326CB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1" w:history="1">
            <w:r w:rsidR="00FF0B24" w:rsidRPr="00022765">
              <w:rPr>
                <w:rStyle w:val="Hyperlink"/>
                <w:noProof/>
              </w:rPr>
              <w:t>E70 Chose</w:t>
            </w:r>
            <w:r w:rsidR="00FF0B24">
              <w:rPr>
                <w:noProof/>
                <w:webHidden/>
              </w:rPr>
              <w:tab/>
            </w:r>
            <w:r w:rsidR="00FF0B24">
              <w:rPr>
                <w:noProof/>
                <w:webHidden/>
              </w:rPr>
              <w:fldChar w:fldCharType="begin"/>
            </w:r>
            <w:r w:rsidR="00FF0B24">
              <w:rPr>
                <w:noProof/>
                <w:webHidden/>
              </w:rPr>
              <w:instrText xml:space="preserve"> PAGEREF _Toc144360851 \h </w:instrText>
            </w:r>
            <w:r w:rsidR="00FF0B24">
              <w:rPr>
                <w:noProof/>
                <w:webHidden/>
              </w:rPr>
            </w:r>
            <w:r w:rsidR="00FF0B24">
              <w:rPr>
                <w:noProof/>
                <w:webHidden/>
              </w:rPr>
              <w:fldChar w:fldCharType="separate"/>
            </w:r>
            <w:r w:rsidR="00B33E2A">
              <w:rPr>
                <w:noProof/>
                <w:webHidden/>
              </w:rPr>
              <w:t>140</w:t>
            </w:r>
            <w:r w:rsidR="00FF0B24">
              <w:rPr>
                <w:noProof/>
                <w:webHidden/>
              </w:rPr>
              <w:fldChar w:fldCharType="end"/>
            </w:r>
          </w:hyperlink>
        </w:p>
        <w:p w14:paraId="129F76B2" w14:textId="43CA6DA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2" w:history="1">
            <w:r w:rsidR="00FF0B24" w:rsidRPr="00022765">
              <w:rPr>
                <w:rStyle w:val="Hyperlink"/>
                <w:noProof/>
              </w:rPr>
              <w:t>E71 Chose élaborée par l’humain</w:t>
            </w:r>
            <w:r w:rsidR="00FF0B24">
              <w:rPr>
                <w:noProof/>
                <w:webHidden/>
              </w:rPr>
              <w:tab/>
            </w:r>
            <w:r w:rsidR="00FF0B24">
              <w:rPr>
                <w:noProof/>
                <w:webHidden/>
              </w:rPr>
              <w:fldChar w:fldCharType="begin"/>
            </w:r>
            <w:r w:rsidR="00FF0B24">
              <w:rPr>
                <w:noProof/>
                <w:webHidden/>
              </w:rPr>
              <w:instrText xml:space="preserve"> PAGEREF _Toc144360852 \h </w:instrText>
            </w:r>
            <w:r w:rsidR="00FF0B24">
              <w:rPr>
                <w:noProof/>
                <w:webHidden/>
              </w:rPr>
            </w:r>
            <w:r w:rsidR="00FF0B24">
              <w:rPr>
                <w:noProof/>
                <w:webHidden/>
              </w:rPr>
              <w:fldChar w:fldCharType="separate"/>
            </w:r>
            <w:r w:rsidR="00B33E2A">
              <w:rPr>
                <w:noProof/>
                <w:webHidden/>
              </w:rPr>
              <w:t>140</w:t>
            </w:r>
            <w:r w:rsidR="00FF0B24">
              <w:rPr>
                <w:noProof/>
                <w:webHidden/>
              </w:rPr>
              <w:fldChar w:fldCharType="end"/>
            </w:r>
          </w:hyperlink>
        </w:p>
        <w:p w14:paraId="0A995406" w14:textId="16ADC05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3" w:history="1">
            <w:r w:rsidR="00FF0B24" w:rsidRPr="00022765">
              <w:rPr>
                <w:rStyle w:val="Hyperlink"/>
                <w:noProof/>
              </w:rPr>
              <w:t>E72 Objet juridique</w:t>
            </w:r>
            <w:r w:rsidR="00FF0B24">
              <w:rPr>
                <w:noProof/>
                <w:webHidden/>
              </w:rPr>
              <w:tab/>
            </w:r>
            <w:r w:rsidR="00FF0B24">
              <w:rPr>
                <w:noProof/>
                <w:webHidden/>
              </w:rPr>
              <w:fldChar w:fldCharType="begin"/>
            </w:r>
            <w:r w:rsidR="00FF0B24">
              <w:rPr>
                <w:noProof/>
                <w:webHidden/>
              </w:rPr>
              <w:instrText xml:space="preserve"> PAGEREF _Toc144360853 \h </w:instrText>
            </w:r>
            <w:r w:rsidR="00FF0B24">
              <w:rPr>
                <w:noProof/>
                <w:webHidden/>
              </w:rPr>
            </w:r>
            <w:r w:rsidR="00FF0B24">
              <w:rPr>
                <w:noProof/>
                <w:webHidden/>
              </w:rPr>
              <w:fldChar w:fldCharType="separate"/>
            </w:r>
            <w:r w:rsidR="00B33E2A">
              <w:rPr>
                <w:noProof/>
                <w:webHidden/>
              </w:rPr>
              <w:t>141</w:t>
            </w:r>
            <w:r w:rsidR="00FF0B24">
              <w:rPr>
                <w:noProof/>
                <w:webHidden/>
              </w:rPr>
              <w:fldChar w:fldCharType="end"/>
            </w:r>
          </w:hyperlink>
        </w:p>
        <w:p w14:paraId="373916FD" w14:textId="2A27ED9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4" w:history="1">
            <w:r w:rsidR="00FF0B24" w:rsidRPr="00022765">
              <w:rPr>
                <w:rStyle w:val="Hyperlink"/>
                <w:noProof/>
              </w:rPr>
              <w:t>E73 Objet informationnel</w:t>
            </w:r>
            <w:r w:rsidR="00FF0B24">
              <w:rPr>
                <w:noProof/>
                <w:webHidden/>
              </w:rPr>
              <w:tab/>
            </w:r>
            <w:r w:rsidR="00FF0B24">
              <w:rPr>
                <w:noProof/>
                <w:webHidden/>
              </w:rPr>
              <w:fldChar w:fldCharType="begin"/>
            </w:r>
            <w:r w:rsidR="00FF0B24">
              <w:rPr>
                <w:noProof/>
                <w:webHidden/>
              </w:rPr>
              <w:instrText xml:space="preserve"> PAGEREF _Toc144360854 \h </w:instrText>
            </w:r>
            <w:r w:rsidR="00FF0B24">
              <w:rPr>
                <w:noProof/>
                <w:webHidden/>
              </w:rPr>
            </w:r>
            <w:r w:rsidR="00FF0B24">
              <w:rPr>
                <w:noProof/>
                <w:webHidden/>
              </w:rPr>
              <w:fldChar w:fldCharType="separate"/>
            </w:r>
            <w:r w:rsidR="00B33E2A">
              <w:rPr>
                <w:noProof/>
                <w:webHidden/>
              </w:rPr>
              <w:t>142</w:t>
            </w:r>
            <w:r w:rsidR="00FF0B24">
              <w:rPr>
                <w:noProof/>
                <w:webHidden/>
              </w:rPr>
              <w:fldChar w:fldCharType="end"/>
            </w:r>
          </w:hyperlink>
        </w:p>
        <w:p w14:paraId="2433B337" w14:textId="07C80D3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5" w:history="1">
            <w:r w:rsidR="00FF0B24" w:rsidRPr="00022765">
              <w:rPr>
                <w:rStyle w:val="Hyperlink"/>
                <w:noProof/>
              </w:rPr>
              <w:t>E74 Groupe</w:t>
            </w:r>
            <w:r w:rsidR="00FF0B24">
              <w:rPr>
                <w:noProof/>
                <w:webHidden/>
              </w:rPr>
              <w:tab/>
            </w:r>
            <w:r w:rsidR="00FF0B24">
              <w:rPr>
                <w:noProof/>
                <w:webHidden/>
              </w:rPr>
              <w:fldChar w:fldCharType="begin"/>
            </w:r>
            <w:r w:rsidR="00FF0B24">
              <w:rPr>
                <w:noProof/>
                <w:webHidden/>
              </w:rPr>
              <w:instrText xml:space="preserve"> PAGEREF _Toc144360855 \h </w:instrText>
            </w:r>
            <w:r w:rsidR="00FF0B24">
              <w:rPr>
                <w:noProof/>
                <w:webHidden/>
              </w:rPr>
            </w:r>
            <w:r w:rsidR="00FF0B24">
              <w:rPr>
                <w:noProof/>
                <w:webHidden/>
              </w:rPr>
              <w:fldChar w:fldCharType="separate"/>
            </w:r>
            <w:r w:rsidR="00B33E2A">
              <w:rPr>
                <w:noProof/>
                <w:webHidden/>
              </w:rPr>
              <w:t>143</w:t>
            </w:r>
            <w:r w:rsidR="00FF0B24">
              <w:rPr>
                <w:noProof/>
                <w:webHidden/>
              </w:rPr>
              <w:fldChar w:fldCharType="end"/>
            </w:r>
          </w:hyperlink>
        </w:p>
        <w:p w14:paraId="6E6F0D82" w14:textId="2F565E2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6" w:history="1">
            <w:r w:rsidR="00FF0B24" w:rsidRPr="00022765">
              <w:rPr>
                <w:rStyle w:val="Hyperlink"/>
                <w:noProof/>
              </w:rPr>
              <w:t>E77 Entité persistante</w:t>
            </w:r>
            <w:r w:rsidR="00FF0B24">
              <w:rPr>
                <w:noProof/>
                <w:webHidden/>
              </w:rPr>
              <w:tab/>
            </w:r>
            <w:r w:rsidR="00FF0B24">
              <w:rPr>
                <w:noProof/>
                <w:webHidden/>
              </w:rPr>
              <w:fldChar w:fldCharType="begin"/>
            </w:r>
            <w:r w:rsidR="00FF0B24">
              <w:rPr>
                <w:noProof/>
                <w:webHidden/>
              </w:rPr>
              <w:instrText xml:space="preserve"> PAGEREF _Toc144360856 \h </w:instrText>
            </w:r>
            <w:r w:rsidR="00FF0B24">
              <w:rPr>
                <w:noProof/>
                <w:webHidden/>
              </w:rPr>
            </w:r>
            <w:r w:rsidR="00FF0B24">
              <w:rPr>
                <w:noProof/>
                <w:webHidden/>
              </w:rPr>
              <w:fldChar w:fldCharType="separate"/>
            </w:r>
            <w:r w:rsidR="00B33E2A">
              <w:rPr>
                <w:noProof/>
                <w:webHidden/>
              </w:rPr>
              <w:t>144</w:t>
            </w:r>
            <w:r w:rsidR="00FF0B24">
              <w:rPr>
                <w:noProof/>
                <w:webHidden/>
              </w:rPr>
              <w:fldChar w:fldCharType="end"/>
            </w:r>
          </w:hyperlink>
        </w:p>
        <w:p w14:paraId="35662DD6" w14:textId="3FCB6ED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7" w:history="1">
            <w:r w:rsidR="00FF0B24" w:rsidRPr="00022765">
              <w:rPr>
                <w:rStyle w:val="Hyperlink"/>
                <w:noProof/>
              </w:rPr>
              <w:t>E78 Collection</w:t>
            </w:r>
            <w:r w:rsidR="00FF0B24">
              <w:rPr>
                <w:noProof/>
                <w:webHidden/>
              </w:rPr>
              <w:tab/>
            </w:r>
            <w:r w:rsidR="00FF0B24">
              <w:rPr>
                <w:noProof/>
                <w:webHidden/>
              </w:rPr>
              <w:fldChar w:fldCharType="begin"/>
            </w:r>
            <w:r w:rsidR="00FF0B24">
              <w:rPr>
                <w:noProof/>
                <w:webHidden/>
              </w:rPr>
              <w:instrText xml:space="preserve"> PAGEREF _Toc144360857 \h </w:instrText>
            </w:r>
            <w:r w:rsidR="00FF0B24">
              <w:rPr>
                <w:noProof/>
                <w:webHidden/>
              </w:rPr>
            </w:r>
            <w:r w:rsidR="00FF0B24">
              <w:rPr>
                <w:noProof/>
                <w:webHidden/>
              </w:rPr>
              <w:fldChar w:fldCharType="separate"/>
            </w:r>
            <w:r w:rsidR="00B33E2A">
              <w:rPr>
                <w:noProof/>
                <w:webHidden/>
              </w:rPr>
              <w:t>145</w:t>
            </w:r>
            <w:r w:rsidR="00FF0B24">
              <w:rPr>
                <w:noProof/>
                <w:webHidden/>
              </w:rPr>
              <w:fldChar w:fldCharType="end"/>
            </w:r>
          </w:hyperlink>
        </w:p>
        <w:p w14:paraId="2BF93D17" w14:textId="1DB0B8F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8" w:history="1">
            <w:r w:rsidR="00FF0B24" w:rsidRPr="00022765">
              <w:rPr>
                <w:rStyle w:val="Hyperlink"/>
                <w:noProof/>
              </w:rPr>
              <w:t>E79 Ajout d'élément</w:t>
            </w:r>
            <w:r w:rsidR="00FF0B24">
              <w:rPr>
                <w:noProof/>
                <w:webHidden/>
              </w:rPr>
              <w:tab/>
            </w:r>
            <w:r w:rsidR="00FF0B24">
              <w:rPr>
                <w:noProof/>
                <w:webHidden/>
              </w:rPr>
              <w:fldChar w:fldCharType="begin"/>
            </w:r>
            <w:r w:rsidR="00FF0B24">
              <w:rPr>
                <w:noProof/>
                <w:webHidden/>
              </w:rPr>
              <w:instrText xml:space="preserve"> PAGEREF _Toc144360858 \h </w:instrText>
            </w:r>
            <w:r w:rsidR="00FF0B24">
              <w:rPr>
                <w:noProof/>
                <w:webHidden/>
              </w:rPr>
            </w:r>
            <w:r w:rsidR="00FF0B24">
              <w:rPr>
                <w:noProof/>
                <w:webHidden/>
              </w:rPr>
              <w:fldChar w:fldCharType="separate"/>
            </w:r>
            <w:r w:rsidR="00B33E2A">
              <w:rPr>
                <w:noProof/>
                <w:webHidden/>
              </w:rPr>
              <w:t>147</w:t>
            </w:r>
            <w:r w:rsidR="00FF0B24">
              <w:rPr>
                <w:noProof/>
                <w:webHidden/>
              </w:rPr>
              <w:fldChar w:fldCharType="end"/>
            </w:r>
          </w:hyperlink>
        </w:p>
        <w:p w14:paraId="13A966BD" w14:textId="5854A2D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59" w:history="1">
            <w:r w:rsidR="00FF0B24" w:rsidRPr="00022765">
              <w:rPr>
                <w:rStyle w:val="Hyperlink"/>
                <w:noProof/>
              </w:rPr>
              <w:t>E80 Retrait d'élément</w:t>
            </w:r>
            <w:r w:rsidR="00FF0B24">
              <w:rPr>
                <w:noProof/>
                <w:webHidden/>
              </w:rPr>
              <w:tab/>
            </w:r>
            <w:r w:rsidR="00FF0B24">
              <w:rPr>
                <w:noProof/>
                <w:webHidden/>
              </w:rPr>
              <w:fldChar w:fldCharType="begin"/>
            </w:r>
            <w:r w:rsidR="00FF0B24">
              <w:rPr>
                <w:noProof/>
                <w:webHidden/>
              </w:rPr>
              <w:instrText xml:space="preserve"> PAGEREF _Toc144360859 \h </w:instrText>
            </w:r>
            <w:r w:rsidR="00FF0B24">
              <w:rPr>
                <w:noProof/>
                <w:webHidden/>
              </w:rPr>
            </w:r>
            <w:r w:rsidR="00FF0B24">
              <w:rPr>
                <w:noProof/>
                <w:webHidden/>
              </w:rPr>
              <w:fldChar w:fldCharType="separate"/>
            </w:r>
            <w:r w:rsidR="00B33E2A">
              <w:rPr>
                <w:noProof/>
                <w:webHidden/>
              </w:rPr>
              <w:t>147</w:t>
            </w:r>
            <w:r w:rsidR="00FF0B24">
              <w:rPr>
                <w:noProof/>
                <w:webHidden/>
              </w:rPr>
              <w:fldChar w:fldCharType="end"/>
            </w:r>
          </w:hyperlink>
        </w:p>
        <w:p w14:paraId="64D709CB" w14:textId="6F267C2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0" w:history="1">
            <w:r w:rsidR="00FF0B24" w:rsidRPr="00022765">
              <w:rPr>
                <w:rStyle w:val="Hyperlink"/>
                <w:noProof/>
              </w:rPr>
              <w:t>E81 Transformation</w:t>
            </w:r>
            <w:r w:rsidR="00FF0B24">
              <w:rPr>
                <w:noProof/>
                <w:webHidden/>
              </w:rPr>
              <w:tab/>
            </w:r>
            <w:r w:rsidR="00FF0B24">
              <w:rPr>
                <w:noProof/>
                <w:webHidden/>
              </w:rPr>
              <w:fldChar w:fldCharType="begin"/>
            </w:r>
            <w:r w:rsidR="00FF0B24">
              <w:rPr>
                <w:noProof/>
                <w:webHidden/>
              </w:rPr>
              <w:instrText xml:space="preserve"> PAGEREF _Toc144360860 \h </w:instrText>
            </w:r>
            <w:r w:rsidR="00FF0B24">
              <w:rPr>
                <w:noProof/>
                <w:webHidden/>
              </w:rPr>
            </w:r>
            <w:r w:rsidR="00FF0B24">
              <w:rPr>
                <w:noProof/>
                <w:webHidden/>
              </w:rPr>
              <w:fldChar w:fldCharType="separate"/>
            </w:r>
            <w:r w:rsidR="00B33E2A">
              <w:rPr>
                <w:noProof/>
                <w:webHidden/>
              </w:rPr>
              <w:t>148</w:t>
            </w:r>
            <w:r w:rsidR="00FF0B24">
              <w:rPr>
                <w:noProof/>
                <w:webHidden/>
              </w:rPr>
              <w:fldChar w:fldCharType="end"/>
            </w:r>
          </w:hyperlink>
        </w:p>
        <w:p w14:paraId="289FA63C" w14:textId="7FE6A88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1" w:history="1">
            <w:r w:rsidR="00FF0B24" w:rsidRPr="00022765">
              <w:rPr>
                <w:rStyle w:val="Hyperlink"/>
                <w:noProof/>
              </w:rPr>
              <w:t>E83 Création de type</w:t>
            </w:r>
            <w:r w:rsidR="00FF0B24">
              <w:rPr>
                <w:noProof/>
                <w:webHidden/>
              </w:rPr>
              <w:tab/>
            </w:r>
            <w:r w:rsidR="00FF0B24">
              <w:rPr>
                <w:noProof/>
                <w:webHidden/>
              </w:rPr>
              <w:fldChar w:fldCharType="begin"/>
            </w:r>
            <w:r w:rsidR="00FF0B24">
              <w:rPr>
                <w:noProof/>
                <w:webHidden/>
              </w:rPr>
              <w:instrText xml:space="preserve"> PAGEREF _Toc144360861 \h </w:instrText>
            </w:r>
            <w:r w:rsidR="00FF0B24">
              <w:rPr>
                <w:noProof/>
                <w:webHidden/>
              </w:rPr>
            </w:r>
            <w:r w:rsidR="00FF0B24">
              <w:rPr>
                <w:noProof/>
                <w:webHidden/>
              </w:rPr>
              <w:fldChar w:fldCharType="separate"/>
            </w:r>
            <w:r w:rsidR="00B33E2A">
              <w:rPr>
                <w:noProof/>
                <w:webHidden/>
              </w:rPr>
              <w:t>149</w:t>
            </w:r>
            <w:r w:rsidR="00FF0B24">
              <w:rPr>
                <w:noProof/>
                <w:webHidden/>
              </w:rPr>
              <w:fldChar w:fldCharType="end"/>
            </w:r>
          </w:hyperlink>
        </w:p>
        <w:p w14:paraId="0FB91E72" w14:textId="098A36A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2" w:history="1">
            <w:r w:rsidR="00FF0B24" w:rsidRPr="00022765">
              <w:rPr>
                <w:rStyle w:val="Hyperlink"/>
                <w:noProof/>
              </w:rPr>
              <w:t>E85 Adhésion</w:t>
            </w:r>
            <w:r w:rsidR="00FF0B24">
              <w:rPr>
                <w:noProof/>
                <w:webHidden/>
              </w:rPr>
              <w:tab/>
            </w:r>
            <w:r w:rsidR="00FF0B24">
              <w:rPr>
                <w:noProof/>
                <w:webHidden/>
              </w:rPr>
              <w:fldChar w:fldCharType="begin"/>
            </w:r>
            <w:r w:rsidR="00FF0B24">
              <w:rPr>
                <w:noProof/>
                <w:webHidden/>
              </w:rPr>
              <w:instrText xml:space="preserve"> PAGEREF _Toc144360862 \h </w:instrText>
            </w:r>
            <w:r w:rsidR="00FF0B24">
              <w:rPr>
                <w:noProof/>
                <w:webHidden/>
              </w:rPr>
            </w:r>
            <w:r w:rsidR="00FF0B24">
              <w:rPr>
                <w:noProof/>
                <w:webHidden/>
              </w:rPr>
              <w:fldChar w:fldCharType="separate"/>
            </w:r>
            <w:r w:rsidR="00B33E2A">
              <w:rPr>
                <w:noProof/>
                <w:webHidden/>
              </w:rPr>
              <w:t>150</w:t>
            </w:r>
            <w:r w:rsidR="00FF0B24">
              <w:rPr>
                <w:noProof/>
                <w:webHidden/>
              </w:rPr>
              <w:fldChar w:fldCharType="end"/>
            </w:r>
          </w:hyperlink>
        </w:p>
        <w:p w14:paraId="4BD1BC4D" w14:textId="00951DC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3" w:history="1">
            <w:r w:rsidR="00FF0B24" w:rsidRPr="00022765">
              <w:rPr>
                <w:rStyle w:val="Hyperlink"/>
                <w:noProof/>
              </w:rPr>
              <w:t>E86 Départ</w:t>
            </w:r>
            <w:r w:rsidR="00FF0B24">
              <w:rPr>
                <w:noProof/>
                <w:webHidden/>
              </w:rPr>
              <w:tab/>
            </w:r>
            <w:r w:rsidR="00FF0B24">
              <w:rPr>
                <w:noProof/>
                <w:webHidden/>
              </w:rPr>
              <w:fldChar w:fldCharType="begin"/>
            </w:r>
            <w:r w:rsidR="00FF0B24">
              <w:rPr>
                <w:noProof/>
                <w:webHidden/>
              </w:rPr>
              <w:instrText xml:space="preserve"> PAGEREF _Toc144360863 \h </w:instrText>
            </w:r>
            <w:r w:rsidR="00FF0B24">
              <w:rPr>
                <w:noProof/>
                <w:webHidden/>
              </w:rPr>
            </w:r>
            <w:r w:rsidR="00FF0B24">
              <w:rPr>
                <w:noProof/>
                <w:webHidden/>
              </w:rPr>
              <w:fldChar w:fldCharType="separate"/>
            </w:r>
            <w:r w:rsidR="00B33E2A">
              <w:rPr>
                <w:noProof/>
                <w:webHidden/>
              </w:rPr>
              <w:t>151</w:t>
            </w:r>
            <w:r w:rsidR="00FF0B24">
              <w:rPr>
                <w:noProof/>
                <w:webHidden/>
              </w:rPr>
              <w:fldChar w:fldCharType="end"/>
            </w:r>
          </w:hyperlink>
        </w:p>
        <w:p w14:paraId="4831BB5A" w14:textId="59D9A6A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4" w:history="1">
            <w:r w:rsidR="00FF0B24" w:rsidRPr="00022765">
              <w:rPr>
                <w:rStyle w:val="Hyperlink"/>
                <w:noProof/>
              </w:rPr>
              <w:t>E87 Activité curatoriale</w:t>
            </w:r>
            <w:r w:rsidR="00FF0B24">
              <w:rPr>
                <w:noProof/>
                <w:webHidden/>
              </w:rPr>
              <w:tab/>
            </w:r>
            <w:r w:rsidR="00FF0B24">
              <w:rPr>
                <w:noProof/>
                <w:webHidden/>
              </w:rPr>
              <w:fldChar w:fldCharType="begin"/>
            </w:r>
            <w:r w:rsidR="00FF0B24">
              <w:rPr>
                <w:noProof/>
                <w:webHidden/>
              </w:rPr>
              <w:instrText xml:space="preserve"> PAGEREF _Toc144360864 \h </w:instrText>
            </w:r>
            <w:r w:rsidR="00FF0B24">
              <w:rPr>
                <w:noProof/>
                <w:webHidden/>
              </w:rPr>
            </w:r>
            <w:r w:rsidR="00FF0B24">
              <w:rPr>
                <w:noProof/>
                <w:webHidden/>
              </w:rPr>
              <w:fldChar w:fldCharType="separate"/>
            </w:r>
            <w:r w:rsidR="00B33E2A">
              <w:rPr>
                <w:noProof/>
                <w:webHidden/>
              </w:rPr>
              <w:t>152</w:t>
            </w:r>
            <w:r w:rsidR="00FF0B24">
              <w:rPr>
                <w:noProof/>
                <w:webHidden/>
              </w:rPr>
              <w:fldChar w:fldCharType="end"/>
            </w:r>
          </w:hyperlink>
        </w:p>
        <w:p w14:paraId="36ED3C52" w14:textId="44CF2BD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5" w:history="1">
            <w:r w:rsidR="00FF0B24" w:rsidRPr="00022765">
              <w:rPr>
                <w:rStyle w:val="Hyperlink"/>
                <w:noProof/>
              </w:rPr>
              <w:t>E89 Objet propositionnel</w:t>
            </w:r>
            <w:r w:rsidR="00FF0B24">
              <w:rPr>
                <w:noProof/>
                <w:webHidden/>
              </w:rPr>
              <w:tab/>
            </w:r>
            <w:r w:rsidR="00FF0B24">
              <w:rPr>
                <w:noProof/>
                <w:webHidden/>
              </w:rPr>
              <w:fldChar w:fldCharType="begin"/>
            </w:r>
            <w:r w:rsidR="00FF0B24">
              <w:rPr>
                <w:noProof/>
                <w:webHidden/>
              </w:rPr>
              <w:instrText xml:space="preserve"> PAGEREF _Toc144360865 \h </w:instrText>
            </w:r>
            <w:r w:rsidR="00FF0B24">
              <w:rPr>
                <w:noProof/>
                <w:webHidden/>
              </w:rPr>
            </w:r>
            <w:r w:rsidR="00FF0B24">
              <w:rPr>
                <w:noProof/>
                <w:webHidden/>
              </w:rPr>
              <w:fldChar w:fldCharType="separate"/>
            </w:r>
            <w:r w:rsidR="00B33E2A">
              <w:rPr>
                <w:noProof/>
                <w:webHidden/>
              </w:rPr>
              <w:t>152</w:t>
            </w:r>
            <w:r w:rsidR="00FF0B24">
              <w:rPr>
                <w:noProof/>
                <w:webHidden/>
              </w:rPr>
              <w:fldChar w:fldCharType="end"/>
            </w:r>
          </w:hyperlink>
        </w:p>
        <w:p w14:paraId="462FDA59" w14:textId="123CC9B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6" w:history="1">
            <w:r w:rsidR="00FF0B24" w:rsidRPr="00022765">
              <w:rPr>
                <w:rStyle w:val="Hyperlink"/>
                <w:noProof/>
              </w:rPr>
              <w:t>E90 Objet symbolique</w:t>
            </w:r>
            <w:r w:rsidR="00FF0B24">
              <w:rPr>
                <w:noProof/>
                <w:webHidden/>
              </w:rPr>
              <w:tab/>
            </w:r>
            <w:r w:rsidR="00FF0B24">
              <w:rPr>
                <w:noProof/>
                <w:webHidden/>
              </w:rPr>
              <w:fldChar w:fldCharType="begin"/>
            </w:r>
            <w:r w:rsidR="00FF0B24">
              <w:rPr>
                <w:noProof/>
                <w:webHidden/>
              </w:rPr>
              <w:instrText xml:space="preserve"> PAGEREF _Toc144360866 \h </w:instrText>
            </w:r>
            <w:r w:rsidR="00FF0B24">
              <w:rPr>
                <w:noProof/>
                <w:webHidden/>
              </w:rPr>
            </w:r>
            <w:r w:rsidR="00FF0B24">
              <w:rPr>
                <w:noProof/>
                <w:webHidden/>
              </w:rPr>
              <w:fldChar w:fldCharType="separate"/>
            </w:r>
            <w:r w:rsidR="00B33E2A">
              <w:rPr>
                <w:noProof/>
                <w:webHidden/>
              </w:rPr>
              <w:t>153</w:t>
            </w:r>
            <w:r w:rsidR="00FF0B24">
              <w:rPr>
                <w:noProof/>
                <w:webHidden/>
              </w:rPr>
              <w:fldChar w:fldCharType="end"/>
            </w:r>
          </w:hyperlink>
        </w:p>
        <w:p w14:paraId="34D869E4" w14:textId="13D17B7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7" w:history="1">
            <w:r w:rsidR="00FF0B24" w:rsidRPr="00022765">
              <w:rPr>
                <w:rStyle w:val="Hyperlink"/>
                <w:noProof/>
              </w:rPr>
              <w:t>E92 Volume spatio-temporel</w:t>
            </w:r>
            <w:r w:rsidR="00FF0B24">
              <w:rPr>
                <w:noProof/>
                <w:webHidden/>
              </w:rPr>
              <w:tab/>
            </w:r>
            <w:r w:rsidR="00FF0B24">
              <w:rPr>
                <w:noProof/>
                <w:webHidden/>
              </w:rPr>
              <w:fldChar w:fldCharType="begin"/>
            </w:r>
            <w:r w:rsidR="00FF0B24">
              <w:rPr>
                <w:noProof/>
                <w:webHidden/>
              </w:rPr>
              <w:instrText xml:space="preserve"> PAGEREF _Toc144360867 \h </w:instrText>
            </w:r>
            <w:r w:rsidR="00FF0B24">
              <w:rPr>
                <w:noProof/>
                <w:webHidden/>
              </w:rPr>
            </w:r>
            <w:r w:rsidR="00FF0B24">
              <w:rPr>
                <w:noProof/>
                <w:webHidden/>
              </w:rPr>
              <w:fldChar w:fldCharType="separate"/>
            </w:r>
            <w:r w:rsidR="00B33E2A">
              <w:rPr>
                <w:noProof/>
                <w:webHidden/>
              </w:rPr>
              <w:t>155</w:t>
            </w:r>
            <w:r w:rsidR="00FF0B24">
              <w:rPr>
                <w:noProof/>
                <w:webHidden/>
              </w:rPr>
              <w:fldChar w:fldCharType="end"/>
            </w:r>
          </w:hyperlink>
        </w:p>
        <w:p w14:paraId="6D631655" w14:textId="7168CC2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8" w:history="1">
            <w:r w:rsidR="00FF0B24" w:rsidRPr="00022765">
              <w:rPr>
                <w:rStyle w:val="Hyperlink"/>
                <w:noProof/>
              </w:rPr>
              <w:t>E93 Présence</w:t>
            </w:r>
            <w:r w:rsidR="00FF0B24">
              <w:rPr>
                <w:noProof/>
                <w:webHidden/>
              </w:rPr>
              <w:tab/>
            </w:r>
            <w:r w:rsidR="00FF0B24">
              <w:rPr>
                <w:noProof/>
                <w:webHidden/>
              </w:rPr>
              <w:fldChar w:fldCharType="begin"/>
            </w:r>
            <w:r w:rsidR="00FF0B24">
              <w:rPr>
                <w:noProof/>
                <w:webHidden/>
              </w:rPr>
              <w:instrText xml:space="preserve"> PAGEREF _Toc144360868 \h </w:instrText>
            </w:r>
            <w:r w:rsidR="00FF0B24">
              <w:rPr>
                <w:noProof/>
                <w:webHidden/>
              </w:rPr>
            </w:r>
            <w:r w:rsidR="00FF0B24">
              <w:rPr>
                <w:noProof/>
                <w:webHidden/>
              </w:rPr>
              <w:fldChar w:fldCharType="separate"/>
            </w:r>
            <w:r w:rsidR="00B33E2A">
              <w:rPr>
                <w:noProof/>
                <w:webHidden/>
              </w:rPr>
              <w:t>156</w:t>
            </w:r>
            <w:r w:rsidR="00FF0B24">
              <w:rPr>
                <w:noProof/>
                <w:webHidden/>
              </w:rPr>
              <w:fldChar w:fldCharType="end"/>
            </w:r>
          </w:hyperlink>
        </w:p>
        <w:p w14:paraId="0D5CB82A" w14:textId="2FACE42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69" w:history="1">
            <w:r w:rsidR="00FF0B24" w:rsidRPr="00022765">
              <w:rPr>
                <w:rStyle w:val="Hyperlink"/>
                <w:noProof/>
              </w:rPr>
              <w:t>E94 Primitive spatiale</w:t>
            </w:r>
            <w:r w:rsidR="00FF0B24">
              <w:rPr>
                <w:noProof/>
                <w:webHidden/>
              </w:rPr>
              <w:tab/>
            </w:r>
            <w:r w:rsidR="00FF0B24">
              <w:rPr>
                <w:noProof/>
                <w:webHidden/>
              </w:rPr>
              <w:fldChar w:fldCharType="begin"/>
            </w:r>
            <w:r w:rsidR="00FF0B24">
              <w:rPr>
                <w:noProof/>
                <w:webHidden/>
              </w:rPr>
              <w:instrText xml:space="preserve"> PAGEREF _Toc144360869 \h </w:instrText>
            </w:r>
            <w:r w:rsidR="00FF0B24">
              <w:rPr>
                <w:noProof/>
                <w:webHidden/>
              </w:rPr>
            </w:r>
            <w:r w:rsidR="00FF0B24">
              <w:rPr>
                <w:noProof/>
                <w:webHidden/>
              </w:rPr>
              <w:fldChar w:fldCharType="separate"/>
            </w:r>
            <w:r w:rsidR="00B33E2A">
              <w:rPr>
                <w:noProof/>
                <w:webHidden/>
              </w:rPr>
              <w:t>157</w:t>
            </w:r>
            <w:r w:rsidR="00FF0B24">
              <w:rPr>
                <w:noProof/>
                <w:webHidden/>
              </w:rPr>
              <w:fldChar w:fldCharType="end"/>
            </w:r>
          </w:hyperlink>
        </w:p>
        <w:p w14:paraId="3911CB58" w14:textId="761D76B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0" w:history="1">
            <w:r w:rsidR="00FF0B24" w:rsidRPr="00022765">
              <w:rPr>
                <w:rStyle w:val="Hyperlink"/>
                <w:noProof/>
              </w:rPr>
              <w:t>E95 Primitive spatio-temporelle</w:t>
            </w:r>
            <w:r w:rsidR="00FF0B24">
              <w:rPr>
                <w:noProof/>
                <w:webHidden/>
              </w:rPr>
              <w:tab/>
            </w:r>
            <w:r w:rsidR="00FF0B24">
              <w:rPr>
                <w:noProof/>
                <w:webHidden/>
              </w:rPr>
              <w:fldChar w:fldCharType="begin"/>
            </w:r>
            <w:r w:rsidR="00FF0B24">
              <w:rPr>
                <w:noProof/>
                <w:webHidden/>
              </w:rPr>
              <w:instrText xml:space="preserve"> PAGEREF _Toc144360870 \h </w:instrText>
            </w:r>
            <w:r w:rsidR="00FF0B24">
              <w:rPr>
                <w:noProof/>
                <w:webHidden/>
              </w:rPr>
            </w:r>
            <w:r w:rsidR="00FF0B24">
              <w:rPr>
                <w:noProof/>
                <w:webHidden/>
              </w:rPr>
              <w:fldChar w:fldCharType="separate"/>
            </w:r>
            <w:r w:rsidR="00B33E2A">
              <w:rPr>
                <w:noProof/>
                <w:webHidden/>
              </w:rPr>
              <w:t>158</w:t>
            </w:r>
            <w:r w:rsidR="00FF0B24">
              <w:rPr>
                <w:noProof/>
                <w:webHidden/>
              </w:rPr>
              <w:fldChar w:fldCharType="end"/>
            </w:r>
          </w:hyperlink>
        </w:p>
        <w:p w14:paraId="7AB2CF9F" w14:textId="5DF896A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1" w:history="1">
            <w:r w:rsidR="00FF0B24" w:rsidRPr="00022765">
              <w:rPr>
                <w:rStyle w:val="Hyperlink"/>
                <w:noProof/>
              </w:rPr>
              <w:t>E96 Achat</w:t>
            </w:r>
            <w:r w:rsidR="00FF0B24">
              <w:rPr>
                <w:noProof/>
                <w:webHidden/>
              </w:rPr>
              <w:tab/>
            </w:r>
            <w:r w:rsidR="00FF0B24">
              <w:rPr>
                <w:noProof/>
                <w:webHidden/>
              </w:rPr>
              <w:fldChar w:fldCharType="begin"/>
            </w:r>
            <w:r w:rsidR="00FF0B24">
              <w:rPr>
                <w:noProof/>
                <w:webHidden/>
              </w:rPr>
              <w:instrText xml:space="preserve"> PAGEREF _Toc144360871 \h </w:instrText>
            </w:r>
            <w:r w:rsidR="00FF0B24">
              <w:rPr>
                <w:noProof/>
                <w:webHidden/>
              </w:rPr>
            </w:r>
            <w:r w:rsidR="00FF0B24">
              <w:rPr>
                <w:noProof/>
                <w:webHidden/>
              </w:rPr>
              <w:fldChar w:fldCharType="separate"/>
            </w:r>
            <w:r w:rsidR="00B33E2A">
              <w:rPr>
                <w:noProof/>
                <w:webHidden/>
              </w:rPr>
              <w:t>159</w:t>
            </w:r>
            <w:r w:rsidR="00FF0B24">
              <w:rPr>
                <w:noProof/>
                <w:webHidden/>
              </w:rPr>
              <w:fldChar w:fldCharType="end"/>
            </w:r>
          </w:hyperlink>
        </w:p>
        <w:p w14:paraId="38D4131A" w14:textId="72AC842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2" w:history="1">
            <w:r w:rsidR="00FF0B24" w:rsidRPr="00022765">
              <w:rPr>
                <w:rStyle w:val="Hyperlink"/>
                <w:noProof/>
              </w:rPr>
              <w:t>E97 Valeur monétaire</w:t>
            </w:r>
            <w:r w:rsidR="00FF0B24">
              <w:rPr>
                <w:noProof/>
                <w:webHidden/>
              </w:rPr>
              <w:tab/>
            </w:r>
            <w:r w:rsidR="00FF0B24">
              <w:rPr>
                <w:noProof/>
                <w:webHidden/>
              </w:rPr>
              <w:fldChar w:fldCharType="begin"/>
            </w:r>
            <w:r w:rsidR="00FF0B24">
              <w:rPr>
                <w:noProof/>
                <w:webHidden/>
              </w:rPr>
              <w:instrText xml:space="preserve"> PAGEREF _Toc144360872 \h </w:instrText>
            </w:r>
            <w:r w:rsidR="00FF0B24">
              <w:rPr>
                <w:noProof/>
                <w:webHidden/>
              </w:rPr>
            </w:r>
            <w:r w:rsidR="00FF0B24">
              <w:rPr>
                <w:noProof/>
                <w:webHidden/>
              </w:rPr>
              <w:fldChar w:fldCharType="separate"/>
            </w:r>
            <w:r w:rsidR="00B33E2A">
              <w:rPr>
                <w:noProof/>
                <w:webHidden/>
              </w:rPr>
              <w:t>160</w:t>
            </w:r>
            <w:r w:rsidR="00FF0B24">
              <w:rPr>
                <w:noProof/>
                <w:webHidden/>
              </w:rPr>
              <w:fldChar w:fldCharType="end"/>
            </w:r>
          </w:hyperlink>
        </w:p>
        <w:p w14:paraId="3AEDAE87" w14:textId="4CCC854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3" w:history="1">
            <w:r w:rsidR="00FF0B24" w:rsidRPr="00022765">
              <w:rPr>
                <w:rStyle w:val="Hyperlink"/>
                <w:noProof/>
              </w:rPr>
              <w:t>E98 Unité monétaire</w:t>
            </w:r>
            <w:r w:rsidR="00FF0B24">
              <w:rPr>
                <w:noProof/>
                <w:webHidden/>
              </w:rPr>
              <w:tab/>
            </w:r>
            <w:r w:rsidR="00FF0B24">
              <w:rPr>
                <w:noProof/>
                <w:webHidden/>
              </w:rPr>
              <w:fldChar w:fldCharType="begin"/>
            </w:r>
            <w:r w:rsidR="00FF0B24">
              <w:rPr>
                <w:noProof/>
                <w:webHidden/>
              </w:rPr>
              <w:instrText xml:space="preserve"> PAGEREF _Toc144360873 \h </w:instrText>
            </w:r>
            <w:r w:rsidR="00FF0B24">
              <w:rPr>
                <w:noProof/>
                <w:webHidden/>
              </w:rPr>
            </w:r>
            <w:r w:rsidR="00FF0B24">
              <w:rPr>
                <w:noProof/>
                <w:webHidden/>
              </w:rPr>
              <w:fldChar w:fldCharType="separate"/>
            </w:r>
            <w:r w:rsidR="00B33E2A">
              <w:rPr>
                <w:noProof/>
                <w:webHidden/>
              </w:rPr>
              <w:t>160</w:t>
            </w:r>
            <w:r w:rsidR="00FF0B24">
              <w:rPr>
                <w:noProof/>
                <w:webHidden/>
              </w:rPr>
              <w:fldChar w:fldCharType="end"/>
            </w:r>
          </w:hyperlink>
        </w:p>
        <w:p w14:paraId="4B4D41F7" w14:textId="6756ABE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4" w:history="1">
            <w:r w:rsidR="00FF0B24" w:rsidRPr="00022765">
              <w:rPr>
                <w:rStyle w:val="Hyperlink"/>
                <w:noProof/>
              </w:rPr>
              <w:t>E99 Modèle de produit</w:t>
            </w:r>
            <w:r w:rsidR="00FF0B24">
              <w:rPr>
                <w:noProof/>
                <w:webHidden/>
              </w:rPr>
              <w:tab/>
            </w:r>
            <w:r w:rsidR="00FF0B24">
              <w:rPr>
                <w:noProof/>
                <w:webHidden/>
              </w:rPr>
              <w:fldChar w:fldCharType="begin"/>
            </w:r>
            <w:r w:rsidR="00FF0B24">
              <w:rPr>
                <w:noProof/>
                <w:webHidden/>
              </w:rPr>
              <w:instrText xml:space="preserve"> PAGEREF _Toc144360874 \h </w:instrText>
            </w:r>
            <w:r w:rsidR="00FF0B24">
              <w:rPr>
                <w:noProof/>
                <w:webHidden/>
              </w:rPr>
            </w:r>
            <w:r w:rsidR="00FF0B24">
              <w:rPr>
                <w:noProof/>
                <w:webHidden/>
              </w:rPr>
              <w:fldChar w:fldCharType="separate"/>
            </w:r>
            <w:r w:rsidR="00B33E2A">
              <w:rPr>
                <w:noProof/>
                <w:webHidden/>
              </w:rPr>
              <w:t>161</w:t>
            </w:r>
            <w:r w:rsidR="00FF0B24">
              <w:rPr>
                <w:noProof/>
                <w:webHidden/>
              </w:rPr>
              <w:fldChar w:fldCharType="end"/>
            </w:r>
          </w:hyperlink>
        </w:p>
        <w:p w14:paraId="6DE88129" w14:textId="4B018DFF"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5" w:history="1">
            <w:r w:rsidR="00FF0B24" w:rsidRPr="00022765">
              <w:rPr>
                <w:rStyle w:val="Hyperlink"/>
                <w:noProof/>
              </w:rPr>
              <w:t>Déclaration des propriétés du CIDOC CRM</w:t>
            </w:r>
            <w:r w:rsidR="00FF0B24">
              <w:rPr>
                <w:noProof/>
                <w:webHidden/>
              </w:rPr>
              <w:tab/>
            </w:r>
            <w:r w:rsidR="00FF0B24">
              <w:rPr>
                <w:noProof/>
                <w:webHidden/>
              </w:rPr>
              <w:fldChar w:fldCharType="begin"/>
            </w:r>
            <w:r w:rsidR="00FF0B24">
              <w:rPr>
                <w:noProof/>
                <w:webHidden/>
              </w:rPr>
              <w:instrText xml:space="preserve"> PAGEREF _Toc144360875 \h </w:instrText>
            </w:r>
            <w:r w:rsidR="00FF0B24">
              <w:rPr>
                <w:noProof/>
                <w:webHidden/>
              </w:rPr>
            </w:r>
            <w:r w:rsidR="00FF0B24">
              <w:rPr>
                <w:noProof/>
                <w:webHidden/>
              </w:rPr>
              <w:fldChar w:fldCharType="separate"/>
            </w:r>
            <w:r w:rsidR="00B33E2A">
              <w:rPr>
                <w:noProof/>
                <w:webHidden/>
              </w:rPr>
              <w:t>162</w:t>
            </w:r>
            <w:r w:rsidR="00FF0B24">
              <w:rPr>
                <w:noProof/>
                <w:webHidden/>
              </w:rPr>
              <w:fldChar w:fldCharType="end"/>
            </w:r>
          </w:hyperlink>
        </w:p>
        <w:p w14:paraId="0BAFF955" w14:textId="4F5F3ED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6" w:history="1">
            <w:r w:rsidR="00FF0B24" w:rsidRPr="00022765">
              <w:rPr>
                <w:rStyle w:val="Hyperlink"/>
                <w:noProof/>
              </w:rPr>
              <w:t>P1 est identifié par (identifie)</w:t>
            </w:r>
            <w:r w:rsidR="00FF0B24">
              <w:rPr>
                <w:noProof/>
                <w:webHidden/>
              </w:rPr>
              <w:tab/>
            </w:r>
            <w:r w:rsidR="00FF0B24">
              <w:rPr>
                <w:noProof/>
                <w:webHidden/>
              </w:rPr>
              <w:fldChar w:fldCharType="begin"/>
            </w:r>
            <w:r w:rsidR="00FF0B24">
              <w:rPr>
                <w:noProof/>
                <w:webHidden/>
              </w:rPr>
              <w:instrText xml:space="preserve"> PAGEREF _Toc144360876 \h </w:instrText>
            </w:r>
            <w:r w:rsidR="00FF0B24">
              <w:rPr>
                <w:noProof/>
                <w:webHidden/>
              </w:rPr>
            </w:r>
            <w:r w:rsidR="00FF0B24">
              <w:rPr>
                <w:noProof/>
                <w:webHidden/>
              </w:rPr>
              <w:fldChar w:fldCharType="separate"/>
            </w:r>
            <w:r w:rsidR="00B33E2A">
              <w:rPr>
                <w:noProof/>
                <w:webHidden/>
              </w:rPr>
              <w:t>163</w:t>
            </w:r>
            <w:r w:rsidR="00FF0B24">
              <w:rPr>
                <w:noProof/>
                <w:webHidden/>
              </w:rPr>
              <w:fldChar w:fldCharType="end"/>
            </w:r>
          </w:hyperlink>
        </w:p>
        <w:p w14:paraId="78FCFA08" w14:textId="18660BB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7" w:history="1">
            <w:r w:rsidR="00FF0B24" w:rsidRPr="00022765">
              <w:rPr>
                <w:rStyle w:val="Hyperlink"/>
                <w:noProof/>
              </w:rPr>
              <w:t>P2 a pour type (est le type de)</w:t>
            </w:r>
            <w:r w:rsidR="00FF0B24">
              <w:rPr>
                <w:noProof/>
                <w:webHidden/>
              </w:rPr>
              <w:tab/>
            </w:r>
            <w:r w:rsidR="00FF0B24">
              <w:rPr>
                <w:noProof/>
                <w:webHidden/>
              </w:rPr>
              <w:fldChar w:fldCharType="begin"/>
            </w:r>
            <w:r w:rsidR="00FF0B24">
              <w:rPr>
                <w:noProof/>
                <w:webHidden/>
              </w:rPr>
              <w:instrText xml:space="preserve"> PAGEREF _Toc144360877 \h </w:instrText>
            </w:r>
            <w:r w:rsidR="00FF0B24">
              <w:rPr>
                <w:noProof/>
                <w:webHidden/>
              </w:rPr>
            </w:r>
            <w:r w:rsidR="00FF0B24">
              <w:rPr>
                <w:noProof/>
                <w:webHidden/>
              </w:rPr>
              <w:fldChar w:fldCharType="separate"/>
            </w:r>
            <w:r w:rsidR="00B33E2A">
              <w:rPr>
                <w:noProof/>
                <w:webHidden/>
              </w:rPr>
              <w:t>164</w:t>
            </w:r>
            <w:r w:rsidR="00FF0B24">
              <w:rPr>
                <w:noProof/>
                <w:webHidden/>
              </w:rPr>
              <w:fldChar w:fldCharType="end"/>
            </w:r>
          </w:hyperlink>
        </w:p>
        <w:p w14:paraId="1C11020A" w14:textId="21C1A17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8" w:history="1">
            <w:r w:rsidR="00FF0B24" w:rsidRPr="00022765">
              <w:rPr>
                <w:rStyle w:val="Hyperlink"/>
                <w:noProof/>
              </w:rPr>
              <w:t>P3 a pour note</w:t>
            </w:r>
            <w:r w:rsidR="00FF0B24">
              <w:rPr>
                <w:noProof/>
                <w:webHidden/>
              </w:rPr>
              <w:tab/>
            </w:r>
            <w:r w:rsidR="00FF0B24">
              <w:rPr>
                <w:noProof/>
                <w:webHidden/>
              </w:rPr>
              <w:fldChar w:fldCharType="begin"/>
            </w:r>
            <w:r w:rsidR="00FF0B24">
              <w:rPr>
                <w:noProof/>
                <w:webHidden/>
              </w:rPr>
              <w:instrText xml:space="preserve"> PAGEREF _Toc144360878 \h </w:instrText>
            </w:r>
            <w:r w:rsidR="00FF0B24">
              <w:rPr>
                <w:noProof/>
                <w:webHidden/>
              </w:rPr>
            </w:r>
            <w:r w:rsidR="00FF0B24">
              <w:rPr>
                <w:noProof/>
                <w:webHidden/>
              </w:rPr>
              <w:fldChar w:fldCharType="separate"/>
            </w:r>
            <w:r w:rsidR="00B33E2A">
              <w:rPr>
                <w:noProof/>
                <w:webHidden/>
              </w:rPr>
              <w:t>165</w:t>
            </w:r>
            <w:r w:rsidR="00FF0B24">
              <w:rPr>
                <w:noProof/>
                <w:webHidden/>
              </w:rPr>
              <w:fldChar w:fldCharType="end"/>
            </w:r>
          </w:hyperlink>
        </w:p>
        <w:p w14:paraId="5387FA4C" w14:textId="3400331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79" w:history="1">
            <w:r w:rsidR="00FF0B24" w:rsidRPr="00022765">
              <w:rPr>
                <w:rStyle w:val="Hyperlink"/>
                <w:noProof/>
              </w:rPr>
              <w:t>P4 a pour intervalle temporel (est l’intervalle temporel de)</w:t>
            </w:r>
            <w:r w:rsidR="00FF0B24">
              <w:rPr>
                <w:noProof/>
                <w:webHidden/>
              </w:rPr>
              <w:tab/>
            </w:r>
            <w:r w:rsidR="00FF0B24">
              <w:rPr>
                <w:noProof/>
                <w:webHidden/>
              </w:rPr>
              <w:fldChar w:fldCharType="begin"/>
            </w:r>
            <w:r w:rsidR="00FF0B24">
              <w:rPr>
                <w:noProof/>
                <w:webHidden/>
              </w:rPr>
              <w:instrText xml:space="preserve"> PAGEREF _Toc144360879 \h </w:instrText>
            </w:r>
            <w:r w:rsidR="00FF0B24">
              <w:rPr>
                <w:noProof/>
                <w:webHidden/>
              </w:rPr>
            </w:r>
            <w:r w:rsidR="00FF0B24">
              <w:rPr>
                <w:noProof/>
                <w:webHidden/>
              </w:rPr>
              <w:fldChar w:fldCharType="separate"/>
            </w:r>
            <w:r w:rsidR="00B33E2A">
              <w:rPr>
                <w:noProof/>
                <w:webHidden/>
              </w:rPr>
              <w:t>166</w:t>
            </w:r>
            <w:r w:rsidR="00FF0B24">
              <w:rPr>
                <w:noProof/>
                <w:webHidden/>
              </w:rPr>
              <w:fldChar w:fldCharType="end"/>
            </w:r>
          </w:hyperlink>
        </w:p>
        <w:p w14:paraId="229A0616" w14:textId="4125324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0" w:history="1">
            <w:r w:rsidR="00FF0B24" w:rsidRPr="00022765">
              <w:rPr>
                <w:rStyle w:val="Hyperlink"/>
                <w:noProof/>
              </w:rPr>
              <w:t>P5 comprend (fait partie de)</w:t>
            </w:r>
            <w:r w:rsidR="00FF0B24">
              <w:rPr>
                <w:noProof/>
                <w:webHidden/>
              </w:rPr>
              <w:tab/>
            </w:r>
            <w:r w:rsidR="00FF0B24">
              <w:rPr>
                <w:noProof/>
                <w:webHidden/>
              </w:rPr>
              <w:fldChar w:fldCharType="begin"/>
            </w:r>
            <w:r w:rsidR="00FF0B24">
              <w:rPr>
                <w:noProof/>
                <w:webHidden/>
              </w:rPr>
              <w:instrText xml:space="preserve"> PAGEREF _Toc144360880 \h </w:instrText>
            </w:r>
            <w:r w:rsidR="00FF0B24">
              <w:rPr>
                <w:noProof/>
                <w:webHidden/>
              </w:rPr>
            </w:r>
            <w:r w:rsidR="00FF0B24">
              <w:rPr>
                <w:noProof/>
                <w:webHidden/>
              </w:rPr>
              <w:fldChar w:fldCharType="separate"/>
            </w:r>
            <w:r w:rsidR="00B33E2A">
              <w:rPr>
                <w:noProof/>
                <w:webHidden/>
              </w:rPr>
              <w:t>167</w:t>
            </w:r>
            <w:r w:rsidR="00FF0B24">
              <w:rPr>
                <w:noProof/>
                <w:webHidden/>
              </w:rPr>
              <w:fldChar w:fldCharType="end"/>
            </w:r>
          </w:hyperlink>
        </w:p>
        <w:p w14:paraId="09E8309E" w14:textId="5A4B38A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1" w:history="1">
            <w:r w:rsidR="00FF0B24" w:rsidRPr="00022765">
              <w:rPr>
                <w:rStyle w:val="Hyperlink"/>
                <w:noProof/>
              </w:rPr>
              <w:t>P7 a eu lieu dans (a été témoin de)</w:t>
            </w:r>
            <w:r w:rsidR="00FF0B24">
              <w:rPr>
                <w:noProof/>
                <w:webHidden/>
              </w:rPr>
              <w:tab/>
            </w:r>
            <w:r w:rsidR="00FF0B24">
              <w:rPr>
                <w:noProof/>
                <w:webHidden/>
              </w:rPr>
              <w:fldChar w:fldCharType="begin"/>
            </w:r>
            <w:r w:rsidR="00FF0B24">
              <w:rPr>
                <w:noProof/>
                <w:webHidden/>
              </w:rPr>
              <w:instrText xml:space="preserve"> PAGEREF _Toc144360881 \h </w:instrText>
            </w:r>
            <w:r w:rsidR="00FF0B24">
              <w:rPr>
                <w:noProof/>
                <w:webHidden/>
              </w:rPr>
            </w:r>
            <w:r w:rsidR="00FF0B24">
              <w:rPr>
                <w:noProof/>
                <w:webHidden/>
              </w:rPr>
              <w:fldChar w:fldCharType="separate"/>
            </w:r>
            <w:r w:rsidR="00B33E2A">
              <w:rPr>
                <w:noProof/>
                <w:webHidden/>
              </w:rPr>
              <w:t>168</w:t>
            </w:r>
            <w:r w:rsidR="00FF0B24">
              <w:rPr>
                <w:noProof/>
                <w:webHidden/>
              </w:rPr>
              <w:fldChar w:fldCharType="end"/>
            </w:r>
          </w:hyperlink>
        </w:p>
        <w:p w14:paraId="2B9DE0D6" w14:textId="57D562C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2" w:history="1">
            <w:r w:rsidR="00FF0B24" w:rsidRPr="00022765">
              <w:rPr>
                <w:rStyle w:val="Hyperlink"/>
                <w:noProof/>
              </w:rPr>
              <w:t>P8 a eu lieu à (a été témoin de)</w:t>
            </w:r>
            <w:r w:rsidR="00FF0B24">
              <w:rPr>
                <w:noProof/>
                <w:webHidden/>
              </w:rPr>
              <w:tab/>
            </w:r>
            <w:r w:rsidR="00FF0B24">
              <w:rPr>
                <w:noProof/>
                <w:webHidden/>
              </w:rPr>
              <w:fldChar w:fldCharType="begin"/>
            </w:r>
            <w:r w:rsidR="00FF0B24">
              <w:rPr>
                <w:noProof/>
                <w:webHidden/>
              </w:rPr>
              <w:instrText xml:space="preserve"> PAGEREF _Toc144360882 \h </w:instrText>
            </w:r>
            <w:r w:rsidR="00FF0B24">
              <w:rPr>
                <w:noProof/>
                <w:webHidden/>
              </w:rPr>
            </w:r>
            <w:r w:rsidR="00FF0B24">
              <w:rPr>
                <w:noProof/>
                <w:webHidden/>
              </w:rPr>
              <w:fldChar w:fldCharType="separate"/>
            </w:r>
            <w:r w:rsidR="00B33E2A">
              <w:rPr>
                <w:noProof/>
                <w:webHidden/>
              </w:rPr>
              <w:t>169</w:t>
            </w:r>
            <w:r w:rsidR="00FF0B24">
              <w:rPr>
                <w:noProof/>
                <w:webHidden/>
              </w:rPr>
              <w:fldChar w:fldCharType="end"/>
            </w:r>
          </w:hyperlink>
        </w:p>
        <w:p w14:paraId="62C73780" w14:textId="094A122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3" w:history="1">
            <w:r w:rsidR="00FF0B24" w:rsidRPr="00022765">
              <w:rPr>
                <w:rStyle w:val="Hyperlink"/>
                <w:noProof/>
              </w:rPr>
              <w:t>P9 comprend (fait partie de)</w:t>
            </w:r>
            <w:r w:rsidR="00FF0B24">
              <w:rPr>
                <w:noProof/>
                <w:webHidden/>
              </w:rPr>
              <w:tab/>
            </w:r>
            <w:r w:rsidR="00FF0B24">
              <w:rPr>
                <w:noProof/>
                <w:webHidden/>
              </w:rPr>
              <w:fldChar w:fldCharType="begin"/>
            </w:r>
            <w:r w:rsidR="00FF0B24">
              <w:rPr>
                <w:noProof/>
                <w:webHidden/>
              </w:rPr>
              <w:instrText xml:space="preserve"> PAGEREF _Toc144360883 \h </w:instrText>
            </w:r>
            <w:r w:rsidR="00FF0B24">
              <w:rPr>
                <w:noProof/>
                <w:webHidden/>
              </w:rPr>
            </w:r>
            <w:r w:rsidR="00FF0B24">
              <w:rPr>
                <w:noProof/>
                <w:webHidden/>
              </w:rPr>
              <w:fldChar w:fldCharType="separate"/>
            </w:r>
            <w:r w:rsidR="00B33E2A">
              <w:rPr>
                <w:noProof/>
                <w:webHidden/>
              </w:rPr>
              <w:t>170</w:t>
            </w:r>
            <w:r w:rsidR="00FF0B24">
              <w:rPr>
                <w:noProof/>
                <w:webHidden/>
              </w:rPr>
              <w:fldChar w:fldCharType="end"/>
            </w:r>
          </w:hyperlink>
        </w:p>
        <w:p w14:paraId="0FA90777" w14:textId="735BA93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4" w:history="1">
            <w:r w:rsidR="00FF0B24" w:rsidRPr="00022765">
              <w:rPr>
                <w:rStyle w:val="Hyperlink"/>
                <w:noProof/>
              </w:rPr>
              <w:t>P10 s’insère dans (contient)</w:t>
            </w:r>
            <w:r w:rsidR="00FF0B24">
              <w:rPr>
                <w:noProof/>
                <w:webHidden/>
              </w:rPr>
              <w:tab/>
            </w:r>
            <w:r w:rsidR="00FF0B24">
              <w:rPr>
                <w:noProof/>
                <w:webHidden/>
              </w:rPr>
              <w:fldChar w:fldCharType="begin"/>
            </w:r>
            <w:r w:rsidR="00FF0B24">
              <w:rPr>
                <w:noProof/>
                <w:webHidden/>
              </w:rPr>
              <w:instrText xml:space="preserve"> PAGEREF _Toc144360884 \h </w:instrText>
            </w:r>
            <w:r w:rsidR="00FF0B24">
              <w:rPr>
                <w:noProof/>
                <w:webHidden/>
              </w:rPr>
            </w:r>
            <w:r w:rsidR="00FF0B24">
              <w:rPr>
                <w:noProof/>
                <w:webHidden/>
              </w:rPr>
              <w:fldChar w:fldCharType="separate"/>
            </w:r>
            <w:r w:rsidR="00B33E2A">
              <w:rPr>
                <w:noProof/>
                <w:webHidden/>
              </w:rPr>
              <w:t>171</w:t>
            </w:r>
            <w:r w:rsidR="00FF0B24">
              <w:rPr>
                <w:noProof/>
                <w:webHidden/>
              </w:rPr>
              <w:fldChar w:fldCharType="end"/>
            </w:r>
          </w:hyperlink>
        </w:p>
        <w:p w14:paraId="62900B2A" w14:textId="077B76C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5" w:history="1">
            <w:r w:rsidR="00FF0B24" w:rsidRPr="00022765">
              <w:rPr>
                <w:rStyle w:val="Hyperlink"/>
                <w:noProof/>
              </w:rPr>
              <w:t>P11 a eu pour actant participant (a participé à)</w:t>
            </w:r>
            <w:r w:rsidR="00FF0B24">
              <w:rPr>
                <w:noProof/>
                <w:webHidden/>
              </w:rPr>
              <w:tab/>
            </w:r>
            <w:r w:rsidR="00FF0B24">
              <w:rPr>
                <w:noProof/>
                <w:webHidden/>
              </w:rPr>
              <w:fldChar w:fldCharType="begin"/>
            </w:r>
            <w:r w:rsidR="00FF0B24">
              <w:rPr>
                <w:noProof/>
                <w:webHidden/>
              </w:rPr>
              <w:instrText xml:space="preserve"> PAGEREF _Toc144360885 \h </w:instrText>
            </w:r>
            <w:r w:rsidR="00FF0B24">
              <w:rPr>
                <w:noProof/>
                <w:webHidden/>
              </w:rPr>
            </w:r>
            <w:r w:rsidR="00FF0B24">
              <w:rPr>
                <w:noProof/>
                <w:webHidden/>
              </w:rPr>
              <w:fldChar w:fldCharType="separate"/>
            </w:r>
            <w:r w:rsidR="00B33E2A">
              <w:rPr>
                <w:noProof/>
                <w:webHidden/>
              </w:rPr>
              <w:t>171</w:t>
            </w:r>
            <w:r w:rsidR="00FF0B24">
              <w:rPr>
                <w:noProof/>
                <w:webHidden/>
              </w:rPr>
              <w:fldChar w:fldCharType="end"/>
            </w:r>
          </w:hyperlink>
        </w:p>
        <w:p w14:paraId="4B09272B" w14:textId="6D060C4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6" w:history="1">
            <w:r w:rsidR="00FF0B24" w:rsidRPr="00022765">
              <w:rPr>
                <w:rStyle w:val="Hyperlink"/>
                <w:noProof/>
              </w:rPr>
              <w:t>P12 a eu lieu en présence de (a été présent à)</w:t>
            </w:r>
            <w:r w:rsidR="00FF0B24">
              <w:rPr>
                <w:noProof/>
                <w:webHidden/>
              </w:rPr>
              <w:tab/>
            </w:r>
            <w:r w:rsidR="00FF0B24">
              <w:rPr>
                <w:noProof/>
                <w:webHidden/>
              </w:rPr>
              <w:fldChar w:fldCharType="begin"/>
            </w:r>
            <w:r w:rsidR="00FF0B24">
              <w:rPr>
                <w:noProof/>
                <w:webHidden/>
              </w:rPr>
              <w:instrText xml:space="preserve"> PAGEREF _Toc144360886 \h </w:instrText>
            </w:r>
            <w:r w:rsidR="00FF0B24">
              <w:rPr>
                <w:noProof/>
                <w:webHidden/>
              </w:rPr>
            </w:r>
            <w:r w:rsidR="00FF0B24">
              <w:rPr>
                <w:noProof/>
                <w:webHidden/>
              </w:rPr>
              <w:fldChar w:fldCharType="separate"/>
            </w:r>
            <w:r w:rsidR="00B33E2A">
              <w:rPr>
                <w:noProof/>
                <w:webHidden/>
              </w:rPr>
              <w:t>173</w:t>
            </w:r>
            <w:r w:rsidR="00FF0B24">
              <w:rPr>
                <w:noProof/>
                <w:webHidden/>
              </w:rPr>
              <w:fldChar w:fldCharType="end"/>
            </w:r>
          </w:hyperlink>
        </w:p>
        <w:p w14:paraId="39307F74" w14:textId="1DEF68A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7" w:history="1">
            <w:r w:rsidR="00FF0B24" w:rsidRPr="00022765">
              <w:rPr>
                <w:rStyle w:val="Hyperlink"/>
                <w:noProof/>
              </w:rPr>
              <w:t>P13 a détruit (a été détruit par)</w:t>
            </w:r>
            <w:r w:rsidR="00FF0B24">
              <w:rPr>
                <w:noProof/>
                <w:webHidden/>
              </w:rPr>
              <w:tab/>
            </w:r>
            <w:r w:rsidR="00FF0B24">
              <w:rPr>
                <w:noProof/>
                <w:webHidden/>
              </w:rPr>
              <w:fldChar w:fldCharType="begin"/>
            </w:r>
            <w:r w:rsidR="00FF0B24">
              <w:rPr>
                <w:noProof/>
                <w:webHidden/>
              </w:rPr>
              <w:instrText xml:space="preserve"> PAGEREF _Toc144360887 \h </w:instrText>
            </w:r>
            <w:r w:rsidR="00FF0B24">
              <w:rPr>
                <w:noProof/>
                <w:webHidden/>
              </w:rPr>
            </w:r>
            <w:r w:rsidR="00FF0B24">
              <w:rPr>
                <w:noProof/>
                <w:webHidden/>
              </w:rPr>
              <w:fldChar w:fldCharType="separate"/>
            </w:r>
            <w:r w:rsidR="00B33E2A">
              <w:rPr>
                <w:noProof/>
                <w:webHidden/>
              </w:rPr>
              <w:t>174</w:t>
            </w:r>
            <w:r w:rsidR="00FF0B24">
              <w:rPr>
                <w:noProof/>
                <w:webHidden/>
              </w:rPr>
              <w:fldChar w:fldCharType="end"/>
            </w:r>
          </w:hyperlink>
        </w:p>
        <w:p w14:paraId="14964F06" w14:textId="19A593F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8" w:history="1">
            <w:r w:rsidR="00FF0B24" w:rsidRPr="00022765">
              <w:rPr>
                <w:rStyle w:val="Hyperlink"/>
                <w:noProof/>
              </w:rPr>
              <w:t>P14 a été effectué par (a effectué)</w:t>
            </w:r>
            <w:r w:rsidR="00FF0B24">
              <w:rPr>
                <w:noProof/>
                <w:webHidden/>
              </w:rPr>
              <w:tab/>
            </w:r>
            <w:r w:rsidR="00FF0B24">
              <w:rPr>
                <w:noProof/>
                <w:webHidden/>
              </w:rPr>
              <w:fldChar w:fldCharType="begin"/>
            </w:r>
            <w:r w:rsidR="00FF0B24">
              <w:rPr>
                <w:noProof/>
                <w:webHidden/>
              </w:rPr>
              <w:instrText xml:space="preserve"> PAGEREF _Toc144360888 \h </w:instrText>
            </w:r>
            <w:r w:rsidR="00FF0B24">
              <w:rPr>
                <w:noProof/>
                <w:webHidden/>
              </w:rPr>
            </w:r>
            <w:r w:rsidR="00FF0B24">
              <w:rPr>
                <w:noProof/>
                <w:webHidden/>
              </w:rPr>
              <w:fldChar w:fldCharType="separate"/>
            </w:r>
            <w:r w:rsidR="00B33E2A">
              <w:rPr>
                <w:noProof/>
                <w:webHidden/>
              </w:rPr>
              <w:t>175</w:t>
            </w:r>
            <w:r w:rsidR="00FF0B24">
              <w:rPr>
                <w:noProof/>
                <w:webHidden/>
              </w:rPr>
              <w:fldChar w:fldCharType="end"/>
            </w:r>
          </w:hyperlink>
        </w:p>
        <w:p w14:paraId="65625066" w14:textId="4563383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89" w:history="1">
            <w:r w:rsidR="00FF0B24" w:rsidRPr="00022765">
              <w:rPr>
                <w:rStyle w:val="Hyperlink"/>
                <w:noProof/>
              </w:rPr>
              <w:t>P15 a été influencé par (a influencé)</w:t>
            </w:r>
            <w:r w:rsidR="00FF0B24">
              <w:rPr>
                <w:noProof/>
                <w:webHidden/>
              </w:rPr>
              <w:tab/>
            </w:r>
            <w:r w:rsidR="00FF0B24">
              <w:rPr>
                <w:noProof/>
                <w:webHidden/>
              </w:rPr>
              <w:fldChar w:fldCharType="begin"/>
            </w:r>
            <w:r w:rsidR="00FF0B24">
              <w:rPr>
                <w:noProof/>
                <w:webHidden/>
              </w:rPr>
              <w:instrText xml:space="preserve"> PAGEREF _Toc144360889 \h </w:instrText>
            </w:r>
            <w:r w:rsidR="00FF0B24">
              <w:rPr>
                <w:noProof/>
                <w:webHidden/>
              </w:rPr>
            </w:r>
            <w:r w:rsidR="00FF0B24">
              <w:rPr>
                <w:noProof/>
                <w:webHidden/>
              </w:rPr>
              <w:fldChar w:fldCharType="separate"/>
            </w:r>
            <w:r w:rsidR="00B33E2A">
              <w:rPr>
                <w:noProof/>
                <w:webHidden/>
              </w:rPr>
              <w:t>176</w:t>
            </w:r>
            <w:r w:rsidR="00FF0B24">
              <w:rPr>
                <w:noProof/>
                <w:webHidden/>
              </w:rPr>
              <w:fldChar w:fldCharType="end"/>
            </w:r>
          </w:hyperlink>
        </w:p>
        <w:p w14:paraId="07B3543E" w14:textId="291F74C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0" w:history="1">
            <w:r w:rsidR="00FF0B24" w:rsidRPr="00022765">
              <w:rPr>
                <w:rStyle w:val="Hyperlink"/>
                <w:noProof/>
              </w:rPr>
              <w:t>P16 a mobilisé l’objet spécifique (a été mobilisé pour)</w:t>
            </w:r>
            <w:r w:rsidR="00FF0B24">
              <w:rPr>
                <w:noProof/>
                <w:webHidden/>
              </w:rPr>
              <w:tab/>
            </w:r>
            <w:r w:rsidR="00FF0B24">
              <w:rPr>
                <w:noProof/>
                <w:webHidden/>
              </w:rPr>
              <w:fldChar w:fldCharType="begin"/>
            </w:r>
            <w:r w:rsidR="00FF0B24">
              <w:rPr>
                <w:noProof/>
                <w:webHidden/>
              </w:rPr>
              <w:instrText xml:space="preserve"> PAGEREF _Toc144360890 \h </w:instrText>
            </w:r>
            <w:r w:rsidR="00FF0B24">
              <w:rPr>
                <w:noProof/>
                <w:webHidden/>
              </w:rPr>
            </w:r>
            <w:r w:rsidR="00FF0B24">
              <w:rPr>
                <w:noProof/>
                <w:webHidden/>
              </w:rPr>
              <w:fldChar w:fldCharType="separate"/>
            </w:r>
            <w:r w:rsidR="00B33E2A">
              <w:rPr>
                <w:noProof/>
                <w:webHidden/>
              </w:rPr>
              <w:t>176</w:t>
            </w:r>
            <w:r w:rsidR="00FF0B24">
              <w:rPr>
                <w:noProof/>
                <w:webHidden/>
              </w:rPr>
              <w:fldChar w:fldCharType="end"/>
            </w:r>
          </w:hyperlink>
        </w:p>
        <w:p w14:paraId="05B37351" w14:textId="782CA61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1" w:history="1">
            <w:r w:rsidR="00FF0B24" w:rsidRPr="00022765">
              <w:rPr>
                <w:rStyle w:val="Hyperlink"/>
                <w:noProof/>
              </w:rPr>
              <w:t>P17 a été motivé par (a motivé)</w:t>
            </w:r>
            <w:r w:rsidR="00FF0B24">
              <w:rPr>
                <w:noProof/>
                <w:webHidden/>
              </w:rPr>
              <w:tab/>
            </w:r>
            <w:r w:rsidR="00FF0B24">
              <w:rPr>
                <w:noProof/>
                <w:webHidden/>
              </w:rPr>
              <w:fldChar w:fldCharType="begin"/>
            </w:r>
            <w:r w:rsidR="00FF0B24">
              <w:rPr>
                <w:noProof/>
                <w:webHidden/>
              </w:rPr>
              <w:instrText xml:space="preserve"> PAGEREF _Toc144360891 \h </w:instrText>
            </w:r>
            <w:r w:rsidR="00FF0B24">
              <w:rPr>
                <w:noProof/>
                <w:webHidden/>
              </w:rPr>
            </w:r>
            <w:r w:rsidR="00FF0B24">
              <w:rPr>
                <w:noProof/>
                <w:webHidden/>
              </w:rPr>
              <w:fldChar w:fldCharType="separate"/>
            </w:r>
            <w:r w:rsidR="00B33E2A">
              <w:rPr>
                <w:noProof/>
                <w:webHidden/>
              </w:rPr>
              <w:t>178</w:t>
            </w:r>
            <w:r w:rsidR="00FF0B24">
              <w:rPr>
                <w:noProof/>
                <w:webHidden/>
              </w:rPr>
              <w:fldChar w:fldCharType="end"/>
            </w:r>
          </w:hyperlink>
        </w:p>
        <w:p w14:paraId="505BA505" w14:textId="13A2CF3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2" w:history="1">
            <w:r w:rsidR="00FF0B24" w:rsidRPr="00022765">
              <w:rPr>
                <w:rStyle w:val="Hyperlink"/>
                <w:noProof/>
              </w:rPr>
              <w:t>P19 a été l’usage prévu de (a été élaboré pour)</w:t>
            </w:r>
            <w:r w:rsidR="00FF0B24">
              <w:rPr>
                <w:noProof/>
                <w:webHidden/>
              </w:rPr>
              <w:tab/>
            </w:r>
            <w:r w:rsidR="00FF0B24">
              <w:rPr>
                <w:noProof/>
                <w:webHidden/>
              </w:rPr>
              <w:fldChar w:fldCharType="begin"/>
            </w:r>
            <w:r w:rsidR="00FF0B24">
              <w:rPr>
                <w:noProof/>
                <w:webHidden/>
              </w:rPr>
              <w:instrText xml:space="preserve"> PAGEREF _Toc144360892 \h </w:instrText>
            </w:r>
            <w:r w:rsidR="00FF0B24">
              <w:rPr>
                <w:noProof/>
                <w:webHidden/>
              </w:rPr>
            </w:r>
            <w:r w:rsidR="00FF0B24">
              <w:rPr>
                <w:noProof/>
                <w:webHidden/>
              </w:rPr>
              <w:fldChar w:fldCharType="separate"/>
            </w:r>
            <w:r w:rsidR="00B33E2A">
              <w:rPr>
                <w:noProof/>
                <w:webHidden/>
              </w:rPr>
              <w:t>178</w:t>
            </w:r>
            <w:r w:rsidR="00FF0B24">
              <w:rPr>
                <w:noProof/>
                <w:webHidden/>
              </w:rPr>
              <w:fldChar w:fldCharType="end"/>
            </w:r>
          </w:hyperlink>
        </w:p>
        <w:p w14:paraId="66D68C4D" w14:textId="0D5DB88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3" w:history="1">
            <w:r w:rsidR="00FF0B24" w:rsidRPr="00022765">
              <w:rPr>
                <w:rStyle w:val="Hyperlink"/>
                <w:noProof/>
              </w:rPr>
              <w:t>P20 a eu pour finalité spécifique (a été la finalité de)</w:t>
            </w:r>
            <w:r w:rsidR="00FF0B24">
              <w:rPr>
                <w:noProof/>
                <w:webHidden/>
              </w:rPr>
              <w:tab/>
            </w:r>
            <w:r w:rsidR="00FF0B24">
              <w:rPr>
                <w:noProof/>
                <w:webHidden/>
              </w:rPr>
              <w:fldChar w:fldCharType="begin"/>
            </w:r>
            <w:r w:rsidR="00FF0B24">
              <w:rPr>
                <w:noProof/>
                <w:webHidden/>
              </w:rPr>
              <w:instrText xml:space="preserve"> PAGEREF _Toc144360893 \h </w:instrText>
            </w:r>
            <w:r w:rsidR="00FF0B24">
              <w:rPr>
                <w:noProof/>
                <w:webHidden/>
              </w:rPr>
            </w:r>
            <w:r w:rsidR="00FF0B24">
              <w:rPr>
                <w:noProof/>
                <w:webHidden/>
              </w:rPr>
              <w:fldChar w:fldCharType="separate"/>
            </w:r>
            <w:r w:rsidR="00B33E2A">
              <w:rPr>
                <w:noProof/>
                <w:webHidden/>
              </w:rPr>
              <w:t>179</w:t>
            </w:r>
            <w:r w:rsidR="00FF0B24">
              <w:rPr>
                <w:noProof/>
                <w:webHidden/>
              </w:rPr>
              <w:fldChar w:fldCharType="end"/>
            </w:r>
          </w:hyperlink>
        </w:p>
        <w:p w14:paraId="4FD15DDB" w14:textId="2B43BED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4" w:history="1">
            <w:r w:rsidR="00FF0B24" w:rsidRPr="00022765">
              <w:rPr>
                <w:rStyle w:val="Hyperlink"/>
                <w:noProof/>
              </w:rPr>
              <w:t>P21 a eu pour finalité générale (a été la finalité de)</w:t>
            </w:r>
            <w:r w:rsidR="00FF0B24">
              <w:rPr>
                <w:noProof/>
                <w:webHidden/>
              </w:rPr>
              <w:tab/>
            </w:r>
            <w:r w:rsidR="00FF0B24">
              <w:rPr>
                <w:noProof/>
                <w:webHidden/>
              </w:rPr>
              <w:fldChar w:fldCharType="begin"/>
            </w:r>
            <w:r w:rsidR="00FF0B24">
              <w:rPr>
                <w:noProof/>
                <w:webHidden/>
              </w:rPr>
              <w:instrText xml:space="preserve"> PAGEREF _Toc144360894 \h </w:instrText>
            </w:r>
            <w:r w:rsidR="00FF0B24">
              <w:rPr>
                <w:noProof/>
                <w:webHidden/>
              </w:rPr>
            </w:r>
            <w:r w:rsidR="00FF0B24">
              <w:rPr>
                <w:noProof/>
                <w:webHidden/>
              </w:rPr>
              <w:fldChar w:fldCharType="separate"/>
            </w:r>
            <w:r w:rsidR="00B33E2A">
              <w:rPr>
                <w:noProof/>
                <w:webHidden/>
              </w:rPr>
              <w:t>180</w:t>
            </w:r>
            <w:r w:rsidR="00FF0B24">
              <w:rPr>
                <w:noProof/>
                <w:webHidden/>
              </w:rPr>
              <w:fldChar w:fldCharType="end"/>
            </w:r>
          </w:hyperlink>
        </w:p>
        <w:p w14:paraId="2E0A8C60" w14:textId="6B976D8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5" w:history="1">
            <w:r w:rsidR="00FF0B24" w:rsidRPr="00022765">
              <w:rPr>
                <w:rStyle w:val="Hyperlink"/>
                <w:noProof/>
              </w:rPr>
              <w:t>P22 a transféré le titre de propriété à (a acquis le titre de propriété par)</w:t>
            </w:r>
            <w:r w:rsidR="00FF0B24">
              <w:rPr>
                <w:noProof/>
                <w:webHidden/>
              </w:rPr>
              <w:tab/>
            </w:r>
            <w:r w:rsidR="00FF0B24">
              <w:rPr>
                <w:noProof/>
                <w:webHidden/>
              </w:rPr>
              <w:fldChar w:fldCharType="begin"/>
            </w:r>
            <w:r w:rsidR="00FF0B24">
              <w:rPr>
                <w:noProof/>
                <w:webHidden/>
              </w:rPr>
              <w:instrText xml:space="preserve"> PAGEREF _Toc144360895 \h </w:instrText>
            </w:r>
            <w:r w:rsidR="00FF0B24">
              <w:rPr>
                <w:noProof/>
                <w:webHidden/>
              </w:rPr>
            </w:r>
            <w:r w:rsidR="00FF0B24">
              <w:rPr>
                <w:noProof/>
                <w:webHidden/>
              </w:rPr>
              <w:fldChar w:fldCharType="separate"/>
            </w:r>
            <w:r w:rsidR="00B33E2A">
              <w:rPr>
                <w:noProof/>
                <w:webHidden/>
              </w:rPr>
              <w:t>181</w:t>
            </w:r>
            <w:r w:rsidR="00FF0B24">
              <w:rPr>
                <w:noProof/>
                <w:webHidden/>
              </w:rPr>
              <w:fldChar w:fldCharType="end"/>
            </w:r>
          </w:hyperlink>
        </w:p>
        <w:p w14:paraId="65B81557" w14:textId="0812AA4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6" w:history="1">
            <w:r w:rsidR="00FF0B24" w:rsidRPr="00022765">
              <w:rPr>
                <w:rStyle w:val="Hyperlink"/>
                <w:noProof/>
              </w:rPr>
              <w:t>P23 a transféré le titre de propriété de (a cédé le titre de propriété à)</w:t>
            </w:r>
            <w:r w:rsidR="00FF0B24">
              <w:rPr>
                <w:noProof/>
                <w:webHidden/>
              </w:rPr>
              <w:tab/>
            </w:r>
            <w:r w:rsidR="00FF0B24">
              <w:rPr>
                <w:noProof/>
                <w:webHidden/>
              </w:rPr>
              <w:fldChar w:fldCharType="begin"/>
            </w:r>
            <w:r w:rsidR="00FF0B24">
              <w:rPr>
                <w:noProof/>
                <w:webHidden/>
              </w:rPr>
              <w:instrText xml:space="preserve"> PAGEREF _Toc144360896 \h </w:instrText>
            </w:r>
            <w:r w:rsidR="00FF0B24">
              <w:rPr>
                <w:noProof/>
                <w:webHidden/>
              </w:rPr>
            </w:r>
            <w:r w:rsidR="00FF0B24">
              <w:rPr>
                <w:noProof/>
                <w:webHidden/>
              </w:rPr>
              <w:fldChar w:fldCharType="separate"/>
            </w:r>
            <w:r w:rsidR="00B33E2A">
              <w:rPr>
                <w:noProof/>
                <w:webHidden/>
              </w:rPr>
              <w:t>182</w:t>
            </w:r>
            <w:r w:rsidR="00FF0B24">
              <w:rPr>
                <w:noProof/>
                <w:webHidden/>
              </w:rPr>
              <w:fldChar w:fldCharType="end"/>
            </w:r>
          </w:hyperlink>
        </w:p>
        <w:p w14:paraId="62179BF8" w14:textId="61FDABB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7" w:history="1">
            <w:r w:rsidR="00FF0B24" w:rsidRPr="00022765">
              <w:rPr>
                <w:rStyle w:val="Hyperlink"/>
                <w:noProof/>
              </w:rPr>
              <w:t>P24 a transféré le titre de propriété de (a changé de propriétaire par)</w:t>
            </w:r>
            <w:r w:rsidR="00FF0B24">
              <w:rPr>
                <w:noProof/>
                <w:webHidden/>
              </w:rPr>
              <w:tab/>
            </w:r>
            <w:r w:rsidR="00FF0B24">
              <w:rPr>
                <w:noProof/>
                <w:webHidden/>
              </w:rPr>
              <w:fldChar w:fldCharType="begin"/>
            </w:r>
            <w:r w:rsidR="00FF0B24">
              <w:rPr>
                <w:noProof/>
                <w:webHidden/>
              </w:rPr>
              <w:instrText xml:space="preserve"> PAGEREF _Toc144360897 \h </w:instrText>
            </w:r>
            <w:r w:rsidR="00FF0B24">
              <w:rPr>
                <w:noProof/>
                <w:webHidden/>
              </w:rPr>
            </w:r>
            <w:r w:rsidR="00FF0B24">
              <w:rPr>
                <w:noProof/>
                <w:webHidden/>
              </w:rPr>
              <w:fldChar w:fldCharType="separate"/>
            </w:r>
            <w:r w:rsidR="00B33E2A">
              <w:rPr>
                <w:noProof/>
                <w:webHidden/>
              </w:rPr>
              <w:t>182</w:t>
            </w:r>
            <w:r w:rsidR="00FF0B24">
              <w:rPr>
                <w:noProof/>
                <w:webHidden/>
              </w:rPr>
              <w:fldChar w:fldCharType="end"/>
            </w:r>
          </w:hyperlink>
        </w:p>
        <w:p w14:paraId="3EC7727A" w14:textId="19AEE06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8" w:history="1">
            <w:r w:rsidR="00FF0B24" w:rsidRPr="00022765">
              <w:rPr>
                <w:rStyle w:val="Hyperlink"/>
                <w:noProof/>
              </w:rPr>
              <w:t>P25 a déplacé (a été déplacé par)</w:t>
            </w:r>
            <w:r w:rsidR="00FF0B24">
              <w:rPr>
                <w:noProof/>
                <w:webHidden/>
              </w:rPr>
              <w:tab/>
            </w:r>
            <w:r w:rsidR="00FF0B24">
              <w:rPr>
                <w:noProof/>
                <w:webHidden/>
              </w:rPr>
              <w:fldChar w:fldCharType="begin"/>
            </w:r>
            <w:r w:rsidR="00FF0B24">
              <w:rPr>
                <w:noProof/>
                <w:webHidden/>
              </w:rPr>
              <w:instrText xml:space="preserve"> PAGEREF _Toc144360898 \h </w:instrText>
            </w:r>
            <w:r w:rsidR="00FF0B24">
              <w:rPr>
                <w:noProof/>
                <w:webHidden/>
              </w:rPr>
            </w:r>
            <w:r w:rsidR="00FF0B24">
              <w:rPr>
                <w:noProof/>
                <w:webHidden/>
              </w:rPr>
              <w:fldChar w:fldCharType="separate"/>
            </w:r>
            <w:r w:rsidR="00B33E2A">
              <w:rPr>
                <w:noProof/>
                <w:webHidden/>
              </w:rPr>
              <w:t>183</w:t>
            </w:r>
            <w:r w:rsidR="00FF0B24">
              <w:rPr>
                <w:noProof/>
                <w:webHidden/>
              </w:rPr>
              <w:fldChar w:fldCharType="end"/>
            </w:r>
          </w:hyperlink>
        </w:p>
        <w:p w14:paraId="047F960E" w14:textId="247E2AA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899" w:history="1">
            <w:r w:rsidR="00FF0B24" w:rsidRPr="00022765">
              <w:rPr>
                <w:rStyle w:val="Hyperlink"/>
                <w:noProof/>
              </w:rPr>
              <w:t>P26 a déplacé vers (a été la destination de)</w:t>
            </w:r>
            <w:r w:rsidR="00FF0B24">
              <w:rPr>
                <w:noProof/>
                <w:webHidden/>
              </w:rPr>
              <w:tab/>
            </w:r>
            <w:r w:rsidR="00FF0B24">
              <w:rPr>
                <w:noProof/>
                <w:webHidden/>
              </w:rPr>
              <w:fldChar w:fldCharType="begin"/>
            </w:r>
            <w:r w:rsidR="00FF0B24">
              <w:rPr>
                <w:noProof/>
                <w:webHidden/>
              </w:rPr>
              <w:instrText xml:space="preserve"> PAGEREF _Toc144360899 \h </w:instrText>
            </w:r>
            <w:r w:rsidR="00FF0B24">
              <w:rPr>
                <w:noProof/>
                <w:webHidden/>
              </w:rPr>
            </w:r>
            <w:r w:rsidR="00FF0B24">
              <w:rPr>
                <w:noProof/>
                <w:webHidden/>
              </w:rPr>
              <w:fldChar w:fldCharType="separate"/>
            </w:r>
            <w:r w:rsidR="00B33E2A">
              <w:rPr>
                <w:noProof/>
                <w:webHidden/>
              </w:rPr>
              <w:t>183</w:t>
            </w:r>
            <w:r w:rsidR="00FF0B24">
              <w:rPr>
                <w:noProof/>
                <w:webHidden/>
              </w:rPr>
              <w:fldChar w:fldCharType="end"/>
            </w:r>
          </w:hyperlink>
        </w:p>
        <w:p w14:paraId="2DAC417F" w14:textId="5C27F44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0" w:history="1">
            <w:r w:rsidR="00FF0B24" w:rsidRPr="00022765">
              <w:rPr>
                <w:rStyle w:val="Hyperlink"/>
                <w:noProof/>
              </w:rPr>
              <w:t>P27 a déplacé depuis (a été le point de départ de)</w:t>
            </w:r>
            <w:r w:rsidR="00FF0B24">
              <w:rPr>
                <w:noProof/>
                <w:webHidden/>
              </w:rPr>
              <w:tab/>
            </w:r>
            <w:r w:rsidR="00FF0B24">
              <w:rPr>
                <w:noProof/>
                <w:webHidden/>
              </w:rPr>
              <w:fldChar w:fldCharType="begin"/>
            </w:r>
            <w:r w:rsidR="00FF0B24">
              <w:rPr>
                <w:noProof/>
                <w:webHidden/>
              </w:rPr>
              <w:instrText xml:space="preserve"> PAGEREF _Toc144360900 \h </w:instrText>
            </w:r>
            <w:r w:rsidR="00FF0B24">
              <w:rPr>
                <w:noProof/>
                <w:webHidden/>
              </w:rPr>
            </w:r>
            <w:r w:rsidR="00FF0B24">
              <w:rPr>
                <w:noProof/>
                <w:webHidden/>
              </w:rPr>
              <w:fldChar w:fldCharType="separate"/>
            </w:r>
            <w:r w:rsidR="00B33E2A">
              <w:rPr>
                <w:noProof/>
                <w:webHidden/>
              </w:rPr>
              <w:t>184</w:t>
            </w:r>
            <w:r w:rsidR="00FF0B24">
              <w:rPr>
                <w:noProof/>
                <w:webHidden/>
              </w:rPr>
              <w:fldChar w:fldCharType="end"/>
            </w:r>
          </w:hyperlink>
        </w:p>
        <w:p w14:paraId="445977A2" w14:textId="0157BF5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1" w:history="1">
            <w:r w:rsidR="00FF0B24" w:rsidRPr="00022765">
              <w:rPr>
                <w:rStyle w:val="Hyperlink"/>
                <w:noProof/>
              </w:rPr>
              <w:t>P28 a mis fin à la garde par (a cédé la garde par)</w:t>
            </w:r>
            <w:r w:rsidR="00FF0B24">
              <w:rPr>
                <w:noProof/>
                <w:webHidden/>
              </w:rPr>
              <w:tab/>
            </w:r>
            <w:r w:rsidR="00FF0B24">
              <w:rPr>
                <w:noProof/>
                <w:webHidden/>
              </w:rPr>
              <w:fldChar w:fldCharType="begin"/>
            </w:r>
            <w:r w:rsidR="00FF0B24">
              <w:rPr>
                <w:noProof/>
                <w:webHidden/>
              </w:rPr>
              <w:instrText xml:space="preserve"> PAGEREF _Toc144360901 \h </w:instrText>
            </w:r>
            <w:r w:rsidR="00FF0B24">
              <w:rPr>
                <w:noProof/>
                <w:webHidden/>
              </w:rPr>
            </w:r>
            <w:r w:rsidR="00FF0B24">
              <w:rPr>
                <w:noProof/>
                <w:webHidden/>
              </w:rPr>
              <w:fldChar w:fldCharType="separate"/>
            </w:r>
            <w:r w:rsidR="00B33E2A">
              <w:rPr>
                <w:noProof/>
                <w:webHidden/>
              </w:rPr>
              <w:t>185</w:t>
            </w:r>
            <w:r w:rsidR="00FF0B24">
              <w:rPr>
                <w:noProof/>
                <w:webHidden/>
              </w:rPr>
              <w:fldChar w:fldCharType="end"/>
            </w:r>
          </w:hyperlink>
        </w:p>
        <w:p w14:paraId="374F5B2B" w14:textId="329DF71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2" w:history="1">
            <w:r w:rsidR="00FF0B24" w:rsidRPr="00022765">
              <w:rPr>
                <w:rStyle w:val="Hyperlink"/>
                <w:noProof/>
              </w:rPr>
              <w:t>P29 a confié la garde par (a reçu la garde par)</w:t>
            </w:r>
            <w:r w:rsidR="00FF0B24">
              <w:rPr>
                <w:noProof/>
                <w:webHidden/>
              </w:rPr>
              <w:tab/>
            </w:r>
            <w:r w:rsidR="00FF0B24">
              <w:rPr>
                <w:noProof/>
                <w:webHidden/>
              </w:rPr>
              <w:fldChar w:fldCharType="begin"/>
            </w:r>
            <w:r w:rsidR="00FF0B24">
              <w:rPr>
                <w:noProof/>
                <w:webHidden/>
              </w:rPr>
              <w:instrText xml:space="preserve"> PAGEREF _Toc144360902 \h </w:instrText>
            </w:r>
            <w:r w:rsidR="00FF0B24">
              <w:rPr>
                <w:noProof/>
                <w:webHidden/>
              </w:rPr>
            </w:r>
            <w:r w:rsidR="00FF0B24">
              <w:rPr>
                <w:noProof/>
                <w:webHidden/>
              </w:rPr>
              <w:fldChar w:fldCharType="separate"/>
            </w:r>
            <w:r w:rsidR="00B33E2A">
              <w:rPr>
                <w:noProof/>
                <w:webHidden/>
              </w:rPr>
              <w:t>186</w:t>
            </w:r>
            <w:r w:rsidR="00FF0B24">
              <w:rPr>
                <w:noProof/>
                <w:webHidden/>
              </w:rPr>
              <w:fldChar w:fldCharType="end"/>
            </w:r>
          </w:hyperlink>
        </w:p>
        <w:p w14:paraId="7A6947E0" w14:textId="1B7321D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3" w:history="1">
            <w:r w:rsidR="00FF0B24" w:rsidRPr="00022765">
              <w:rPr>
                <w:rStyle w:val="Hyperlink"/>
                <w:noProof/>
              </w:rPr>
              <w:t>P30 a transféré la garde de (a été l’objet d’un transfert de garde par)</w:t>
            </w:r>
            <w:r w:rsidR="00FF0B24">
              <w:rPr>
                <w:noProof/>
                <w:webHidden/>
              </w:rPr>
              <w:tab/>
            </w:r>
            <w:r w:rsidR="00FF0B24">
              <w:rPr>
                <w:noProof/>
                <w:webHidden/>
              </w:rPr>
              <w:fldChar w:fldCharType="begin"/>
            </w:r>
            <w:r w:rsidR="00FF0B24">
              <w:rPr>
                <w:noProof/>
                <w:webHidden/>
              </w:rPr>
              <w:instrText xml:space="preserve"> PAGEREF _Toc144360903 \h </w:instrText>
            </w:r>
            <w:r w:rsidR="00FF0B24">
              <w:rPr>
                <w:noProof/>
                <w:webHidden/>
              </w:rPr>
            </w:r>
            <w:r w:rsidR="00FF0B24">
              <w:rPr>
                <w:noProof/>
                <w:webHidden/>
              </w:rPr>
              <w:fldChar w:fldCharType="separate"/>
            </w:r>
            <w:r w:rsidR="00B33E2A">
              <w:rPr>
                <w:noProof/>
                <w:webHidden/>
              </w:rPr>
              <w:t>187</w:t>
            </w:r>
            <w:r w:rsidR="00FF0B24">
              <w:rPr>
                <w:noProof/>
                <w:webHidden/>
              </w:rPr>
              <w:fldChar w:fldCharType="end"/>
            </w:r>
          </w:hyperlink>
        </w:p>
        <w:p w14:paraId="33F7529D" w14:textId="55AD390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4" w:history="1">
            <w:r w:rsidR="00FF0B24" w:rsidRPr="00022765">
              <w:rPr>
                <w:rStyle w:val="Hyperlink"/>
                <w:noProof/>
              </w:rPr>
              <w:t>P31 a modifié (a été modifié par)</w:t>
            </w:r>
            <w:r w:rsidR="00FF0B24">
              <w:rPr>
                <w:noProof/>
                <w:webHidden/>
              </w:rPr>
              <w:tab/>
            </w:r>
            <w:r w:rsidR="00FF0B24">
              <w:rPr>
                <w:noProof/>
                <w:webHidden/>
              </w:rPr>
              <w:fldChar w:fldCharType="begin"/>
            </w:r>
            <w:r w:rsidR="00FF0B24">
              <w:rPr>
                <w:noProof/>
                <w:webHidden/>
              </w:rPr>
              <w:instrText xml:space="preserve"> PAGEREF _Toc144360904 \h </w:instrText>
            </w:r>
            <w:r w:rsidR="00FF0B24">
              <w:rPr>
                <w:noProof/>
                <w:webHidden/>
              </w:rPr>
            </w:r>
            <w:r w:rsidR="00FF0B24">
              <w:rPr>
                <w:noProof/>
                <w:webHidden/>
              </w:rPr>
              <w:fldChar w:fldCharType="separate"/>
            </w:r>
            <w:r w:rsidR="00B33E2A">
              <w:rPr>
                <w:noProof/>
                <w:webHidden/>
              </w:rPr>
              <w:t>187</w:t>
            </w:r>
            <w:r w:rsidR="00FF0B24">
              <w:rPr>
                <w:noProof/>
                <w:webHidden/>
              </w:rPr>
              <w:fldChar w:fldCharType="end"/>
            </w:r>
          </w:hyperlink>
        </w:p>
        <w:p w14:paraId="32291CCA" w14:textId="3ACE013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5" w:history="1">
            <w:r w:rsidR="00FF0B24" w:rsidRPr="00022765">
              <w:rPr>
                <w:rStyle w:val="Hyperlink"/>
                <w:noProof/>
              </w:rPr>
              <w:t>P32 a mobilisé comme technique générale (a été la technique générale mise en œuvre dans)</w:t>
            </w:r>
            <w:r w:rsidR="00FF0B24">
              <w:rPr>
                <w:noProof/>
                <w:webHidden/>
              </w:rPr>
              <w:tab/>
            </w:r>
            <w:r w:rsidR="00FF0B24">
              <w:rPr>
                <w:noProof/>
                <w:webHidden/>
              </w:rPr>
              <w:fldChar w:fldCharType="begin"/>
            </w:r>
            <w:r w:rsidR="00FF0B24">
              <w:rPr>
                <w:noProof/>
                <w:webHidden/>
              </w:rPr>
              <w:instrText xml:space="preserve"> PAGEREF _Toc144360905 \h </w:instrText>
            </w:r>
            <w:r w:rsidR="00FF0B24">
              <w:rPr>
                <w:noProof/>
                <w:webHidden/>
              </w:rPr>
            </w:r>
            <w:r w:rsidR="00FF0B24">
              <w:rPr>
                <w:noProof/>
                <w:webHidden/>
              </w:rPr>
              <w:fldChar w:fldCharType="separate"/>
            </w:r>
            <w:r w:rsidR="00B33E2A">
              <w:rPr>
                <w:noProof/>
                <w:webHidden/>
              </w:rPr>
              <w:t>188</w:t>
            </w:r>
            <w:r w:rsidR="00FF0B24">
              <w:rPr>
                <w:noProof/>
                <w:webHidden/>
              </w:rPr>
              <w:fldChar w:fldCharType="end"/>
            </w:r>
          </w:hyperlink>
        </w:p>
        <w:p w14:paraId="6E423D5C" w14:textId="384254C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6" w:history="1">
            <w:r w:rsidR="00FF0B24" w:rsidRPr="00022765">
              <w:rPr>
                <w:rStyle w:val="Hyperlink"/>
                <w:noProof/>
              </w:rPr>
              <w:t>P33 a mobilisé comme technique spécifique (a été la technique spécifique mise en œuvre dans)</w:t>
            </w:r>
            <w:r w:rsidR="00FF0B24">
              <w:rPr>
                <w:noProof/>
                <w:webHidden/>
              </w:rPr>
              <w:tab/>
            </w:r>
            <w:r w:rsidR="00FF0B24">
              <w:rPr>
                <w:noProof/>
                <w:webHidden/>
              </w:rPr>
              <w:fldChar w:fldCharType="begin"/>
            </w:r>
            <w:r w:rsidR="00FF0B24">
              <w:rPr>
                <w:noProof/>
                <w:webHidden/>
              </w:rPr>
              <w:instrText xml:space="preserve"> PAGEREF _Toc144360906 \h </w:instrText>
            </w:r>
            <w:r w:rsidR="00FF0B24">
              <w:rPr>
                <w:noProof/>
                <w:webHidden/>
              </w:rPr>
            </w:r>
            <w:r w:rsidR="00FF0B24">
              <w:rPr>
                <w:noProof/>
                <w:webHidden/>
              </w:rPr>
              <w:fldChar w:fldCharType="separate"/>
            </w:r>
            <w:r w:rsidR="00B33E2A">
              <w:rPr>
                <w:noProof/>
                <w:webHidden/>
              </w:rPr>
              <w:t>189</w:t>
            </w:r>
            <w:r w:rsidR="00FF0B24">
              <w:rPr>
                <w:noProof/>
                <w:webHidden/>
              </w:rPr>
              <w:fldChar w:fldCharType="end"/>
            </w:r>
          </w:hyperlink>
        </w:p>
        <w:p w14:paraId="7E38D34D" w14:textId="1A0DD54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7" w:history="1">
            <w:r w:rsidR="00FF0B24" w:rsidRPr="00022765">
              <w:rPr>
                <w:rStyle w:val="Hyperlink"/>
                <w:noProof/>
              </w:rPr>
              <w:t>P34 a porté sur (a été évalué par)</w:t>
            </w:r>
            <w:r w:rsidR="00FF0B24">
              <w:rPr>
                <w:noProof/>
                <w:webHidden/>
              </w:rPr>
              <w:tab/>
            </w:r>
            <w:r w:rsidR="00FF0B24">
              <w:rPr>
                <w:noProof/>
                <w:webHidden/>
              </w:rPr>
              <w:fldChar w:fldCharType="begin"/>
            </w:r>
            <w:r w:rsidR="00FF0B24">
              <w:rPr>
                <w:noProof/>
                <w:webHidden/>
              </w:rPr>
              <w:instrText xml:space="preserve"> PAGEREF _Toc144360907 \h </w:instrText>
            </w:r>
            <w:r w:rsidR="00FF0B24">
              <w:rPr>
                <w:noProof/>
                <w:webHidden/>
              </w:rPr>
            </w:r>
            <w:r w:rsidR="00FF0B24">
              <w:rPr>
                <w:noProof/>
                <w:webHidden/>
              </w:rPr>
              <w:fldChar w:fldCharType="separate"/>
            </w:r>
            <w:r w:rsidR="00B33E2A">
              <w:rPr>
                <w:noProof/>
                <w:webHidden/>
              </w:rPr>
              <w:t>190</w:t>
            </w:r>
            <w:r w:rsidR="00FF0B24">
              <w:rPr>
                <w:noProof/>
                <w:webHidden/>
              </w:rPr>
              <w:fldChar w:fldCharType="end"/>
            </w:r>
          </w:hyperlink>
        </w:p>
        <w:p w14:paraId="650F2BEE" w14:textId="63EE3F6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8" w:history="1">
            <w:r w:rsidR="00FF0B24" w:rsidRPr="00022765">
              <w:rPr>
                <w:rStyle w:val="Hyperlink"/>
                <w:noProof/>
              </w:rPr>
              <w:t>P35 a identifié (a été identifié par)</w:t>
            </w:r>
            <w:r w:rsidR="00FF0B24">
              <w:rPr>
                <w:noProof/>
                <w:webHidden/>
              </w:rPr>
              <w:tab/>
            </w:r>
            <w:r w:rsidR="00FF0B24">
              <w:rPr>
                <w:noProof/>
                <w:webHidden/>
              </w:rPr>
              <w:fldChar w:fldCharType="begin"/>
            </w:r>
            <w:r w:rsidR="00FF0B24">
              <w:rPr>
                <w:noProof/>
                <w:webHidden/>
              </w:rPr>
              <w:instrText xml:space="preserve"> PAGEREF _Toc144360908 \h </w:instrText>
            </w:r>
            <w:r w:rsidR="00FF0B24">
              <w:rPr>
                <w:noProof/>
                <w:webHidden/>
              </w:rPr>
            </w:r>
            <w:r w:rsidR="00FF0B24">
              <w:rPr>
                <w:noProof/>
                <w:webHidden/>
              </w:rPr>
              <w:fldChar w:fldCharType="separate"/>
            </w:r>
            <w:r w:rsidR="00B33E2A">
              <w:rPr>
                <w:noProof/>
                <w:webHidden/>
              </w:rPr>
              <w:t>191</w:t>
            </w:r>
            <w:r w:rsidR="00FF0B24">
              <w:rPr>
                <w:noProof/>
                <w:webHidden/>
              </w:rPr>
              <w:fldChar w:fldCharType="end"/>
            </w:r>
          </w:hyperlink>
        </w:p>
        <w:p w14:paraId="12152626" w14:textId="7B28C95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09" w:history="1">
            <w:r w:rsidR="00FF0B24" w:rsidRPr="00022765">
              <w:rPr>
                <w:rStyle w:val="Hyperlink"/>
                <w:noProof/>
              </w:rPr>
              <w:t>P37 a assigné (a été assigné par)</w:t>
            </w:r>
            <w:r w:rsidR="00FF0B24">
              <w:rPr>
                <w:noProof/>
                <w:webHidden/>
              </w:rPr>
              <w:tab/>
            </w:r>
            <w:r w:rsidR="00FF0B24">
              <w:rPr>
                <w:noProof/>
                <w:webHidden/>
              </w:rPr>
              <w:fldChar w:fldCharType="begin"/>
            </w:r>
            <w:r w:rsidR="00FF0B24">
              <w:rPr>
                <w:noProof/>
                <w:webHidden/>
              </w:rPr>
              <w:instrText xml:space="preserve"> PAGEREF _Toc144360909 \h </w:instrText>
            </w:r>
            <w:r w:rsidR="00FF0B24">
              <w:rPr>
                <w:noProof/>
                <w:webHidden/>
              </w:rPr>
            </w:r>
            <w:r w:rsidR="00FF0B24">
              <w:rPr>
                <w:noProof/>
                <w:webHidden/>
              </w:rPr>
              <w:fldChar w:fldCharType="separate"/>
            </w:r>
            <w:r w:rsidR="00B33E2A">
              <w:rPr>
                <w:noProof/>
                <w:webHidden/>
              </w:rPr>
              <w:t>192</w:t>
            </w:r>
            <w:r w:rsidR="00FF0B24">
              <w:rPr>
                <w:noProof/>
                <w:webHidden/>
              </w:rPr>
              <w:fldChar w:fldCharType="end"/>
            </w:r>
          </w:hyperlink>
        </w:p>
        <w:p w14:paraId="50654DBB" w14:textId="051A3F7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0" w:history="1">
            <w:r w:rsidR="00FF0B24" w:rsidRPr="00022765">
              <w:rPr>
                <w:rStyle w:val="Hyperlink"/>
                <w:noProof/>
              </w:rPr>
              <w:t>P38 a retiré l'assignation (a été retiré par)</w:t>
            </w:r>
            <w:r w:rsidR="00FF0B24">
              <w:rPr>
                <w:noProof/>
                <w:webHidden/>
              </w:rPr>
              <w:tab/>
            </w:r>
            <w:r w:rsidR="00FF0B24">
              <w:rPr>
                <w:noProof/>
                <w:webHidden/>
              </w:rPr>
              <w:fldChar w:fldCharType="begin"/>
            </w:r>
            <w:r w:rsidR="00FF0B24">
              <w:rPr>
                <w:noProof/>
                <w:webHidden/>
              </w:rPr>
              <w:instrText xml:space="preserve"> PAGEREF _Toc144360910 \h </w:instrText>
            </w:r>
            <w:r w:rsidR="00FF0B24">
              <w:rPr>
                <w:noProof/>
                <w:webHidden/>
              </w:rPr>
            </w:r>
            <w:r w:rsidR="00FF0B24">
              <w:rPr>
                <w:noProof/>
                <w:webHidden/>
              </w:rPr>
              <w:fldChar w:fldCharType="separate"/>
            </w:r>
            <w:r w:rsidR="00B33E2A">
              <w:rPr>
                <w:noProof/>
                <w:webHidden/>
              </w:rPr>
              <w:t>193</w:t>
            </w:r>
            <w:r w:rsidR="00FF0B24">
              <w:rPr>
                <w:noProof/>
                <w:webHidden/>
              </w:rPr>
              <w:fldChar w:fldCharType="end"/>
            </w:r>
          </w:hyperlink>
        </w:p>
        <w:p w14:paraId="5963D52D" w14:textId="09199D6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1" w:history="1">
            <w:r w:rsidR="00FF0B24" w:rsidRPr="00022765">
              <w:rPr>
                <w:rStyle w:val="Hyperlink"/>
                <w:noProof/>
              </w:rPr>
              <w:t>P39 a mesuré (a été mesuré par)</w:t>
            </w:r>
            <w:r w:rsidR="00FF0B24">
              <w:rPr>
                <w:noProof/>
                <w:webHidden/>
              </w:rPr>
              <w:tab/>
            </w:r>
            <w:r w:rsidR="00FF0B24">
              <w:rPr>
                <w:noProof/>
                <w:webHidden/>
              </w:rPr>
              <w:fldChar w:fldCharType="begin"/>
            </w:r>
            <w:r w:rsidR="00FF0B24">
              <w:rPr>
                <w:noProof/>
                <w:webHidden/>
              </w:rPr>
              <w:instrText xml:space="preserve"> PAGEREF _Toc144360911 \h </w:instrText>
            </w:r>
            <w:r w:rsidR="00FF0B24">
              <w:rPr>
                <w:noProof/>
                <w:webHidden/>
              </w:rPr>
            </w:r>
            <w:r w:rsidR="00FF0B24">
              <w:rPr>
                <w:noProof/>
                <w:webHidden/>
              </w:rPr>
              <w:fldChar w:fldCharType="separate"/>
            </w:r>
            <w:r w:rsidR="00B33E2A">
              <w:rPr>
                <w:noProof/>
                <w:webHidden/>
              </w:rPr>
              <w:t>194</w:t>
            </w:r>
            <w:r w:rsidR="00FF0B24">
              <w:rPr>
                <w:noProof/>
                <w:webHidden/>
              </w:rPr>
              <w:fldChar w:fldCharType="end"/>
            </w:r>
          </w:hyperlink>
        </w:p>
        <w:p w14:paraId="65F5FBCF" w14:textId="00F80A5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2" w:history="1">
            <w:r w:rsidR="00FF0B24" w:rsidRPr="00022765">
              <w:rPr>
                <w:rStyle w:val="Hyperlink"/>
                <w:noProof/>
              </w:rPr>
              <w:t>P40 a relevé comme dimension (a été relevé par)</w:t>
            </w:r>
            <w:r w:rsidR="00FF0B24">
              <w:rPr>
                <w:noProof/>
                <w:webHidden/>
              </w:rPr>
              <w:tab/>
            </w:r>
            <w:r w:rsidR="00FF0B24">
              <w:rPr>
                <w:noProof/>
                <w:webHidden/>
              </w:rPr>
              <w:fldChar w:fldCharType="begin"/>
            </w:r>
            <w:r w:rsidR="00FF0B24">
              <w:rPr>
                <w:noProof/>
                <w:webHidden/>
              </w:rPr>
              <w:instrText xml:space="preserve"> PAGEREF _Toc144360912 \h </w:instrText>
            </w:r>
            <w:r w:rsidR="00FF0B24">
              <w:rPr>
                <w:noProof/>
                <w:webHidden/>
              </w:rPr>
            </w:r>
            <w:r w:rsidR="00FF0B24">
              <w:rPr>
                <w:noProof/>
                <w:webHidden/>
              </w:rPr>
              <w:fldChar w:fldCharType="separate"/>
            </w:r>
            <w:r w:rsidR="00B33E2A">
              <w:rPr>
                <w:noProof/>
                <w:webHidden/>
              </w:rPr>
              <w:t>194</w:t>
            </w:r>
            <w:r w:rsidR="00FF0B24">
              <w:rPr>
                <w:noProof/>
                <w:webHidden/>
              </w:rPr>
              <w:fldChar w:fldCharType="end"/>
            </w:r>
          </w:hyperlink>
        </w:p>
        <w:p w14:paraId="28CA1396" w14:textId="0D3D56B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3" w:history="1">
            <w:r w:rsidR="00FF0B24" w:rsidRPr="00022765">
              <w:rPr>
                <w:rStyle w:val="Hyperlink"/>
                <w:noProof/>
              </w:rPr>
              <w:t>P41 a classifié (a été classifié par)</w:t>
            </w:r>
            <w:r w:rsidR="00FF0B24">
              <w:rPr>
                <w:noProof/>
                <w:webHidden/>
              </w:rPr>
              <w:tab/>
            </w:r>
            <w:r w:rsidR="00FF0B24">
              <w:rPr>
                <w:noProof/>
                <w:webHidden/>
              </w:rPr>
              <w:fldChar w:fldCharType="begin"/>
            </w:r>
            <w:r w:rsidR="00FF0B24">
              <w:rPr>
                <w:noProof/>
                <w:webHidden/>
              </w:rPr>
              <w:instrText xml:space="preserve"> PAGEREF _Toc144360913 \h </w:instrText>
            </w:r>
            <w:r w:rsidR="00FF0B24">
              <w:rPr>
                <w:noProof/>
                <w:webHidden/>
              </w:rPr>
            </w:r>
            <w:r w:rsidR="00FF0B24">
              <w:rPr>
                <w:noProof/>
                <w:webHidden/>
              </w:rPr>
              <w:fldChar w:fldCharType="separate"/>
            </w:r>
            <w:r w:rsidR="00B33E2A">
              <w:rPr>
                <w:noProof/>
                <w:webHidden/>
              </w:rPr>
              <w:t>195</w:t>
            </w:r>
            <w:r w:rsidR="00FF0B24">
              <w:rPr>
                <w:noProof/>
                <w:webHidden/>
              </w:rPr>
              <w:fldChar w:fldCharType="end"/>
            </w:r>
          </w:hyperlink>
        </w:p>
        <w:p w14:paraId="6B5E1DBB" w14:textId="609ED3C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4" w:history="1">
            <w:r w:rsidR="00FF0B24" w:rsidRPr="00022765">
              <w:rPr>
                <w:rStyle w:val="Hyperlink"/>
                <w:noProof/>
              </w:rPr>
              <w:t>P42 a assigné (a été assigné par)</w:t>
            </w:r>
            <w:r w:rsidR="00FF0B24">
              <w:rPr>
                <w:noProof/>
                <w:webHidden/>
              </w:rPr>
              <w:tab/>
            </w:r>
            <w:r w:rsidR="00FF0B24">
              <w:rPr>
                <w:noProof/>
                <w:webHidden/>
              </w:rPr>
              <w:fldChar w:fldCharType="begin"/>
            </w:r>
            <w:r w:rsidR="00FF0B24">
              <w:rPr>
                <w:noProof/>
                <w:webHidden/>
              </w:rPr>
              <w:instrText xml:space="preserve"> PAGEREF _Toc144360914 \h </w:instrText>
            </w:r>
            <w:r w:rsidR="00FF0B24">
              <w:rPr>
                <w:noProof/>
                <w:webHidden/>
              </w:rPr>
            </w:r>
            <w:r w:rsidR="00FF0B24">
              <w:rPr>
                <w:noProof/>
                <w:webHidden/>
              </w:rPr>
              <w:fldChar w:fldCharType="separate"/>
            </w:r>
            <w:r w:rsidR="00B33E2A">
              <w:rPr>
                <w:noProof/>
                <w:webHidden/>
              </w:rPr>
              <w:t>196</w:t>
            </w:r>
            <w:r w:rsidR="00FF0B24">
              <w:rPr>
                <w:noProof/>
                <w:webHidden/>
              </w:rPr>
              <w:fldChar w:fldCharType="end"/>
            </w:r>
          </w:hyperlink>
        </w:p>
        <w:p w14:paraId="14A790A3" w14:textId="71438BC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5" w:history="1">
            <w:r w:rsidR="00FF0B24" w:rsidRPr="00022765">
              <w:rPr>
                <w:rStyle w:val="Hyperlink"/>
                <w:noProof/>
              </w:rPr>
              <w:t>P43 a pour dimension (est la dimension de)</w:t>
            </w:r>
            <w:r w:rsidR="00FF0B24">
              <w:rPr>
                <w:noProof/>
                <w:webHidden/>
              </w:rPr>
              <w:tab/>
            </w:r>
            <w:r w:rsidR="00FF0B24">
              <w:rPr>
                <w:noProof/>
                <w:webHidden/>
              </w:rPr>
              <w:fldChar w:fldCharType="begin"/>
            </w:r>
            <w:r w:rsidR="00FF0B24">
              <w:rPr>
                <w:noProof/>
                <w:webHidden/>
              </w:rPr>
              <w:instrText xml:space="preserve"> PAGEREF _Toc144360915 \h </w:instrText>
            </w:r>
            <w:r w:rsidR="00FF0B24">
              <w:rPr>
                <w:noProof/>
                <w:webHidden/>
              </w:rPr>
            </w:r>
            <w:r w:rsidR="00FF0B24">
              <w:rPr>
                <w:noProof/>
                <w:webHidden/>
              </w:rPr>
              <w:fldChar w:fldCharType="separate"/>
            </w:r>
            <w:r w:rsidR="00B33E2A">
              <w:rPr>
                <w:noProof/>
                <w:webHidden/>
              </w:rPr>
              <w:t>197</w:t>
            </w:r>
            <w:r w:rsidR="00FF0B24">
              <w:rPr>
                <w:noProof/>
                <w:webHidden/>
              </w:rPr>
              <w:fldChar w:fldCharType="end"/>
            </w:r>
          </w:hyperlink>
        </w:p>
        <w:p w14:paraId="7B6480DF" w14:textId="5B3B44E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6" w:history="1">
            <w:r w:rsidR="00FF0B24" w:rsidRPr="00022765">
              <w:rPr>
                <w:rStyle w:val="Hyperlink"/>
                <w:noProof/>
              </w:rPr>
              <w:t>P44 a pour état matériel (est l'état matériel de)</w:t>
            </w:r>
            <w:r w:rsidR="00FF0B24">
              <w:rPr>
                <w:noProof/>
                <w:webHidden/>
              </w:rPr>
              <w:tab/>
            </w:r>
            <w:r w:rsidR="00FF0B24">
              <w:rPr>
                <w:noProof/>
                <w:webHidden/>
              </w:rPr>
              <w:fldChar w:fldCharType="begin"/>
            </w:r>
            <w:r w:rsidR="00FF0B24">
              <w:rPr>
                <w:noProof/>
                <w:webHidden/>
              </w:rPr>
              <w:instrText xml:space="preserve"> PAGEREF _Toc144360916 \h </w:instrText>
            </w:r>
            <w:r w:rsidR="00FF0B24">
              <w:rPr>
                <w:noProof/>
                <w:webHidden/>
              </w:rPr>
            </w:r>
            <w:r w:rsidR="00FF0B24">
              <w:rPr>
                <w:noProof/>
                <w:webHidden/>
              </w:rPr>
              <w:fldChar w:fldCharType="separate"/>
            </w:r>
            <w:r w:rsidR="00B33E2A">
              <w:rPr>
                <w:noProof/>
                <w:webHidden/>
              </w:rPr>
              <w:t>198</w:t>
            </w:r>
            <w:r w:rsidR="00FF0B24">
              <w:rPr>
                <w:noProof/>
                <w:webHidden/>
              </w:rPr>
              <w:fldChar w:fldCharType="end"/>
            </w:r>
          </w:hyperlink>
        </w:p>
        <w:p w14:paraId="59B0EC09" w14:textId="4A833C6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7" w:history="1">
            <w:r w:rsidR="00FF0B24" w:rsidRPr="00022765">
              <w:rPr>
                <w:rStyle w:val="Hyperlink"/>
                <w:noProof/>
              </w:rPr>
              <w:t>P45 comprend (est inclus dans)</w:t>
            </w:r>
            <w:r w:rsidR="00FF0B24">
              <w:rPr>
                <w:noProof/>
                <w:webHidden/>
              </w:rPr>
              <w:tab/>
            </w:r>
            <w:r w:rsidR="00FF0B24">
              <w:rPr>
                <w:noProof/>
                <w:webHidden/>
              </w:rPr>
              <w:fldChar w:fldCharType="begin"/>
            </w:r>
            <w:r w:rsidR="00FF0B24">
              <w:rPr>
                <w:noProof/>
                <w:webHidden/>
              </w:rPr>
              <w:instrText xml:space="preserve"> PAGEREF _Toc144360917 \h </w:instrText>
            </w:r>
            <w:r w:rsidR="00FF0B24">
              <w:rPr>
                <w:noProof/>
                <w:webHidden/>
              </w:rPr>
            </w:r>
            <w:r w:rsidR="00FF0B24">
              <w:rPr>
                <w:noProof/>
                <w:webHidden/>
              </w:rPr>
              <w:fldChar w:fldCharType="separate"/>
            </w:r>
            <w:r w:rsidR="00B33E2A">
              <w:rPr>
                <w:noProof/>
                <w:webHidden/>
              </w:rPr>
              <w:t>199</w:t>
            </w:r>
            <w:r w:rsidR="00FF0B24">
              <w:rPr>
                <w:noProof/>
                <w:webHidden/>
              </w:rPr>
              <w:fldChar w:fldCharType="end"/>
            </w:r>
          </w:hyperlink>
        </w:p>
        <w:p w14:paraId="735C0D60" w14:textId="31CACD3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8" w:history="1">
            <w:r w:rsidR="00FF0B24" w:rsidRPr="00022765">
              <w:rPr>
                <w:rStyle w:val="Hyperlink"/>
                <w:noProof/>
              </w:rPr>
              <w:t>P46 est composé de (fait partie de)</w:t>
            </w:r>
            <w:r w:rsidR="00FF0B24">
              <w:rPr>
                <w:noProof/>
                <w:webHidden/>
              </w:rPr>
              <w:tab/>
            </w:r>
            <w:r w:rsidR="00FF0B24">
              <w:rPr>
                <w:noProof/>
                <w:webHidden/>
              </w:rPr>
              <w:fldChar w:fldCharType="begin"/>
            </w:r>
            <w:r w:rsidR="00FF0B24">
              <w:rPr>
                <w:noProof/>
                <w:webHidden/>
              </w:rPr>
              <w:instrText xml:space="preserve"> PAGEREF _Toc144360918 \h </w:instrText>
            </w:r>
            <w:r w:rsidR="00FF0B24">
              <w:rPr>
                <w:noProof/>
                <w:webHidden/>
              </w:rPr>
            </w:r>
            <w:r w:rsidR="00FF0B24">
              <w:rPr>
                <w:noProof/>
                <w:webHidden/>
              </w:rPr>
              <w:fldChar w:fldCharType="separate"/>
            </w:r>
            <w:r w:rsidR="00B33E2A">
              <w:rPr>
                <w:noProof/>
                <w:webHidden/>
              </w:rPr>
              <w:t>199</w:t>
            </w:r>
            <w:r w:rsidR="00FF0B24">
              <w:rPr>
                <w:noProof/>
                <w:webHidden/>
              </w:rPr>
              <w:fldChar w:fldCharType="end"/>
            </w:r>
          </w:hyperlink>
        </w:p>
        <w:p w14:paraId="2D7A2299" w14:textId="71FA4CC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19" w:history="1">
            <w:r w:rsidR="00FF0B24" w:rsidRPr="00022765">
              <w:rPr>
                <w:rStyle w:val="Hyperlink"/>
                <w:noProof/>
              </w:rPr>
              <w:t>P48 a pour identifiant préférentiel (est l’identifiant préférentiel de)</w:t>
            </w:r>
            <w:r w:rsidR="00FF0B24">
              <w:rPr>
                <w:noProof/>
                <w:webHidden/>
              </w:rPr>
              <w:tab/>
            </w:r>
            <w:r w:rsidR="00FF0B24">
              <w:rPr>
                <w:noProof/>
                <w:webHidden/>
              </w:rPr>
              <w:fldChar w:fldCharType="begin"/>
            </w:r>
            <w:r w:rsidR="00FF0B24">
              <w:rPr>
                <w:noProof/>
                <w:webHidden/>
              </w:rPr>
              <w:instrText xml:space="preserve"> PAGEREF _Toc144360919 \h </w:instrText>
            </w:r>
            <w:r w:rsidR="00FF0B24">
              <w:rPr>
                <w:noProof/>
                <w:webHidden/>
              </w:rPr>
            </w:r>
            <w:r w:rsidR="00FF0B24">
              <w:rPr>
                <w:noProof/>
                <w:webHidden/>
              </w:rPr>
              <w:fldChar w:fldCharType="separate"/>
            </w:r>
            <w:r w:rsidR="00B33E2A">
              <w:rPr>
                <w:noProof/>
                <w:webHidden/>
              </w:rPr>
              <w:t>200</w:t>
            </w:r>
            <w:r w:rsidR="00FF0B24">
              <w:rPr>
                <w:noProof/>
                <w:webHidden/>
              </w:rPr>
              <w:fldChar w:fldCharType="end"/>
            </w:r>
          </w:hyperlink>
        </w:p>
        <w:p w14:paraId="418E11D6" w14:textId="329AC81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0" w:history="1">
            <w:r w:rsidR="00FF0B24" w:rsidRPr="00022765">
              <w:rPr>
                <w:rStyle w:val="Hyperlink"/>
                <w:noProof/>
              </w:rPr>
              <w:t>P49 a pour actant détenteur actuel ou antérieur (est l’actant détenteur actuel ou antérieur de)</w:t>
            </w:r>
            <w:r w:rsidR="00FF0B24">
              <w:rPr>
                <w:noProof/>
                <w:webHidden/>
              </w:rPr>
              <w:tab/>
            </w:r>
            <w:r w:rsidR="00FF0B24">
              <w:rPr>
                <w:noProof/>
                <w:webHidden/>
              </w:rPr>
              <w:fldChar w:fldCharType="begin"/>
            </w:r>
            <w:r w:rsidR="00FF0B24">
              <w:rPr>
                <w:noProof/>
                <w:webHidden/>
              </w:rPr>
              <w:instrText xml:space="preserve"> PAGEREF _Toc144360920 \h </w:instrText>
            </w:r>
            <w:r w:rsidR="00FF0B24">
              <w:rPr>
                <w:noProof/>
                <w:webHidden/>
              </w:rPr>
            </w:r>
            <w:r w:rsidR="00FF0B24">
              <w:rPr>
                <w:noProof/>
                <w:webHidden/>
              </w:rPr>
              <w:fldChar w:fldCharType="separate"/>
            </w:r>
            <w:r w:rsidR="00B33E2A">
              <w:rPr>
                <w:noProof/>
                <w:webHidden/>
              </w:rPr>
              <w:t>201</w:t>
            </w:r>
            <w:r w:rsidR="00FF0B24">
              <w:rPr>
                <w:noProof/>
                <w:webHidden/>
              </w:rPr>
              <w:fldChar w:fldCharType="end"/>
            </w:r>
          </w:hyperlink>
        </w:p>
        <w:p w14:paraId="024F18CF" w14:textId="1B5EC44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1" w:history="1">
            <w:r w:rsidR="00FF0B24" w:rsidRPr="00022765">
              <w:rPr>
                <w:rStyle w:val="Hyperlink"/>
                <w:noProof/>
              </w:rPr>
              <w:t>P50 a pour actant détenteur actuel (est l’actant détenteur actuel)</w:t>
            </w:r>
            <w:r w:rsidR="00FF0B24">
              <w:rPr>
                <w:noProof/>
                <w:webHidden/>
              </w:rPr>
              <w:tab/>
            </w:r>
            <w:r w:rsidR="00FF0B24">
              <w:rPr>
                <w:noProof/>
                <w:webHidden/>
              </w:rPr>
              <w:fldChar w:fldCharType="begin"/>
            </w:r>
            <w:r w:rsidR="00FF0B24">
              <w:rPr>
                <w:noProof/>
                <w:webHidden/>
              </w:rPr>
              <w:instrText xml:space="preserve"> PAGEREF _Toc144360921 \h </w:instrText>
            </w:r>
            <w:r w:rsidR="00FF0B24">
              <w:rPr>
                <w:noProof/>
                <w:webHidden/>
              </w:rPr>
            </w:r>
            <w:r w:rsidR="00FF0B24">
              <w:rPr>
                <w:noProof/>
                <w:webHidden/>
              </w:rPr>
              <w:fldChar w:fldCharType="separate"/>
            </w:r>
            <w:r w:rsidR="00B33E2A">
              <w:rPr>
                <w:noProof/>
                <w:webHidden/>
              </w:rPr>
              <w:t>202</w:t>
            </w:r>
            <w:r w:rsidR="00FF0B24">
              <w:rPr>
                <w:noProof/>
                <w:webHidden/>
              </w:rPr>
              <w:fldChar w:fldCharType="end"/>
            </w:r>
          </w:hyperlink>
        </w:p>
        <w:p w14:paraId="2F777D6A" w14:textId="41689D2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2" w:history="1">
            <w:r w:rsidR="00FF0B24" w:rsidRPr="00022765">
              <w:rPr>
                <w:rStyle w:val="Hyperlink"/>
                <w:noProof/>
              </w:rPr>
              <w:t>P51 a pour propriétaire actuel ou antérieur (est l’actant propriétaire actuel ou antérieur de)</w:t>
            </w:r>
            <w:r w:rsidR="00FF0B24">
              <w:rPr>
                <w:noProof/>
                <w:webHidden/>
              </w:rPr>
              <w:tab/>
            </w:r>
            <w:r w:rsidR="00FF0B24">
              <w:rPr>
                <w:noProof/>
                <w:webHidden/>
              </w:rPr>
              <w:fldChar w:fldCharType="begin"/>
            </w:r>
            <w:r w:rsidR="00FF0B24">
              <w:rPr>
                <w:noProof/>
                <w:webHidden/>
              </w:rPr>
              <w:instrText xml:space="preserve"> PAGEREF _Toc144360922 \h </w:instrText>
            </w:r>
            <w:r w:rsidR="00FF0B24">
              <w:rPr>
                <w:noProof/>
                <w:webHidden/>
              </w:rPr>
            </w:r>
            <w:r w:rsidR="00FF0B24">
              <w:rPr>
                <w:noProof/>
                <w:webHidden/>
              </w:rPr>
              <w:fldChar w:fldCharType="separate"/>
            </w:r>
            <w:r w:rsidR="00B33E2A">
              <w:rPr>
                <w:noProof/>
                <w:webHidden/>
              </w:rPr>
              <w:t>203</w:t>
            </w:r>
            <w:r w:rsidR="00FF0B24">
              <w:rPr>
                <w:noProof/>
                <w:webHidden/>
              </w:rPr>
              <w:fldChar w:fldCharType="end"/>
            </w:r>
          </w:hyperlink>
        </w:p>
        <w:p w14:paraId="1613188A" w14:textId="6BF7CAF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3" w:history="1">
            <w:r w:rsidR="00FF0B24" w:rsidRPr="00022765">
              <w:rPr>
                <w:rStyle w:val="Hyperlink"/>
                <w:noProof/>
              </w:rPr>
              <w:t>P52 a pour propriétaire actuel (est l'actant propriétaire actuel de)</w:t>
            </w:r>
            <w:r w:rsidR="00FF0B24">
              <w:rPr>
                <w:noProof/>
                <w:webHidden/>
              </w:rPr>
              <w:tab/>
            </w:r>
            <w:r w:rsidR="00FF0B24">
              <w:rPr>
                <w:noProof/>
                <w:webHidden/>
              </w:rPr>
              <w:fldChar w:fldCharType="begin"/>
            </w:r>
            <w:r w:rsidR="00FF0B24">
              <w:rPr>
                <w:noProof/>
                <w:webHidden/>
              </w:rPr>
              <w:instrText xml:space="preserve"> PAGEREF _Toc144360923 \h </w:instrText>
            </w:r>
            <w:r w:rsidR="00FF0B24">
              <w:rPr>
                <w:noProof/>
                <w:webHidden/>
              </w:rPr>
            </w:r>
            <w:r w:rsidR="00FF0B24">
              <w:rPr>
                <w:noProof/>
                <w:webHidden/>
              </w:rPr>
              <w:fldChar w:fldCharType="separate"/>
            </w:r>
            <w:r w:rsidR="00B33E2A">
              <w:rPr>
                <w:noProof/>
                <w:webHidden/>
              </w:rPr>
              <w:t>204</w:t>
            </w:r>
            <w:r w:rsidR="00FF0B24">
              <w:rPr>
                <w:noProof/>
                <w:webHidden/>
              </w:rPr>
              <w:fldChar w:fldCharType="end"/>
            </w:r>
          </w:hyperlink>
        </w:p>
        <w:p w14:paraId="75A1261E" w14:textId="43F0523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4" w:history="1">
            <w:r w:rsidR="00FF0B24" w:rsidRPr="00022765">
              <w:rPr>
                <w:rStyle w:val="Hyperlink"/>
                <w:noProof/>
              </w:rPr>
              <w:t>P53 a pour localisation actuelle ou antérieure (est la localisation actuelle ou antérieure de)</w:t>
            </w:r>
            <w:r w:rsidR="00FF0B24">
              <w:rPr>
                <w:noProof/>
                <w:webHidden/>
              </w:rPr>
              <w:tab/>
            </w:r>
            <w:r w:rsidR="00FF0B24">
              <w:rPr>
                <w:noProof/>
                <w:webHidden/>
              </w:rPr>
              <w:fldChar w:fldCharType="begin"/>
            </w:r>
            <w:r w:rsidR="00FF0B24">
              <w:rPr>
                <w:noProof/>
                <w:webHidden/>
              </w:rPr>
              <w:instrText xml:space="preserve"> PAGEREF _Toc144360924 \h </w:instrText>
            </w:r>
            <w:r w:rsidR="00FF0B24">
              <w:rPr>
                <w:noProof/>
                <w:webHidden/>
              </w:rPr>
            </w:r>
            <w:r w:rsidR="00FF0B24">
              <w:rPr>
                <w:noProof/>
                <w:webHidden/>
              </w:rPr>
              <w:fldChar w:fldCharType="separate"/>
            </w:r>
            <w:r w:rsidR="00B33E2A">
              <w:rPr>
                <w:noProof/>
                <w:webHidden/>
              </w:rPr>
              <w:t>205</w:t>
            </w:r>
            <w:r w:rsidR="00FF0B24">
              <w:rPr>
                <w:noProof/>
                <w:webHidden/>
              </w:rPr>
              <w:fldChar w:fldCharType="end"/>
            </w:r>
          </w:hyperlink>
        </w:p>
        <w:p w14:paraId="424051BF" w14:textId="6BA9904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5" w:history="1">
            <w:r w:rsidR="00FF0B24" w:rsidRPr="00022765">
              <w:rPr>
                <w:rStyle w:val="Hyperlink"/>
                <w:noProof/>
              </w:rPr>
              <w:t>P54 a actuellement pour localisation fixe (est actuellement la location fixe de)</w:t>
            </w:r>
            <w:r w:rsidR="00FF0B24">
              <w:rPr>
                <w:noProof/>
                <w:webHidden/>
              </w:rPr>
              <w:tab/>
            </w:r>
            <w:r w:rsidR="00FF0B24">
              <w:rPr>
                <w:noProof/>
                <w:webHidden/>
              </w:rPr>
              <w:fldChar w:fldCharType="begin"/>
            </w:r>
            <w:r w:rsidR="00FF0B24">
              <w:rPr>
                <w:noProof/>
                <w:webHidden/>
              </w:rPr>
              <w:instrText xml:space="preserve"> PAGEREF _Toc144360925 \h </w:instrText>
            </w:r>
            <w:r w:rsidR="00FF0B24">
              <w:rPr>
                <w:noProof/>
                <w:webHidden/>
              </w:rPr>
            </w:r>
            <w:r w:rsidR="00FF0B24">
              <w:rPr>
                <w:noProof/>
                <w:webHidden/>
              </w:rPr>
              <w:fldChar w:fldCharType="separate"/>
            </w:r>
            <w:r w:rsidR="00B33E2A">
              <w:rPr>
                <w:noProof/>
                <w:webHidden/>
              </w:rPr>
              <w:t>206</w:t>
            </w:r>
            <w:r w:rsidR="00FF0B24">
              <w:rPr>
                <w:noProof/>
                <w:webHidden/>
              </w:rPr>
              <w:fldChar w:fldCharType="end"/>
            </w:r>
          </w:hyperlink>
        </w:p>
        <w:p w14:paraId="388CE82D" w14:textId="1C28527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6" w:history="1">
            <w:r w:rsidR="00FF0B24" w:rsidRPr="00022765">
              <w:rPr>
                <w:rStyle w:val="Hyperlink"/>
                <w:noProof/>
              </w:rPr>
              <w:t>P55 a actuellement pour localisation (est actuellement la localisation de)</w:t>
            </w:r>
            <w:r w:rsidR="00FF0B24">
              <w:rPr>
                <w:noProof/>
                <w:webHidden/>
              </w:rPr>
              <w:tab/>
            </w:r>
            <w:r w:rsidR="00FF0B24">
              <w:rPr>
                <w:noProof/>
                <w:webHidden/>
              </w:rPr>
              <w:fldChar w:fldCharType="begin"/>
            </w:r>
            <w:r w:rsidR="00FF0B24">
              <w:rPr>
                <w:noProof/>
                <w:webHidden/>
              </w:rPr>
              <w:instrText xml:space="preserve"> PAGEREF _Toc144360926 \h </w:instrText>
            </w:r>
            <w:r w:rsidR="00FF0B24">
              <w:rPr>
                <w:noProof/>
                <w:webHidden/>
              </w:rPr>
            </w:r>
            <w:r w:rsidR="00FF0B24">
              <w:rPr>
                <w:noProof/>
                <w:webHidden/>
              </w:rPr>
              <w:fldChar w:fldCharType="separate"/>
            </w:r>
            <w:r w:rsidR="00B33E2A">
              <w:rPr>
                <w:noProof/>
                <w:webHidden/>
              </w:rPr>
              <w:t>207</w:t>
            </w:r>
            <w:r w:rsidR="00FF0B24">
              <w:rPr>
                <w:noProof/>
                <w:webHidden/>
              </w:rPr>
              <w:fldChar w:fldCharType="end"/>
            </w:r>
          </w:hyperlink>
        </w:p>
        <w:p w14:paraId="10B3CD62" w14:textId="326D1C9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7" w:history="1">
            <w:r w:rsidR="00FF0B24" w:rsidRPr="00022765">
              <w:rPr>
                <w:rStyle w:val="Hyperlink"/>
                <w:noProof/>
              </w:rPr>
              <w:t>P56 a pour caractéristique (se trouve sur)</w:t>
            </w:r>
            <w:r w:rsidR="00FF0B24">
              <w:rPr>
                <w:noProof/>
                <w:webHidden/>
              </w:rPr>
              <w:tab/>
            </w:r>
            <w:r w:rsidR="00FF0B24">
              <w:rPr>
                <w:noProof/>
                <w:webHidden/>
              </w:rPr>
              <w:fldChar w:fldCharType="begin"/>
            </w:r>
            <w:r w:rsidR="00FF0B24">
              <w:rPr>
                <w:noProof/>
                <w:webHidden/>
              </w:rPr>
              <w:instrText xml:space="preserve"> PAGEREF _Toc144360927 \h </w:instrText>
            </w:r>
            <w:r w:rsidR="00FF0B24">
              <w:rPr>
                <w:noProof/>
                <w:webHidden/>
              </w:rPr>
            </w:r>
            <w:r w:rsidR="00FF0B24">
              <w:rPr>
                <w:noProof/>
                <w:webHidden/>
              </w:rPr>
              <w:fldChar w:fldCharType="separate"/>
            </w:r>
            <w:r w:rsidR="00B33E2A">
              <w:rPr>
                <w:noProof/>
                <w:webHidden/>
              </w:rPr>
              <w:t>208</w:t>
            </w:r>
            <w:r w:rsidR="00FF0B24">
              <w:rPr>
                <w:noProof/>
                <w:webHidden/>
              </w:rPr>
              <w:fldChar w:fldCharType="end"/>
            </w:r>
          </w:hyperlink>
        </w:p>
        <w:p w14:paraId="5CDAE392" w14:textId="5A99ADB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8" w:history="1">
            <w:r w:rsidR="00FF0B24" w:rsidRPr="00022765">
              <w:rPr>
                <w:rStyle w:val="Hyperlink"/>
                <w:noProof/>
              </w:rPr>
              <w:t>P57 a pour nombre d’éléments</w:t>
            </w:r>
            <w:r w:rsidR="00FF0B24">
              <w:rPr>
                <w:noProof/>
                <w:webHidden/>
              </w:rPr>
              <w:tab/>
            </w:r>
            <w:r w:rsidR="00FF0B24">
              <w:rPr>
                <w:noProof/>
                <w:webHidden/>
              </w:rPr>
              <w:fldChar w:fldCharType="begin"/>
            </w:r>
            <w:r w:rsidR="00FF0B24">
              <w:rPr>
                <w:noProof/>
                <w:webHidden/>
              </w:rPr>
              <w:instrText xml:space="preserve"> PAGEREF _Toc144360928 \h </w:instrText>
            </w:r>
            <w:r w:rsidR="00FF0B24">
              <w:rPr>
                <w:noProof/>
                <w:webHidden/>
              </w:rPr>
            </w:r>
            <w:r w:rsidR="00FF0B24">
              <w:rPr>
                <w:noProof/>
                <w:webHidden/>
              </w:rPr>
              <w:fldChar w:fldCharType="separate"/>
            </w:r>
            <w:r w:rsidR="00B33E2A">
              <w:rPr>
                <w:noProof/>
                <w:webHidden/>
              </w:rPr>
              <w:t>209</w:t>
            </w:r>
            <w:r w:rsidR="00FF0B24">
              <w:rPr>
                <w:noProof/>
                <w:webHidden/>
              </w:rPr>
              <w:fldChar w:fldCharType="end"/>
            </w:r>
          </w:hyperlink>
        </w:p>
        <w:p w14:paraId="54593001" w14:textId="7DBC6C5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29" w:history="1">
            <w:r w:rsidR="00FF0B24" w:rsidRPr="00022765">
              <w:rPr>
                <w:rStyle w:val="Hyperlink"/>
                <w:noProof/>
              </w:rPr>
              <w:t>P59 a pour section (se situe sur ou dans)</w:t>
            </w:r>
            <w:r w:rsidR="00FF0B24">
              <w:rPr>
                <w:noProof/>
                <w:webHidden/>
              </w:rPr>
              <w:tab/>
            </w:r>
            <w:r w:rsidR="00FF0B24">
              <w:rPr>
                <w:noProof/>
                <w:webHidden/>
              </w:rPr>
              <w:fldChar w:fldCharType="begin"/>
            </w:r>
            <w:r w:rsidR="00FF0B24">
              <w:rPr>
                <w:noProof/>
                <w:webHidden/>
              </w:rPr>
              <w:instrText xml:space="preserve"> PAGEREF _Toc144360929 \h </w:instrText>
            </w:r>
            <w:r w:rsidR="00FF0B24">
              <w:rPr>
                <w:noProof/>
                <w:webHidden/>
              </w:rPr>
            </w:r>
            <w:r w:rsidR="00FF0B24">
              <w:rPr>
                <w:noProof/>
                <w:webHidden/>
              </w:rPr>
              <w:fldChar w:fldCharType="separate"/>
            </w:r>
            <w:r w:rsidR="00B33E2A">
              <w:rPr>
                <w:noProof/>
                <w:webHidden/>
              </w:rPr>
              <w:t>209</w:t>
            </w:r>
            <w:r w:rsidR="00FF0B24">
              <w:rPr>
                <w:noProof/>
                <w:webHidden/>
              </w:rPr>
              <w:fldChar w:fldCharType="end"/>
            </w:r>
          </w:hyperlink>
        </w:p>
        <w:p w14:paraId="7C9379A4" w14:textId="1C3B9A9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0" w:history="1">
            <w:r w:rsidR="00FF0B24" w:rsidRPr="00022765">
              <w:rPr>
                <w:rStyle w:val="Hyperlink"/>
                <w:noProof/>
              </w:rPr>
              <w:t>P62 illustre (est illustré par)</w:t>
            </w:r>
            <w:r w:rsidR="00FF0B24">
              <w:rPr>
                <w:noProof/>
                <w:webHidden/>
              </w:rPr>
              <w:tab/>
            </w:r>
            <w:r w:rsidR="00FF0B24">
              <w:rPr>
                <w:noProof/>
                <w:webHidden/>
              </w:rPr>
              <w:fldChar w:fldCharType="begin"/>
            </w:r>
            <w:r w:rsidR="00FF0B24">
              <w:rPr>
                <w:noProof/>
                <w:webHidden/>
              </w:rPr>
              <w:instrText xml:space="preserve"> PAGEREF _Toc144360930 \h </w:instrText>
            </w:r>
            <w:r w:rsidR="00FF0B24">
              <w:rPr>
                <w:noProof/>
                <w:webHidden/>
              </w:rPr>
            </w:r>
            <w:r w:rsidR="00FF0B24">
              <w:rPr>
                <w:noProof/>
                <w:webHidden/>
              </w:rPr>
              <w:fldChar w:fldCharType="separate"/>
            </w:r>
            <w:r w:rsidR="00B33E2A">
              <w:rPr>
                <w:noProof/>
                <w:webHidden/>
              </w:rPr>
              <w:t>210</w:t>
            </w:r>
            <w:r w:rsidR="00FF0B24">
              <w:rPr>
                <w:noProof/>
                <w:webHidden/>
              </w:rPr>
              <w:fldChar w:fldCharType="end"/>
            </w:r>
          </w:hyperlink>
        </w:p>
        <w:p w14:paraId="40AE7C45" w14:textId="3785CD9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1" w:history="1">
            <w:r w:rsidR="00FF0B24" w:rsidRPr="00022765">
              <w:rPr>
                <w:rStyle w:val="Hyperlink"/>
                <w:noProof/>
              </w:rPr>
              <w:t>P65 représente l'entité visuelle (est représenté par)</w:t>
            </w:r>
            <w:r w:rsidR="00FF0B24">
              <w:rPr>
                <w:noProof/>
                <w:webHidden/>
              </w:rPr>
              <w:tab/>
            </w:r>
            <w:r w:rsidR="00FF0B24">
              <w:rPr>
                <w:noProof/>
                <w:webHidden/>
              </w:rPr>
              <w:fldChar w:fldCharType="begin"/>
            </w:r>
            <w:r w:rsidR="00FF0B24">
              <w:rPr>
                <w:noProof/>
                <w:webHidden/>
              </w:rPr>
              <w:instrText xml:space="preserve"> PAGEREF _Toc144360931 \h </w:instrText>
            </w:r>
            <w:r w:rsidR="00FF0B24">
              <w:rPr>
                <w:noProof/>
                <w:webHidden/>
              </w:rPr>
            </w:r>
            <w:r w:rsidR="00FF0B24">
              <w:rPr>
                <w:noProof/>
                <w:webHidden/>
              </w:rPr>
              <w:fldChar w:fldCharType="separate"/>
            </w:r>
            <w:r w:rsidR="00B33E2A">
              <w:rPr>
                <w:noProof/>
                <w:webHidden/>
              </w:rPr>
              <w:t>211</w:t>
            </w:r>
            <w:r w:rsidR="00FF0B24">
              <w:rPr>
                <w:noProof/>
                <w:webHidden/>
              </w:rPr>
              <w:fldChar w:fldCharType="end"/>
            </w:r>
          </w:hyperlink>
        </w:p>
        <w:p w14:paraId="00E227EE" w14:textId="1A551DA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2" w:history="1">
            <w:r w:rsidR="00FF0B24" w:rsidRPr="00022765">
              <w:rPr>
                <w:rStyle w:val="Hyperlink"/>
                <w:noProof/>
              </w:rPr>
              <w:t>P67 renvoie à (fait l'objet d'un renvoi par)</w:t>
            </w:r>
            <w:r w:rsidR="00FF0B24">
              <w:rPr>
                <w:noProof/>
                <w:webHidden/>
              </w:rPr>
              <w:tab/>
            </w:r>
            <w:r w:rsidR="00FF0B24">
              <w:rPr>
                <w:noProof/>
                <w:webHidden/>
              </w:rPr>
              <w:fldChar w:fldCharType="begin"/>
            </w:r>
            <w:r w:rsidR="00FF0B24">
              <w:rPr>
                <w:noProof/>
                <w:webHidden/>
              </w:rPr>
              <w:instrText xml:space="preserve"> PAGEREF _Toc144360932 \h </w:instrText>
            </w:r>
            <w:r w:rsidR="00FF0B24">
              <w:rPr>
                <w:noProof/>
                <w:webHidden/>
              </w:rPr>
            </w:r>
            <w:r w:rsidR="00FF0B24">
              <w:rPr>
                <w:noProof/>
                <w:webHidden/>
              </w:rPr>
              <w:fldChar w:fldCharType="separate"/>
            </w:r>
            <w:r w:rsidR="00B33E2A">
              <w:rPr>
                <w:noProof/>
                <w:webHidden/>
              </w:rPr>
              <w:t>212</w:t>
            </w:r>
            <w:r w:rsidR="00FF0B24">
              <w:rPr>
                <w:noProof/>
                <w:webHidden/>
              </w:rPr>
              <w:fldChar w:fldCharType="end"/>
            </w:r>
          </w:hyperlink>
        </w:p>
        <w:p w14:paraId="7F228629" w14:textId="5BDBB2C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3" w:history="1">
            <w:r w:rsidR="00FF0B24" w:rsidRPr="00022765">
              <w:rPr>
                <w:rStyle w:val="Hyperlink"/>
                <w:noProof/>
              </w:rPr>
              <w:t>P68 prévoit l'usage de (usage prévu de) (FB)</w:t>
            </w:r>
            <w:r w:rsidR="00FF0B24">
              <w:rPr>
                <w:noProof/>
                <w:webHidden/>
              </w:rPr>
              <w:tab/>
            </w:r>
            <w:r w:rsidR="00FF0B24">
              <w:rPr>
                <w:noProof/>
                <w:webHidden/>
              </w:rPr>
              <w:fldChar w:fldCharType="begin"/>
            </w:r>
            <w:r w:rsidR="00FF0B24">
              <w:rPr>
                <w:noProof/>
                <w:webHidden/>
              </w:rPr>
              <w:instrText xml:space="preserve"> PAGEREF _Toc144360933 \h </w:instrText>
            </w:r>
            <w:r w:rsidR="00FF0B24">
              <w:rPr>
                <w:noProof/>
                <w:webHidden/>
              </w:rPr>
            </w:r>
            <w:r w:rsidR="00FF0B24">
              <w:rPr>
                <w:noProof/>
                <w:webHidden/>
              </w:rPr>
              <w:fldChar w:fldCharType="separate"/>
            </w:r>
            <w:r w:rsidR="00B33E2A">
              <w:rPr>
                <w:noProof/>
                <w:webHidden/>
              </w:rPr>
              <w:t>213</w:t>
            </w:r>
            <w:r w:rsidR="00FF0B24">
              <w:rPr>
                <w:noProof/>
                <w:webHidden/>
              </w:rPr>
              <w:fldChar w:fldCharType="end"/>
            </w:r>
          </w:hyperlink>
        </w:p>
        <w:p w14:paraId="6A81D5A5" w14:textId="70F471A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4" w:history="1">
            <w:r w:rsidR="00FF0B24" w:rsidRPr="00022765">
              <w:rPr>
                <w:rStyle w:val="Hyperlink"/>
                <w:noProof/>
              </w:rPr>
              <w:t>P69 est associé à (est associé à) (FB)</w:t>
            </w:r>
            <w:r w:rsidR="00FF0B24">
              <w:rPr>
                <w:noProof/>
                <w:webHidden/>
              </w:rPr>
              <w:tab/>
            </w:r>
            <w:r w:rsidR="00FF0B24">
              <w:rPr>
                <w:noProof/>
                <w:webHidden/>
              </w:rPr>
              <w:fldChar w:fldCharType="begin"/>
            </w:r>
            <w:r w:rsidR="00FF0B24">
              <w:rPr>
                <w:noProof/>
                <w:webHidden/>
              </w:rPr>
              <w:instrText xml:space="preserve"> PAGEREF _Toc144360934 \h </w:instrText>
            </w:r>
            <w:r w:rsidR="00FF0B24">
              <w:rPr>
                <w:noProof/>
                <w:webHidden/>
              </w:rPr>
            </w:r>
            <w:r w:rsidR="00FF0B24">
              <w:rPr>
                <w:noProof/>
                <w:webHidden/>
              </w:rPr>
              <w:fldChar w:fldCharType="separate"/>
            </w:r>
            <w:r w:rsidR="00B33E2A">
              <w:rPr>
                <w:noProof/>
                <w:webHidden/>
              </w:rPr>
              <w:t>214</w:t>
            </w:r>
            <w:r w:rsidR="00FF0B24">
              <w:rPr>
                <w:noProof/>
                <w:webHidden/>
              </w:rPr>
              <w:fldChar w:fldCharType="end"/>
            </w:r>
          </w:hyperlink>
        </w:p>
        <w:p w14:paraId="11EDFEF9" w14:textId="0A0FAD7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5" w:history="1">
            <w:r w:rsidR="00FF0B24" w:rsidRPr="00022765">
              <w:rPr>
                <w:rStyle w:val="Hyperlink"/>
                <w:noProof/>
              </w:rPr>
              <w:t>P70 documente (est documenté dans)</w:t>
            </w:r>
            <w:r w:rsidR="00FF0B24">
              <w:rPr>
                <w:noProof/>
                <w:webHidden/>
              </w:rPr>
              <w:tab/>
            </w:r>
            <w:r w:rsidR="00FF0B24">
              <w:rPr>
                <w:noProof/>
                <w:webHidden/>
              </w:rPr>
              <w:fldChar w:fldCharType="begin"/>
            </w:r>
            <w:r w:rsidR="00FF0B24">
              <w:rPr>
                <w:noProof/>
                <w:webHidden/>
              </w:rPr>
              <w:instrText xml:space="preserve"> PAGEREF _Toc144360935 \h </w:instrText>
            </w:r>
            <w:r w:rsidR="00FF0B24">
              <w:rPr>
                <w:noProof/>
                <w:webHidden/>
              </w:rPr>
            </w:r>
            <w:r w:rsidR="00FF0B24">
              <w:rPr>
                <w:noProof/>
                <w:webHidden/>
              </w:rPr>
              <w:fldChar w:fldCharType="separate"/>
            </w:r>
            <w:r w:rsidR="00B33E2A">
              <w:rPr>
                <w:noProof/>
                <w:webHidden/>
              </w:rPr>
              <w:t>215</w:t>
            </w:r>
            <w:r w:rsidR="00FF0B24">
              <w:rPr>
                <w:noProof/>
                <w:webHidden/>
              </w:rPr>
              <w:fldChar w:fldCharType="end"/>
            </w:r>
          </w:hyperlink>
        </w:p>
        <w:p w14:paraId="725B5CBD" w14:textId="382194F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6" w:history="1">
            <w:r w:rsidR="00FF0B24" w:rsidRPr="00022765">
              <w:rPr>
                <w:rStyle w:val="Hyperlink"/>
                <w:noProof/>
              </w:rPr>
              <w:t>P71 énumère (est énuméré par)</w:t>
            </w:r>
            <w:r w:rsidR="00FF0B24">
              <w:rPr>
                <w:noProof/>
                <w:webHidden/>
              </w:rPr>
              <w:tab/>
            </w:r>
            <w:r w:rsidR="00FF0B24">
              <w:rPr>
                <w:noProof/>
                <w:webHidden/>
              </w:rPr>
              <w:fldChar w:fldCharType="begin"/>
            </w:r>
            <w:r w:rsidR="00FF0B24">
              <w:rPr>
                <w:noProof/>
                <w:webHidden/>
              </w:rPr>
              <w:instrText xml:space="preserve"> PAGEREF _Toc144360936 \h </w:instrText>
            </w:r>
            <w:r w:rsidR="00FF0B24">
              <w:rPr>
                <w:noProof/>
                <w:webHidden/>
              </w:rPr>
            </w:r>
            <w:r w:rsidR="00FF0B24">
              <w:rPr>
                <w:noProof/>
                <w:webHidden/>
              </w:rPr>
              <w:fldChar w:fldCharType="separate"/>
            </w:r>
            <w:r w:rsidR="00B33E2A">
              <w:rPr>
                <w:noProof/>
                <w:webHidden/>
              </w:rPr>
              <w:t>216</w:t>
            </w:r>
            <w:r w:rsidR="00FF0B24">
              <w:rPr>
                <w:noProof/>
                <w:webHidden/>
              </w:rPr>
              <w:fldChar w:fldCharType="end"/>
            </w:r>
          </w:hyperlink>
        </w:p>
        <w:p w14:paraId="3601A709" w14:textId="120F96D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7" w:history="1">
            <w:r w:rsidR="00FF0B24" w:rsidRPr="00022765">
              <w:rPr>
                <w:rStyle w:val="Hyperlink"/>
                <w:noProof/>
              </w:rPr>
              <w:t>P72 a pour langue (est la langue de)</w:t>
            </w:r>
            <w:r w:rsidR="00FF0B24">
              <w:rPr>
                <w:noProof/>
                <w:webHidden/>
              </w:rPr>
              <w:tab/>
            </w:r>
            <w:r w:rsidR="00FF0B24">
              <w:rPr>
                <w:noProof/>
                <w:webHidden/>
              </w:rPr>
              <w:fldChar w:fldCharType="begin"/>
            </w:r>
            <w:r w:rsidR="00FF0B24">
              <w:rPr>
                <w:noProof/>
                <w:webHidden/>
              </w:rPr>
              <w:instrText xml:space="preserve"> PAGEREF _Toc144360937 \h </w:instrText>
            </w:r>
            <w:r w:rsidR="00FF0B24">
              <w:rPr>
                <w:noProof/>
                <w:webHidden/>
              </w:rPr>
            </w:r>
            <w:r w:rsidR="00FF0B24">
              <w:rPr>
                <w:noProof/>
                <w:webHidden/>
              </w:rPr>
              <w:fldChar w:fldCharType="separate"/>
            </w:r>
            <w:r w:rsidR="00B33E2A">
              <w:rPr>
                <w:noProof/>
                <w:webHidden/>
              </w:rPr>
              <w:t>217</w:t>
            </w:r>
            <w:r w:rsidR="00FF0B24">
              <w:rPr>
                <w:noProof/>
                <w:webHidden/>
              </w:rPr>
              <w:fldChar w:fldCharType="end"/>
            </w:r>
          </w:hyperlink>
        </w:p>
        <w:p w14:paraId="7871DF28" w14:textId="3A4984B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8" w:history="1">
            <w:r w:rsidR="00FF0B24" w:rsidRPr="00022765">
              <w:rPr>
                <w:rStyle w:val="Hyperlink"/>
                <w:noProof/>
              </w:rPr>
              <w:t>P73 a pour traduction (est traduction de)</w:t>
            </w:r>
            <w:r w:rsidR="00FF0B24">
              <w:rPr>
                <w:noProof/>
                <w:webHidden/>
              </w:rPr>
              <w:tab/>
            </w:r>
            <w:r w:rsidR="00FF0B24">
              <w:rPr>
                <w:noProof/>
                <w:webHidden/>
              </w:rPr>
              <w:fldChar w:fldCharType="begin"/>
            </w:r>
            <w:r w:rsidR="00FF0B24">
              <w:rPr>
                <w:noProof/>
                <w:webHidden/>
              </w:rPr>
              <w:instrText xml:space="preserve"> PAGEREF _Toc144360938 \h </w:instrText>
            </w:r>
            <w:r w:rsidR="00FF0B24">
              <w:rPr>
                <w:noProof/>
                <w:webHidden/>
              </w:rPr>
            </w:r>
            <w:r w:rsidR="00FF0B24">
              <w:rPr>
                <w:noProof/>
                <w:webHidden/>
              </w:rPr>
              <w:fldChar w:fldCharType="separate"/>
            </w:r>
            <w:r w:rsidR="00B33E2A">
              <w:rPr>
                <w:noProof/>
                <w:webHidden/>
              </w:rPr>
              <w:t>218</w:t>
            </w:r>
            <w:r w:rsidR="00FF0B24">
              <w:rPr>
                <w:noProof/>
                <w:webHidden/>
              </w:rPr>
              <w:fldChar w:fldCharType="end"/>
            </w:r>
          </w:hyperlink>
        </w:p>
        <w:p w14:paraId="438AE809" w14:textId="1C76186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39" w:history="1">
            <w:r w:rsidR="00FF0B24" w:rsidRPr="00022765">
              <w:rPr>
                <w:rStyle w:val="Hyperlink"/>
                <w:noProof/>
              </w:rPr>
              <w:t>P74 a pour résidence actuelle ou antérieure (est la résidence actuelle ou antérieure de)</w:t>
            </w:r>
            <w:r w:rsidR="00FF0B24">
              <w:rPr>
                <w:noProof/>
                <w:webHidden/>
              </w:rPr>
              <w:tab/>
            </w:r>
            <w:r w:rsidR="00FF0B24">
              <w:rPr>
                <w:noProof/>
                <w:webHidden/>
              </w:rPr>
              <w:fldChar w:fldCharType="begin"/>
            </w:r>
            <w:r w:rsidR="00FF0B24">
              <w:rPr>
                <w:noProof/>
                <w:webHidden/>
              </w:rPr>
              <w:instrText xml:space="preserve"> PAGEREF _Toc144360939 \h </w:instrText>
            </w:r>
            <w:r w:rsidR="00FF0B24">
              <w:rPr>
                <w:noProof/>
                <w:webHidden/>
              </w:rPr>
            </w:r>
            <w:r w:rsidR="00FF0B24">
              <w:rPr>
                <w:noProof/>
                <w:webHidden/>
              </w:rPr>
              <w:fldChar w:fldCharType="separate"/>
            </w:r>
            <w:r w:rsidR="00B33E2A">
              <w:rPr>
                <w:noProof/>
                <w:webHidden/>
              </w:rPr>
              <w:t>218</w:t>
            </w:r>
            <w:r w:rsidR="00FF0B24">
              <w:rPr>
                <w:noProof/>
                <w:webHidden/>
              </w:rPr>
              <w:fldChar w:fldCharType="end"/>
            </w:r>
          </w:hyperlink>
        </w:p>
        <w:p w14:paraId="42F46754" w14:textId="2642AA4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0" w:history="1">
            <w:r w:rsidR="00FF0B24" w:rsidRPr="00022765">
              <w:rPr>
                <w:rStyle w:val="Hyperlink"/>
                <w:noProof/>
              </w:rPr>
              <w:t>P75 possède (est possédé par)</w:t>
            </w:r>
            <w:r w:rsidR="00FF0B24">
              <w:rPr>
                <w:noProof/>
                <w:webHidden/>
              </w:rPr>
              <w:tab/>
            </w:r>
            <w:r w:rsidR="00FF0B24">
              <w:rPr>
                <w:noProof/>
                <w:webHidden/>
              </w:rPr>
              <w:fldChar w:fldCharType="begin"/>
            </w:r>
            <w:r w:rsidR="00FF0B24">
              <w:rPr>
                <w:noProof/>
                <w:webHidden/>
              </w:rPr>
              <w:instrText xml:space="preserve"> PAGEREF _Toc144360940 \h </w:instrText>
            </w:r>
            <w:r w:rsidR="00FF0B24">
              <w:rPr>
                <w:noProof/>
                <w:webHidden/>
              </w:rPr>
            </w:r>
            <w:r w:rsidR="00FF0B24">
              <w:rPr>
                <w:noProof/>
                <w:webHidden/>
              </w:rPr>
              <w:fldChar w:fldCharType="separate"/>
            </w:r>
            <w:r w:rsidR="00B33E2A">
              <w:rPr>
                <w:noProof/>
                <w:webHidden/>
              </w:rPr>
              <w:t>219</w:t>
            </w:r>
            <w:r w:rsidR="00FF0B24">
              <w:rPr>
                <w:noProof/>
                <w:webHidden/>
              </w:rPr>
              <w:fldChar w:fldCharType="end"/>
            </w:r>
          </w:hyperlink>
        </w:p>
        <w:p w14:paraId="352CD4FD" w14:textId="768DB9E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1" w:history="1">
            <w:r w:rsidR="00FF0B24" w:rsidRPr="00022765">
              <w:rPr>
                <w:rStyle w:val="Hyperlink"/>
                <w:noProof/>
              </w:rPr>
              <w:t>P76 a pour coordonnées (permet de contacter)</w:t>
            </w:r>
            <w:r w:rsidR="00FF0B24">
              <w:rPr>
                <w:noProof/>
                <w:webHidden/>
              </w:rPr>
              <w:tab/>
            </w:r>
            <w:r w:rsidR="00FF0B24">
              <w:rPr>
                <w:noProof/>
                <w:webHidden/>
              </w:rPr>
              <w:fldChar w:fldCharType="begin"/>
            </w:r>
            <w:r w:rsidR="00FF0B24">
              <w:rPr>
                <w:noProof/>
                <w:webHidden/>
              </w:rPr>
              <w:instrText xml:space="preserve"> PAGEREF _Toc144360941 \h </w:instrText>
            </w:r>
            <w:r w:rsidR="00FF0B24">
              <w:rPr>
                <w:noProof/>
                <w:webHidden/>
              </w:rPr>
            </w:r>
            <w:r w:rsidR="00FF0B24">
              <w:rPr>
                <w:noProof/>
                <w:webHidden/>
              </w:rPr>
              <w:fldChar w:fldCharType="separate"/>
            </w:r>
            <w:r w:rsidR="00B33E2A">
              <w:rPr>
                <w:noProof/>
                <w:webHidden/>
              </w:rPr>
              <w:t>220</w:t>
            </w:r>
            <w:r w:rsidR="00FF0B24">
              <w:rPr>
                <w:noProof/>
                <w:webHidden/>
              </w:rPr>
              <w:fldChar w:fldCharType="end"/>
            </w:r>
          </w:hyperlink>
        </w:p>
        <w:p w14:paraId="13F3AEBA" w14:textId="3454DF5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2" w:history="1">
            <w:r w:rsidR="00FF0B24" w:rsidRPr="00022765">
              <w:rPr>
                <w:rStyle w:val="Hyperlink"/>
                <w:noProof/>
              </w:rPr>
              <w:t>P79 a son début qualifié par</w:t>
            </w:r>
            <w:r w:rsidR="00FF0B24">
              <w:rPr>
                <w:noProof/>
                <w:webHidden/>
              </w:rPr>
              <w:tab/>
            </w:r>
            <w:r w:rsidR="00FF0B24">
              <w:rPr>
                <w:noProof/>
                <w:webHidden/>
              </w:rPr>
              <w:fldChar w:fldCharType="begin"/>
            </w:r>
            <w:r w:rsidR="00FF0B24">
              <w:rPr>
                <w:noProof/>
                <w:webHidden/>
              </w:rPr>
              <w:instrText xml:space="preserve"> PAGEREF _Toc144360942 \h </w:instrText>
            </w:r>
            <w:r w:rsidR="00FF0B24">
              <w:rPr>
                <w:noProof/>
                <w:webHidden/>
              </w:rPr>
            </w:r>
            <w:r w:rsidR="00FF0B24">
              <w:rPr>
                <w:noProof/>
                <w:webHidden/>
              </w:rPr>
              <w:fldChar w:fldCharType="separate"/>
            </w:r>
            <w:r w:rsidR="00B33E2A">
              <w:rPr>
                <w:noProof/>
                <w:webHidden/>
              </w:rPr>
              <w:t>220</w:t>
            </w:r>
            <w:r w:rsidR="00FF0B24">
              <w:rPr>
                <w:noProof/>
                <w:webHidden/>
              </w:rPr>
              <w:fldChar w:fldCharType="end"/>
            </w:r>
          </w:hyperlink>
        </w:p>
        <w:p w14:paraId="0682CD9F" w14:textId="1362899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3" w:history="1">
            <w:r w:rsidR="00FF0B24" w:rsidRPr="00022765">
              <w:rPr>
                <w:rStyle w:val="Hyperlink"/>
                <w:noProof/>
              </w:rPr>
              <w:t>P80 a sa fin qualifiée par</w:t>
            </w:r>
            <w:r w:rsidR="00FF0B24">
              <w:rPr>
                <w:noProof/>
                <w:webHidden/>
              </w:rPr>
              <w:tab/>
            </w:r>
            <w:r w:rsidR="00FF0B24">
              <w:rPr>
                <w:noProof/>
                <w:webHidden/>
              </w:rPr>
              <w:fldChar w:fldCharType="begin"/>
            </w:r>
            <w:r w:rsidR="00FF0B24">
              <w:rPr>
                <w:noProof/>
                <w:webHidden/>
              </w:rPr>
              <w:instrText xml:space="preserve"> PAGEREF _Toc144360943 \h </w:instrText>
            </w:r>
            <w:r w:rsidR="00FF0B24">
              <w:rPr>
                <w:noProof/>
                <w:webHidden/>
              </w:rPr>
            </w:r>
            <w:r w:rsidR="00FF0B24">
              <w:rPr>
                <w:noProof/>
                <w:webHidden/>
              </w:rPr>
              <w:fldChar w:fldCharType="separate"/>
            </w:r>
            <w:r w:rsidR="00B33E2A">
              <w:rPr>
                <w:noProof/>
                <w:webHidden/>
              </w:rPr>
              <w:t>221</w:t>
            </w:r>
            <w:r w:rsidR="00FF0B24">
              <w:rPr>
                <w:noProof/>
                <w:webHidden/>
              </w:rPr>
              <w:fldChar w:fldCharType="end"/>
            </w:r>
          </w:hyperlink>
        </w:p>
        <w:p w14:paraId="6316FB24" w14:textId="6B7DEC4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4" w:history="1">
            <w:r w:rsidR="00FF0B24" w:rsidRPr="00022765">
              <w:rPr>
                <w:rStyle w:val="Hyperlink"/>
                <w:noProof/>
              </w:rPr>
              <w:t>P81 a couvert</w:t>
            </w:r>
            <w:r w:rsidR="00FF0B24">
              <w:rPr>
                <w:noProof/>
                <w:webHidden/>
              </w:rPr>
              <w:tab/>
            </w:r>
            <w:r w:rsidR="00FF0B24">
              <w:rPr>
                <w:noProof/>
                <w:webHidden/>
              </w:rPr>
              <w:fldChar w:fldCharType="begin"/>
            </w:r>
            <w:r w:rsidR="00FF0B24">
              <w:rPr>
                <w:noProof/>
                <w:webHidden/>
              </w:rPr>
              <w:instrText xml:space="preserve"> PAGEREF _Toc144360944 \h </w:instrText>
            </w:r>
            <w:r w:rsidR="00FF0B24">
              <w:rPr>
                <w:noProof/>
                <w:webHidden/>
              </w:rPr>
            </w:r>
            <w:r w:rsidR="00FF0B24">
              <w:rPr>
                <w:noProof/>
                <w:webHidden/>
              </w:rPr>
              <w:fldChar w:fldCharType="separate"/>
            </w:r>
            <w:r w:rsidR="00B33E2A">
              <w:rPr>
                <w:noProof/>
                <w:webHidden/>
              </w:rPr>
              <w:t>221</w:t>
            </w:r>
            <w:r w:rsidR="00FF0B24">
              <w:rPr>
                <w:noProof/>
                <w:webHidden/>
              </w:rPr>
              <w:fldChar w:fldCharType="end"/>
            </w:r>
          </w:hyperlink>
        </w:p>
        <w:p w14:paraId="03AD7EA1" w14:textId="40979B2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5" w:history="1">
            <w:r w:rsidR="00FF0B24" w:rsidRPr="00022765">
              <w:rPr>
                <w:rStyle w:val="Hyperlink"/>
                <w:noProof/>
              </w:rPr>
              <w:t>P82 a eu lieu durant</w:t>
            </w:r>
            <w:r w:rsidR="00FF0B24">
              <w:rPr>
                <w:noProof/>
                <w:webHidden/>
              </w:rPr>
              <w:tab/>
            </w:r>
            <w:r w:rsidR="00FF0B24">
              <w:rPr>
                <w:noProof/>
                <w:webHidden/>
              </w:rPr>
              <w:fldChar w:fldCharType="begin"/>
            </w:r>
            <w:r w:rsidR="00FF0B24">
              <w:rPr>
                <w:noProof/>
                <w:webHidden/>
              </w:rPr>
              <w:instrText xml:space="preserve"> PAGEREF _Toc144360945 \h </w:instrText>
            </w:r>
            <w:r w:rsidR="00FF0B24">
              <w:rPr>
                <w:noProof/>
                <w:webHidden/>
              </w:rPr>
            </w:r>
            <w:r w:rsidR="00FF0B24">
              <w:rPr>
                <w:noProof/>
                <w:webHidden/>
              </w:rPr>
              <w:fldChar w:fldCharType="separate"/>
            </w:r>
            <w:r w:rsidR="00B33E2A">
              <w:rPr>
                <w:noProof/>
                <w:webHidden/>
              </w:rPr>
              <w:t>223</w:t>
            </w:r>
            <w:r w:rsidR="00FF0B24">
              <w:rPr>
                <w:noProof/>
                <w:webHidden/>
              </w:rPr>
              <w:fldChar w:fldCharType="end"/>
            </w:r>
          </w:hyperlink>
        </w:p>
        <w:p w14:paraId="31DFA534" w14:textId="5C573E8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6" w:history="1">
            <w:r w:rsidR="00FF0B24" w:rsidRPr="00022765">
              <w:rPr>
                <w:rStyle w:val="Hyperlink"/>
                <w:noProof/>
              </w:rPr>
              <w:t>P86 s’insère dans (contient)</w:t>
            </w:r>
            <w:r w:rsidR="00FF0B24">
              <w:rPr>
                <w:noProof/>
                <w:webHidden/>
              </w:rPr>
              <w:tab/>
            </w:r>
            <w:r w:rsidR="00FF0B24">
              <w:rPr>
                <w:noProof/>
                <w:webHidden/>
              </w:rPr>
              <w:fldChar w:fldCharType="begin"/>
            </w:r>
            <w:r w:rsidR="00FF0B24">
              <w:rPr>
                <w:noProof/>
                <w:webHidden/>
              </w:rPr>
              <w:instrText xml:space="preserve"> PAGEREF _Toc144360946 \h </w:instrText>
            </w:r>
            <w:r w:rsidR="00FF0B24">
              <w:rPr>
                <w:noProof/>
                <w:webHidden/>
              </w:rPr>
            </w:r>
            <w:r w:rsidR="00FF0B24">
              <w:rPr>
                <w:noProof/>
                <w:webHidden/>
              </w:rPr>
              <w:fldChar w:fldCharType="separate"/>
            </w:r>
            <w:r w:rsidR="00B33E2A">
              <w:rPr>
                <w:noProof/>
                <w:webHidden/>
              </w:rPr>
              <w:t>224</w:t>
            </w:r>
            <w:r w:rsidR="00FF0B24">
              <w:rPr>
                <w:noProof/>
                <w:webHidden/>
              </w:rPr>
              <w:fldChar w:fldCharType="end"/>
            </w:r>
          </w:hyperlink>
        </w:p>
        <w:p w14:paraId="6BD19700" w14:textId="22416F7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7" w:history="1">
            <w:r w:rsidR="00FF0B24" w:rsidRPr="00022765">
              <w:rPr>
                <w:rStyle w:val="Hyperlink"/>
                <w:noProof/>
              </w:rPr>
              <w:t>P89 s'insère dans (contient)</w:t>
            </w:r>
            <w:r w:rsidR="00FF0B24">
              <w:rPr>
                <w:noProof/>
                <w:webHidden/>
              </w:rPr>
              <w:tab/>
            </w:r>
            <w:r w:rsidR="00FF0B24">
              <w:rPr>
                <w:noProof/>
                <w:webHidden/>
              </w:rPr>
              <w:fldChar w:fldCharType="begin"/>
            </w:r>
            <w:r w:rsidR="00FF0B24">
              <w:rPr>
                <w:noProof/>
                <w:webHidden/>
              </w:rPr>
              <w:instrText xml:space="preserve"> PAGEREF _Toc144360947 \h </w:instrText>
            </w:r>
            <w:r w:rsidR="00FF0B24">
              <w:rPr>
                <w:noProof/>
                <w:webHidden/>
              </w:rPr>
            </w:r>
            <w:r w:rsidR="00FF0B24">
              <w:rPr>
                <w:noProof/>
                <w:webHidden/>
              </w:rPr>
              <w:fldChar w:fldCharType="separate"/>
            </w:r>
            <w:r w:rsidR="00B33E2A">
              <w:rPr>
                <w:noProof/>
                <w:webHidden/>
              </w:rPr>
              <w:t>225</w:t>
            </w:r>
            <w:r w:rsidR="00FF0B24">
              <w:rPr>
                <w:noProof/>
                <w:webHidden/>
              </w:rPr>
              <w:fldChar w:fldCharType="end"/>
            </w:r>
          </w:hyperlink>
        </w:p>
        <w:p w14:paraId="629AD668" w14:textId="14D9501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8" w:history="1">
            <w:r w:rsidR="00FF0B24" w:rsidRPr="00022765">
              <w:rPr>
                <w:rStyle w:val="Hyperlink"/>
                <w:noProof/>
              </w:rPr>
              <w:t>P90 a pour valeur</w:t>
            </w:r>
            <w:r w:rsidR="00FF0B24">
              <w:rPr>
                <w:noProof/>
                <w:webHidden/>
              </w:rPr>
              <w:tab/>
            </w:r>
            <w:r w:rsidR="00FF0B24">
              <w:rPr>
                <w:noProof/>
                <w:webHidden/>
              </w:rPr>
              <w:fldChar w:fldCharType="begin"/>
            </w:r>
            <w:r w:rsidR="00FF0B24">
              <w:rPr>
                <w:noProof/>
                <w:webHidden/>
              </w:rPr>
              <w:instrText xml:space="preserve"> PAGEREF _Toc144360948 \h </w:instrText>
            </w:r>
            <w:r w:rsidR="00FF0B24">
              <w:rPr>
                <w:noProof/>
                <w:webHidden/>
              </w:rPr>
            </w:r>
            <w:r w:rsidR="00FF0B24">
              <w:rPr>
                <w:noProof/>
                <w:webHidden/>
              </w:rPr>
              <w:fldChar w:fldCharType="separate"/>
            </w:r>
            <w:r w:rsidR="00B33E2A">
              <w:rPr>
                <w:noProof/>
                <w:webHidden/>
              </w:rPr>
              <w:t>225</w:t>
            </w:r>
            <w:r w:rsidR="00FF0B24">
              <w:rPr>
                <w:noProof/>
                <w:webHidden/>
              </w:rPr>
              <w:fldChar w:fldCharType="end"/>
            </w:r>
          </w:hyperlink>
        </w:p>
        <w:p w14:paraId="692033E9" w14:textId="4E13A4C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49" w:history="1">
            <w:r w:rsidR="00FF0B24" w:rsidRPr="00022765">
              <w:rPr>
                <w:rStyle w:val="Hyperlink"/>
                <w:noProof/>
              </w:rPr>
              <w:t>P91 a pour unité de mesure (est l’unité de mesure de)</w:t>
            </w:r>
            <w:r w:rsidR="00FF0B24">
              <w:rPr>
                <w:noProof/>
                <w:webHidden/>
              </w:rPr>
              <w:tab/>
            </w:r>
            <w:r w:rsidR="00FF0B24">
              <w:rPr>
                <w:noProof/>
                <w:webHidden/>
              </w:rPr>
              <w:fldChar w:fldCharType="begin"/>
            </w:r>
            <w:r w:rsidR="00FF0B24">
              <w:rPr>
                <w:noProof/>
                <w:webHidden/>
              </w:rPr>
              <w:instrText xml:space="preserve"> PAGEREF _Toc144360949 \h </w:instrText>
            </w:r>
            <w:r w:rsidR="00FF0B24">
              <w:rPr>
                <w:noProof/>
                <w:webHidden/>
              </w:rPr>
            </w:r>
            <w:r w:rsidR="00FF0B24">
              <w:rPr>
                <w:noProof/>
                <w:webHidden/>
              </w:rPr>
              <w:fldChar w:fldCharType="separate"/>
            </w:r>
            <w:r w:rsidR="00B33E2A">
              <w:rPr>
                <w:noProof/>
                <w:webHidden/>
              </w:rPr>
              <w:t>226</w:t>
            </w:r>
            <w:r w:rsidR="00FF0B24">
              <w:rPr>
                <w:noProof/>
                <w:webHidden/>
              </w:rPr>
              <w:fldChar w:fldCharType="end"/>
            </w:r>
          </w:hyperlink>
        </w:p>
        <w:p w14:paraId="13747393" w14:textId="0E2931B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0" w:history="1">
            <w:r w:rsidR="00FF0B24" w:rsidRPr="00022765">
              <w:rPr>
                <w:rStyle w:val="Hyperlink"/>
                <w:noProof/>
              </w:rPr>
              <w:t>P92 a fait exister (a commencé à exister par)</w:t>
            </w:r>
            <w:r w:rsidR="00FF0B24">
              <w:rPr>
                <w:noProof/>
                <w:webHidden/>
              </w:rPr>
              <w:tab/>
            </w:r>
            <w:r w:rsidR="00FF0B24">
              <w:rPr>
                <w:noProof/>
                <w:webHidden/>
              </w:rPr>
              <w:fldChar w:fldCharType="begin"/>
            </w:r>
            <w:r w:rsidR="00FF0B24">
              <w:rPr>
                <w:noProof/>
                <w:webHidden/>
              </w:rPr>
              <w:instrText xml:space="preserve"> PAGEREF _Toc144360950 \h </w:instrText>
            </w:r>
            <w:r w:rsidR="00FF0B24">
              <w:rPr>
                <w:noProof/>
                <w:webHidden/>
              </w:rPr>
            </w:r>
            <w:r w:rsidR="00FF0B24">
              <w:rPr>
                <w:noProof/>
                <w:webHidden/>
              </w:rPr>
              <w:fldChar w:fldCharType="separate"/>
            </w:r>
            <w:r w:rsidR="00B33E2A">
              <w:rPr>
                <w:noProof/>
                <w:webHidden/>
              </w:rPr>
              <w:t>226</w:t>
            </w:r>
            <w:r w:rsidR="00FF0B24">
              <w:rPr>
                <w:noProof/>
                <w:webHidden/>
              </w:rPr>
              <w:fldChar w:fldCharType="end"/>
            </w:r>
          </w:hyperlink>
        </w:p>
        <w:p w14:paraId="75828087" w14:textId="0DE1919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1" w:history="1">
            <w:r w:rsidR="00FF0B24" w:rsidRPr="00022765">
              <w:rPr>
                <w:rStyle w:val="Hyperlink"/>
                <w:noProof/>
              </w:rPr>
              <w:t>P93 a mis fin à l’existence de (a cessé d’exister par)</w:t>
            </w:r>
            <w:r w:rsidR="00FF0B24">
              <w:rPr>
                <w:noProof/>
                <w:webHidden/>
              </w:rPr>
              <w:tab/>
            </w:r>
            <w:r w:rsidR="00FF0B24">
              <w:rPr>
                <w:noProof/>
                <w:webHidden/>
              </w:rPr>
              <w:fldChar w:fldCharType="begin"/>
            </w:r>
            <w:r w:rsidR="00FF0B24">
              <w:rPr>
                <w:noProof/>
                <w:webHidden/>
              </w:rPr>
              <w:instrText xml:space="preserve"> PAGEREF _Toc144360951 \h </w:instrText>
            </w:r>
            <w:r w:rsidR="00FF0B24">
              <w:rPr>
                <w:noProof/>
                <w:webHidden/>
              </w:rPr>
            </w:r>
            <w:r w:rsidR="00FF0B24">
              <w:rPr>
                <w:noProof/>
                <w:webHidden/>
              </w:rPr>
              <w:fldChar w:fldCharType="separate"/>
            </w:r>
            <w:r w:rsidR="00B33E2A">
              <w:rPr>
                <w:noProof/>
                <w:webHidden/>
              </w:rPr>
              <w:t>227</w:t>
            </w:r>
            <w:r w:rsidR="00FF0B24">
              <w:rPr>
                <w:noProof/>
                <w:webHidden/>
              </w:rPr>
              <w:fldChar w:fldCharType="end"/>
            </w:r>
          </w:hyperlink>
        </w:p>
        <w:p w14:paraId="2A89A8BD" w14:textId="438318D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2" w:history="1">
            <w:r w:rsidR="00FF0B24" w:rsidRPr="00022765">
              <w:rPr>
                <w:rStyle w:val="Hyperlink"/>
                <w:noProof/>
              </w:rPr>
              <w:t>P94 a créé (a été créé par)</w:t>
            </w:r>
            <w:r w:rsidR="00FF0B24">
              <w:rPr>
                <w:noProof/>
                <w:webHidden/>
              </w:rPr>
              <w:tab/>
            </w:r>
            <w:r w:rsidR="00FF0B24">
              <w:rPr>
                <w:noProof/>
                <w:webHidden/>
              </w:rPr>
              <w:fldChar w:fldCharType="begin"/>
            </w:r>
            <w:r w:rsidR="00FF0B24">
              <w:rPr>
                <w:noProof/>
                <w:webHidden/>
              </w:rPr>
              <w:instrText xml:space="preserve"> PAGEREF _Toc144360952 \h </w:instrText>
            </w:r>
            <w:r w:rsidR="00FF0B24">
              <w:rPr>
                <w:noProof/>
                <w:webHidden/>
              </w:rPr>
            </w:r>
            <w:r w:rsidR="00FF0B24">
              <w:rPr>
                <w:noProof/>
                <w:webHidden/>
              </w:rPr>
              <w:fldChar w:fldCharType="separate"/>
            </w:r>
            <w:r w:rsidR="00B33E2A">
              <w:rPr>
                <w:noProof/>
                <w:webHidden/>
              </w:rPr>
              <w:t>228</w:t>
            </w:r>
            <w:r w:rsidR="00FF0B24">
              <w:rPr>
                <w:noProof/>
                <w:webHidden/>
              </w:rPr>
              <w:fldChar w:fldCharType="end"/>
            </w:r>
          </w:hyperlink>
        </w:p>
        <w:p w14:paraId="7E1B3180" w14:textId="68D9DA8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3" w:history="1">
            <w:r w:rsidR="00FF0B24" w:rsidRPr="00022765">
              <w:rPr>
                <w:rStyle w:val="Hyperlink"/>
                <w:noProof/>
              </w:rPr>
              <w:t>P95 a fondé (a été fondé par)</w:t>
            </w:r>
            <w:r w:rsidR="00FF0B24">
              <w:rPr>
                <w:noProof/>
                <w:webHidden/>
              </w:rPr>
              <w:tab/>
            </w:r>
            <w:r w:rsidR="00FF0B24">
              <w:rPr>
                <w:noProof/>
                <w:webHidden/>
              </w:rPr>
              <w:fldChar w:fldCharType="begin"/>
            </w:r>
            <w:r w:rsidR="00FF0B24">
              <w:rPr>
                <w:noProof/>
                <w:webHidden/>
              </w:rPr>
              <w:instrText xml:space="preserve"> PAGEREF _Toc144360953 \h </w:instrText>
            </w:r>
            <w:r w:rsidR="00FF0B24">
              <w:rPr>
                <w:noProof/>
                <w:webHidden/>
              </w:rPr>
            </w:r>
            <w:r w:rsidR="00FF0B24">
              <w:rPr>
                <w:noProof/>
                <w:webHidden/>
              </w:rPr>
              <w:fldChar w:fldCharType="separate"/>
            </w:r>
            <w:r w:rsidR="00B33E2A">
              <w:rPr>
                <w:noProof/>
                <w:webHidden/>
              </w:rPr>
              <w:t>229</w:t>
            </w:r>
            <w:r w:rsidR="00FF0B24">
              <w:rPr>
                <w:noProof/>
                <w:webHidden/>
              </w:rPr>
              <w:fldChar w:fldCharType="end"/>
            </w:r>
          </w:hyperlink>
        </w:p>
        <w:p w14:paraId="7446E958" w14:textId="5456661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4" w:history="1">
            <w:r w:rsidR="00FF0B24" w:rsidRPr="00022765">
              <w:rPr>
                <w:rStyle w:val="Hyperlink"/>
                <w:noProof/>
              </w:rPr>
              <w:t>P96 de mère (a donné naissance à)</w:t>
            </w:r>
            <w:r w:rsidR="00FF0B24">
              <w:rPr>
                <w:noProof/>
                <w:webHidden/>
              </w:rPr>
              <w:tab/>
            </w:r>
            <w:r w:rsidR="00FF0B24">
              <w:rPr>
                <w:noProof/>
                <w:webHidden/>
              </w:rPr>
              <w:fldChar w:fldCharType="begin"/>
            </w:r>
            <w:r w:rsidR="00FF0B24">
              <w:rPr>
                <w:noProof/>
                <w:webHidden/>
              </w:rPr>
              <w:instrText xml:space="preserve"> PAGEREF _Toc144360954 \h </w:instrText>
            </w:r>
            <w:r w:rsidR="00FF0B24">
              <w:rPr>
                <w:noProof/>
                <w:webHidden/>
              </w:rPr>
            </w:r>
            <w:r w:rsidR="00FF0B24">
              <w:rPr>
                <w:noProof/>
                <w:webHidden/>
              </w:rPr>
              <w:fldChar w:fldCharType="separate"/>
            </w:r>
            <w:r w:rsidR="00B33E2A">
              <w:rPr>
                <w:noProof/>
                <w:webHidden/>
              </w:rPr>
              <w:t>229</w:t>
            </w:r>
            <w:r w:rsidR="00FF0B24">
              <w:rPr>
                <w:noProof/>
                <w:webHidden/>
              </w:rPr>
              <w:fldChar w:fldCharType="end"/>
            </w:r>
          </w:hyperlink>
        </w:p>
        <w:p w14:paraId="5F72B9E5" w14:textId="52835F6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5" w:history="1">
            <w:r w:rsidR="00FF0B24" w:rsidRPr="00022765">
              <w:rPr>
                <w:rStyle w:val="Hyperlink"/>
                <w:noProof/>
              </w:rPr>
              <w:t>P97 de père (a été le père pour)</w:t>
            </w:r>
            <w:r w:rsidR="00FF0B24">
              <w:rPr>
                <w:noProof/>
                <w:webHidden/>
              </w:rPr>
              <w:tab/>
            </w:r>
            <w:r w:rsidR="00FF0B24">
              <w:rPr>
                <w:noProof/>
                <w:webHidden/>
              </w:rPr>
              <w:fldChar w:fldCharType="begin"/>
            </w:r>
            <w:r w:rsidR="00FF0B24">
              <w:rPr>
                <w:noProof/>
                <w:webHidden/>
              </w:rPr>
              <w:instrText xml:space="preserve"> PAGEREF _Toc144360955 \h </w:instrText>
            </w:r>
            <w:r w:rsidR="00FF0B24">
              <w:rPr>
                <w:noProof/>
                <w:webHidden/>
              </w:rPr>
            </w:r>
            <w:r w:rsidR="00FF0B24">
              <w:rPr>
                <w:noProof/>
                <w:webHidden/>
              </w:rPr>
              <w:fldChar w:fldCharType="separate"/>
            </w:r>
            <w:r w:rsidR="00B33E2A">
              <w:rPr>
                <w:noProof/>
                <w:webHidden/>
              </w:rPr>
              <w:t>230</w:t>
            </w:r>
            <w:r w:rsidR="00FF0B24">
              <w:rPr>
                <w:noProof/>
                <w:webHidden/>
              </w:rPr>
              <w:fldChar w:fldCharType="end"/>
            </w:r>
          </w:hyperlink>
        </w:p>
        <w:p w14:paraId="4F5279CE" w14:textId="687D262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6" w:history="1">
            <w:r w:rsidR="00FF0B24" w:rsidRPr="00022765">
              <w:rPr>
                <w:rStyle w:val="Hyperlink"/>
                <w:noProof/>
              </w:rPr>
              <w:t>P98 a donné vie à (est né)</w:t>
            </w:r>
            <w:r w:rsidR="00FF0B24">
              <w:rPr>
                <w:noProof/>
                <w:webHidden/>
              </w:rPr>
              <w:tab/>
            </w:r>
            <w:r w:rsidR="00FF0B24">
              <w:rPr>
                <w:noProof/>
                <w:webHidden/>
              </w:rPr>
              <w:fldChar w:fldCharType="begin"/>
            </w:r>
            <w:r w:rsidR="00FF0B24">
              <w:rPr>
                <w:noProof/>
                <w:webHidden/>
              </w:rPr>
              <w:instrText xml:space="preserve"> PAGEREF _Toc144360956 \h </w:instrText>
            </w:r>
            <w:r w:rsidR="00FF0B24">
              <w:rPr>
                <w:noProof/>
                <w:webHidden/>
              </w:rPr>
            </w:r>
            <w:r w:rsidR="00FF0B24">
              <w:rPr>
                <w:noProof/>
                <w:webHidden/>
              </w:rPr>
              <w:fldChar w:fldCharType="separate"/>
            </w:r>
            <w:r w:rsidR="00B33E2A">
              <w:rPr>
                <w:noProof/>
                <w:webHidden/>
              </w:rPr>
              <w:t>231</w:t>
            </w:r>
            <w:r w:rsidR="00FF0B24">
              <w:rPr>
                <w:noProof/>
                <w:webHidden/>
              </w:rPr>
              <w:fldChar w:fldCharType="end"/>
            </w:r>
          </w:hyperlink>
        </w:p>
        <w:p w14:paraId="2A17B817" w14:textId="5F3B5E7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7" w:history="1">
            <w:r w:rsidR="00FF0B24" w:rsidRPr="00022765">
              <w:rPr>
                <w:rStyle w:val="Hyperlink"/>
                <w:noProof/>
              </w:rPr>
              <w:t>P99 a dissous (a été dissous par)</w:t>
            </w:r>
            <w:r w:rsidR="00FF0B24">
              <w:rPr>
                <w:noProof/>
                <w:webHidden/>
              </w:rPr>
              <w:tab/>
            </w:r>
            <w:r w:rsidR="00FF0B24">
              <w:rPr>
                <w:noProof/>
                <w:webHidden/>
              </w:rPr>
              <w:fldChar w:fldCharType="begin"/>
            </w:r>
            <w:r w:rsidR="00FF0B24">
              <w:rPr>
                <w:noProof/>
                <w:webHidden/>
              </w:rPr>
              <w:instrText xml:space="preserve"> PAGEREF _Toc144360957 \h </w:instrText>
            </w:r>
            <w:r w:rsidR="00FF0B24">
              <w:rPr>
                <w:noProof/>
                <w:webHidden/>
              </w:rPr>
            </w:r>
            <w:r w:rsidR="00FF0B24">
              <w:rPr>
                <w:noProof/>
                <w:webHidden/>
              </w:rPr>
              <w:fldChar w:fldCharType="separate"/>
            </w:r>
            <w:r w:rsidR="00B33E2A">
              <w:rPr>
                <w:noProof/>
                <w:webHidden/>
              </w:rPr>
              <w:t>232</w:t>
            </w:r>
            <w:r w:rsidR="00FF0B24">
              <w:rPr>
                <w:noProof/>
                <w:webHidden/>
              </w:rPr>
              <w:fldChar w:fldCharType="end"/>
            </w:r>
          </w:hyperlink>
        </w:p>
        <w:p w14:paraId="6AFE258A" w14:textId="6D5DD16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8" w:history="1">
            <w:r w:rsidR="00FF0B24" w:rsidRPr="00022765">
              <w:rPr>
                <w:rStyle w:val="Hyperlink"/>
                <w:noProof/>
              </w:rPr>
              <w:t>P100 a été la mort de (est mort par)</w:t>
            </w:r>
            <w:r w:rsidR="00FF0B24">
              <w:rPr>
                <w:noProof/>
                <w:webHidden/>
              </w:rPr>
              <w:tab/>
            </w:r>
            <w:r w:rsidR="00FF0B24">
              <w:rPr>
                <w:noProof/>
                <w:webHidden/>
              </w:rPr>
              <w:fldChar w:fldCharType="begin"/>
            </w:r>
            <w:r w:rsidR="00FF0B24">
              <w:rPr>
                <w:noProof/>
                <w:webHidden/>
              </w:rPr>
              <w:instrText xml:space="preserve"> PAGEREF _Toc144360958 \h </w:instrText>
            </w:r>
            <w:r w:rsidR="00FF0B24">
              <w:rPr>
                <w:noProof/>
                <w:webHidden/>
              </w:rPr>
            </w:r>
            <w:r w:rsidR="00FF0B24">
              <w:rPr>
                <w:noProof/>
                <w:webHidden/>
              </w:rPr>
              <w:fldChar w:fldCharType="separate"/>
            </w:r>
            <w:r w:rsidR="00B33E2A">
              <w:rPr>
                <w:noProof/>
                <w:webHidden/>
              </w:rPr>
              <w:t>233</w:t>
            </w:r>
            <w:r w:rsidR="00FF0B24">
              <w:rPr>
                <w:noProof/>
                <w:webHidden/>
              </w:rPr>
              <w:fldChar w:fldCharType="end"/>
            </w:r>
          </w:hyperlink>
        </w:p>
        <w:p w14:paraId="32F32182" w14:textId="5674B6C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59" w:history="1">
            <w:r w:rsidR="00FF0B24" w:rsidRPr="00022765">
              <w:rPr>
                <w:rStyle w:val="Hyperlink"/>
                <w:noProof/>
              </w:rPr>
              <w:t>P101 a eu pour usage général (a été l'usage général de)</w:t>
            </w:r>
            <w:r w:rsidR="00FF0B24">
              <w:rPr>
                <w:noProof/>
                <w:webHidden/>
              </w:rPr>
              <w:tab/>
            </w:r>
            <w:r w:rsidR="00FF0B24">
              <w:rPr>
                <w:noProof/>
                <w:webHidden/>
              </w:rPr>
              <w:fldChar w:fldCharType="begin"/>
            </w:r>
            <w:r w:rsidR="00FF0B24">
              <w:rPr>
                <w:noProof/>
                <w:webHidden/>
              </w:rPr>
              <w:instrText xml:space="preserve"> PAGEREF _Toc144360959 \h </w:instrText>
            </w:r>
            <w:r w:rsidR="00FF0B24">
              <w:rPr>
                <w:noProof/>
                <w:webHidden/>
              </w:rPr>
            </w:r>
            <w:r w:rsidR="00FF0B24">
              <w:rPr>
                <w:noProof/>
                <w:webHidden/>
              </w:rPr>
              <w:fldChar w:fldCharType="separate"/>
            </w:r>
            <w:r w:rsidR="00B33E2A">
              <w:rPr>
                <w:noProof/>
                <w:webHidden/>
              </w:rPr>
              <w:t>233</w:t>
            </w:r>
            <w:r w:rsidR="00FF0B24">
              <w:rPr>
                <w:noProof/>
                <w:webHidden/>
              </w:rPr>
              <w:fldChar w:fldCharType="end"/>
            </w:r>
          </w:hyperlink>
        </w:p>
        <w:p w14:paraId="3459542A" w14:textId="499687D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0" w:history="1">
            <w:r w:rsidR="00FF0B24" w:rsidRPr="00022765">
              <w:rPr>
                <w:rStyle w:val="Hyperlink"/>
                <w:noProof/>
              </w:rPr>
              <w:t>P102 a pour titre (est le titre de)</w:t>
            </w:r>
            <w:r w:rsidR="00FF0B24">
              <w:rPr>
                <w:noProof/>
                <w:webHidden/>
              </w:rPr>
              <w:tab/>
            </w:r>
            <w:r w:rsidR="00FF0B24">
              <w:rPr>
                <w:noProof/>
                <w:webHidden/>
              </w:rPr>
              <w:fldChar w:fldCharType="begin"/>
            </w:r>
            <w:r w:rsidR="00FF0B24">
              <w:rPr>
                <w:noProof/>
                <w:webHidden/>
              </w:rPr>
              <w:instrText xml:space="preserve"> PAGEREF _Toc144360960 \h </w:instrText>
            </w:r>
            <w:r w:rsidR="00FF0B24">
              <w:rPr>
                <w:noProof/>
                <w:webHidden/>
              </w:rPr>
            </w:r>
            <w:r w:rsidR="00FF0B24">
              <w:rPr>
                <w:noProof/>
                <w:webHidden/>
              </w:rPr>
              <w:fldChar w:fldCharType="separate"/>
            </w:r>
            <w:r w:rsidR="00B33E2A">
              <w:rPr>
                <w:noProof/>
                <w:webHidden/>
              </w:rPr>
              <w:t>234</w:t>
            </w:r>
            <w:r w:rsidR="00FF0B24">
              <w:rPr>
                <w:noProof/>
                <w:webHidden/>
              </w:rPr>
              <w:fldChar w:fldCharType="end"/>
            </w:r>
          </w:hyperlink>
        </w:p>
        <w:p w14:paraId="61FEA43A" w14:textId="528BA10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1" w:history="1">
            <w:r w:rsidR="00FF0B24" w:rsidRPr="00022765">
              <w:rPr>
                <w:rStyle w:val="Hyperlink"/>
                <w:noProof/>
              </w:rPr>
              <w:t>P103 a eu pour raison d'être (a été la raison d'être de)</w:t>
            </w:r>
            <w:r w:rsidR="00FF0B24">
              <w:rPr>
                <w:noProof/>
                <w:webHidden/>
              </w:rPr>
              <w:tab/>
            </w:r>
            <w:r w:rsidR="00FF0B24">
              <w:rPr>
                <w:noProof/>
                <w:webHidden/>
              </w:rPr>
              <w:fldChar w:fldCharType="begin"/>
            </w:r>
            <w:r w:rsidR="00FF0B24">
              <w:rPr>
                <w:noProof/>
                <w:webHidden/>
              </w:rPr>
              <w:instrText xml:space="preserve"> PAGEREF _Toc144360961 \h </w:instrText>
            </w:r>
            <w:r w:rsidR="00FF0B24">
              <w:rPr>
                <w:noProof/>
                <w:webHidden/>
              </w:rPr>
            </w:r>
            <w:r w:rsidR="00FF0B24">
              <w:rPr>
                <w:noProof/>
                <w:webHidden/>
              </w:rPr>
              <w:fldChar w:fldCharType="separate"/>
            </w:r>
            <w:r w:rsidR="00B33E2A">
              <w:rPr>
                <w:noProof/>
                <w:webHidden/>
              </w:rPr>
              <w:t>235</w:t>
            </w:r>
            <w:r w:rsidR="00FF0B24">
              <w:rPr>
                <w:noProof/>
                <w:webHidden/>
              </w:rPr>
              <w:fldChar w:fldCharType="end"/>
            </w:r>
          </w:hyperlink>
        </w:p>
        <w:p w14:paraId="00EF1E2A" w14:textId="287F318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2" w:history="1">
            <w:r w:rsidR="00FF0B24" w:rsidRPr="00022765">
              <w:rPr>
                <w:rStyle w:val="Hyperlink"/>
                <w:noProof/>
              </w:rPr>
              <w:t>P104 est soumis à (s’applique à)</w:t>
            </w:r>
            <w:r w:rsidR="00FF0B24">
              <w:rPr>
                <w:noProof/>
                <w:webHidden/>
              </w:rPr>
              <w:tab/>
            </w:r>
            <w:r w:rsidR="00FF0B24">
              <w:rPr>
                <w:noProof/>
                <w:webHidden/>
              </w:rPr>
              <w:fldChar w:fldCharType="begin"/>
            </w:r>
            <w:r w:rsidR="00FF0B24">
              <w:rPr>
                <w:noProof/>
                <w:webHidden/>
              </w:rPr>
              <w:instrText xml:space="preserve"> PAGEREF _Toc144360962 \h </w:instrText>
            </w:r>
            <w:r w:rsidR="00FF0B24">
              <w:rPr>
                <w:noProof/>
                <w:webHidden/>
              </w:rPr>
            </w:r>
            <w:r w:rsidR="00FF0B24">
              <w:rPr>
                <w:noProof/>
                <w:webHidden/>
              </w:rPr>
              <w:fldChar w:fldCharType="separate"/>
            </w:r>
            <w:r w:rsidR="00B33E2A">
              <w:rPr>
                <w:noProof/>
                <w:webHidden/>
              </w:rPr>
              <w:t>236</w:t>
            </w:r>
            <w:r w:rsidR="00FF0B24">
              <w:rPr>
                <w:noProof/>
                <w:webHidden/>
              </w:rPr>
              <w:fldChar w:fldCharType="end"/>
            </w:r>
          </w:hyperlink>
        </w:p>
        <w:p w14:paraId="7064E39B" w14:textId="0376E35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3" w:history="1">
            <w:r w:rsidR="00FF0B24" w:rsidRPr="00022765">
              <w:rPr>
                <w:rStyle w:val="Hyperlink"/>
                <w:noProof/>
              </w:rPr>
              <w:t>P105 droit détenu par (détient le droit sur)</w:t>
            </w:r>
            <w:r w:rsidR="00FF0B24">
              <w:rPr>
                <w:noProof/>
                <w:webHidden/>
              </w:rPr>
              <w:tab/>
            </w:r>
            <w:r w:rsidR="00FF0B24">
              <w:rPr>
                <w:noProof/>
                <w:webHidden/>
              </w:rPr>
              <w:fldChar w:fldCharType="begin"/>
            </w:r>
            <w:r w:rsidR="00FF0B24">
              <w:rPr>
                <w:noProof/>
                <w:webHidden/>
              </w:rPr>
              <w:instrText xml:space="preserve"> PAGEREF _Toc144360963 \h </w:instrText>
            </w:r>
            <w:r w:rsidR="00FF0B24">
              <w:rPr>
                <w:noProof/>
                <w:webHidden/>
              </w:rPr>
            </w:r>
            <w:r w:rsidR="00FF0B24">
              <w:rPr>
                <w:noProof/>
                <w:webHidden/>
              </w:rPr>
              <w:fldChar w:fldCharType="separate"/>
            </w:r>
            <w:r w:rsidR="00B33E2A">
              <w:rPr>
                <w:noProof/>
                <w:webHidden/>
              </w:rPr>
              <w:t>237</w:t>
            </w:r>
            <w:r w:rsidR="00FF0B24">
              <w:rPr>
                <w:noProof/>
                <w:webHidden/>
              </w:rPr>
              <w:fldChar w:fldCharType="end"/>
            </w:r>
          </w:hyperlink>
        </w:p>
        <w:p w14:paraId="697CB3E8" w14:textId="404D4BE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4" w:history="1">
            <w:r w:rsidR="00FF0B24" w:rsidRPr="00022765">
              <w:rPr>
                <w:rStyle w:val="Hyperlink"/>
                <w:noProof/>
              </w:rPr>
              <w:t>P106 est composé de (fait partie de)</w:t>
            </w:r>
            <w:r w:rsidR="00FF0B24">
              <w:rPr>
                <w:noProof/>
                <w:webHidden/>
              </w:rPr>
              <w:tab/>
            </w:r>
            <w:r w:rsidR="00FF0B24">
              <w:rPr>
                <w:noProof/>
                <w:webHidden/>
              </w:rPr>
              <w:fldChar w:fldCharType="begin"/>
            </w:r>
            <w:r w:rsidR="00FF0B24">
              <w:rPr>
                <w:noProof/>
                <w:webHidden/>
              </w:rPr>
              <w:instrText xml:space="preserve"> PAGEREF _Toc144360964 \h </w:instrText>
            </w:r>
            <w:r w:rsidR="00FF0B24">
              <w:rPr>
                <w:noProof/>
                <w:webHidden/>
              </w:rPr>
            </w:r>
            <w:r w:rsidR="00FF0B24">
              <w:rPr>
                <w:noProof/>
                <w:webHidden/>
              </w:rPr>
              <w:fldChar w:fldCharType="separate"/>
            </w:r>
            <w:r w:rsidR="00B33E2A">
              <w:rPr>
                <w:noProof/>
                <w:webHidden/>
              </w:rPr>
              <w:t>237</w:t>
            </w:r>
            <w:r w:rsidR="00FF0B24">
              <w:rPr>
                <w:noProof/>
                <w:webHidden/>
              </w:rPr>
              <w:fldChar w:fldCharType="end"/>
            </w:r>
          </w:hyperlink>
        </w:p>
        <w:p w14:paraId="700EC7BC" w14:textId="70FFCF1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5" w:history="1">
            <w:r w:rsidR="00FF0B24" w:rsidRPr="00022765">
              <w:rPr>
                <w:rStyle w:val="Hyperlink"/>
                <w:noProof/>
              </w:rPr>
              <w:t>P107 a pour membre actuel ou antérieur (est le membre actuel ou antérieur de)</w:t>
            </w:r>
            <w:r w:rsidR="00FF0B24">
              <w:rPr>
                <w:noProof/>
                <w:webHidden/>
              </w:rPr>
              <w:tab/>
            </w:r>
            <w:r w:rsidR="00FF0B24">
              <w:rPr>
                <w:noProof/>
                <w:webHidden/>
              </w:rPr>
              <w:fldChar w:fldCharType="begin"/>
            </w:r>
            <w:r w:rsidR="00FF0B24">
              <w:rPr>
                <w:noProof/>
                <w:webHidden/>
              </w:rPr>
              <w:instrText xml:space="preserve"> PAGEREF _Toc144360965 \h </w:instrText>
            </w:r>
            <w:r w:rsidR="00FF0B24">
              <w:rPr>
                <w:noProof/>
                <w:webHidden/>
              </w:rPr>
            </w:r>
            <w:r w:rsidR="00FF0B24">
              <w:rPr>
                <w:noProof/>
                <w:webHidden/>
              </w:rPr>
              <w:fldChar w:fldCharType="separate"/>
            </w:r>
            <w:r w:rsidR="00B33E2A">
              <w:rPr>
                <w:noProof/>
                <w:webHidden/>
              </w:rPr>
              <w:t>238</w:t>
            </w:r>
            <w:r w:rsidR="00FF0B24">
              <w:rPr>
                <w:noProof/>
                <w:webHidden/>
              </w:rPr>
              <w:fldChar w:fldCharType="end"/>
            </w:r>
          </w:hyperlink>
        </w:p>
        <w:p w14:paraId="02116C30" w14:textId="47AB162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6" w:history="1">
            <w:r w:rsidR="00FF0B24" w:rsidRPr="00022765">
              <w:rPr>
                <w:rStyle w:val="Hyperlink"/>
                <w:noProof/>
              </w:rPr>
              <w:t>P108 a produit (a été produit par)</w:t>
            </w:r>
            <w:r w:rsidR="00FF0B24">
              <w:rPr>
                <w:noProof/>
                <w:webHidden/>
              </w:rPr>
              <w:tab/>
            </w:r>
            <w:r w:rsidR="00FF0B24">
              <w:rPr>
                <w:noProof/>
                <w:webHidden/>
              </w:rPr>
              <w:fldChar w:fldCharType="begin"/>
            </w:r>
            <w:r w:rsidR="00FF0B24">
              <w:rPr>
                <w:noProof/>
                <w:webHidden/>
              </w:rPr>
              <w:instrText xml:space="preserve"> PAGEREF _Toc144360966 \h </w:instrText>
            </w:r>
            <w:r w:rsidR="00FF0B24">
              <w:rPr>
                <w:noProof/>
                <w:webHidden/>
              </w:rPr>
            </w:r>
            <w:r w:rsidR="00FF0B24">
              <w:rPr>
                <w:noProof/>
                <w:webHidden/>
              </w:rPr>
              <w:fldChar w:fldCharType="separate"/>
            </w:r>
            <w:r w:rsidR="00B33E2A">
              <w:rPr>
                <w:noProof/>
                <w:webHidden/>
              </w:rPr>
              <w:t>239</w:t>
            </w:r>
            <w:r w:rsidR="00FF0B24">
              <w:rPr>
                <w:noProof/>
                <w:webHidden/>
              </w:rPr>
              <w:fldChar w:fldCharType="end"/>
            </w:r>
          </w:hyperlink>
        </w:p>
        <w:p w14:paraId="71702EB3" w14:textId="3651A8D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7" w:history="1">
            <w:r w:rsidR="00FF0B24" w:rsidRPr="00022765">
              <w:rPr>
                <w:rStyle w:val="Hyperlink"/>
                <w:noProof/>
              </w:rPr>
              <w:t>P109 a pour responsable actuel ou antérieur de la collection (est responsable actuel ou antérieur de la collection)</w:t>
            </w:r>
            <w:r w:rsidR="00FF0B24">
              <w:rPr>
                <w:noProof/>
                <w:webHidden/>
              </w:rPr>
              <w:tab/>
            </w:r>
            <w:r w:rsidR="00FF0B24">
              <w:rPr>
                <w:noProof/>
                <w:webHidden/>
              </w:rPr>
              <w:fldChar w:fldCharType="begin"/>
            </w:r>
            <w:r w:rsidR="00FF0B24">
              <w:rPr>
                <w:noProof/>
                <w:webHidden/>
              </w:rPr>
              <w:instrText xml:space="preserve"> PAGEREF _Toc144360967 \h </w:instrText>
            </w:r>
            <w:r w:rsidR="00FF0B24">
              <w:rPr>
                <w:noProof/>
                <w:webHidden/>
              </w:rPr>
            </w:r>
            <w:r w:rsidR="00FF0B24">
              <w:rPr>
                <w:noProof/>
                <w:webHidden/>
              </w:rPr>
              <w:fldChar w:fldCharType="separate"/>
            </w:r>
            <w:r w:rsidR="00B33E2A">
              <w:rPr>
                <w:noProof/>
                <w:webHidden/>
              </w:rPr>
              <w:t>240</w:t>
            </w:r>
            <w:r w:rsidR="00FF0B24">
              <w:rPr>
                <w:noProof/>
                <w:webHidden/>
              </w:rPr>
              <w:fldChar w:fldCharType="end"/>
            </w:r>
          </w:hyperlink>
        </w:p>
        <w:p w14:paraId="77BC6AE2" w14:textId="6E9AB45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8" w:history="1">
            <w:r w:rsidR="00FF0B24" w:rsidRPr="00022765">
              <w:rPr>
                <w:rStyle w:val="Hyperlink"/>
                <w:noProof/>
              </w:rPr>
              <w:t>P110 a augmenté (a été augmenté par)</w:t>
            </w:r>
            <w:r w:rsidR="00FF0B24">
              <w:rPr>
                <w:noProof/>
                <w:webHidden/>
              </w:rPr>
              <w:tab/>
            </w:r>
            <w:r w:rsidR="00FF0B24">
              <w:rPr>
                <w:noProof/>
                <w:webHidden/>
              </w:rPr>
              <w:fldChar w:fldCharType="begin"/>
            </w:r>
            <w:r w:rsidR="00FF0B24">
              <w:rPr>
                <w:noProof/>
                <w:webHidden/>
              </w:rPr>
              <w:instrText xml:space="preserve"> PAGEREF _Toc144360968 \h </w:instrText>
            </w:r>
            <w:r w:rsidR="00FF0B24">
              <w:rPr>
                <w:noProof/>
                <w:webHidden/>
              </w:rPr>
            </w:r>
            <w:r w:rsidR="00FF0B24">
              <w:rPr>
                <w:noProof/>
                <w:webHidden/>
              </w:rPr>
              <w:fldChar w:fldCharType="separate"/>
            </w:r>
            <w:r w:rsidR="00B33E2A">
              <w:rPr>
                <w:noProof/>
                <w:webHidden/>
              </w:rPr>
              <w:t>241</w:t>
            </w:r>
            <w:r w:rsidR="00FF0B24">
              <w:rPr>
                <w:noProof/>
                <w:webHidden/>
              </w:rPr>
              <w:fldChar w:fldCharType="end"/>
            </w:r>
          </w:hyperlink>
        </w:p>
        <w:p w14:paraId="125D5990" w14:textId="40857BC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69" w:history="1">
            <w:r w:rsidR="00FF0B24" w:rsidRPr="00022765">
              <w:rPr>
                <w:rStyle w:val="Hyperlink"/>
                <w:noProof/>
              </w:rPr>
              <w:t>P111 a ajouté (a été ajouté par)</w:t>
            </w:r>
            <w:r w:rsidR="00FF0B24">
              <w:rPr>
                <w:noProof/>
                <w:webHidden/>
              </w:rPr>
              <w:tab/>
            </w:r>
            <w:r w:rsidR="00FF0B24">
              <w:rPr>
                <w:noProof/>
                <w:webHidden/>
              </w:rPr>
              <w:fldChar w:fldCharType="begin"/>
            </w:r>
            <w:r w:rsidR="00FF0B24">
              <w:rPr>
                <w:noProof/>
                <w:webHidden/>
              </w:rPr>
              <w:instrText xml:space="preserve"> PAGEREF _Toc144360969 \h </w:instrText>
            </w:r>
            <w:r w:rsidR="00FF0B24">
              <w:rPr>
                <w:noProof/>
                <w:webHidden/>
              </w:rPr>
            </w:r>
            <w:r w:rsidR="00FF0B24">
              <w:rPr>
                <w:noProof/>
                <w:webHidden/>
              </w:rPr>
              <w:fldChar w:fldCharType="separate"/>
            </w:r>
            <w:r w:rsidR="00B33E2A">
              <w:rPr>
                <w:noProof/>
                <w:webHidden/>
              </w:rPr>
              <w:t>242</w:t>
            </w:r>
            <w:r w:rsidR="00FF0B24">
              <w:rPr>
                <w:noProof/>
                <w:webHidden/>
              </w:rPr>
              <w:fldChar w:fldCharType="end"/>
            </w:r>
          </w:hyperlink>
        </w:p>
        <w:p w14:paraId="2241ADB9" w14:textId="4AC5015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0" w:history="1">
            <w:r w:rsidR="00FF0B24" w:rsidRPr="00022765">
              <w:rPr>
                <w:rStyle w:val="Hyperlink"/>
                <w:noProof/>
              </w:rPr>
              <w:t>P112 a diminué (a été diminué par)</w:t>
            </w:r>
            <w:r w:rsidR="00FF0B24">
              <w:rPr>
                <w:noProof/>
                <w:webHidden/>
              </w:rPr>
              <w:tab/>
            </w:r>
            <w:r w:rsidR="00FF0B24">
              <w:rPr>
                <w:noProof/>
                <w:webHidden/>
              </w:rPr>
              <w:fldChar w:fldCharType="begin"/>
            </w:r>
            <w:r w:rsidR="00FF0B24">
              <w:rPr>
                <w:noProof/>
                <w:webHidden/>
              </w:rPr>
              <w:instrText xml:space="preserve"> PAGEREF _Toc144360970 \h </w:instrText>
            </w:r>
            <w:r w:rsidR="00FF0B24">
              <w:rPr>
                <w:noProof/>
                <w:webHidden/>
              </w:rPr>
            </w:r>
            <w:r w:rsidR="00FF0B24">
              <w:rPr>
                <w:noProof/>
                <w:webHidden/>
              </w:rPr>
              <w:fldChar w:fldCharType="separate"/>
            </w:r>
            <w:r w:rsidR="00B33E2A">
              <w:rPr>
                <w:noProof/>
                <w:webHidden/>
              </w:rPr>
              <w:t>242</w:t>
            </w:r>
            <w:r w:rsidR="00FF0B24">
              <w:rPr>
                <w:noProof/>
                <w:webHidden/>
              </w:rPr>
              <w:fldChar w:fldCharType="end"/>
            </w:r>
          </w:hyperlink>
        </w:p>
        <w:p w14:paraId="4CB265D4" w14:textId="4986E85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1" w:history="1">
            <w:r w:rsidR="00FF0B24" w:rsidRPr="00022765">
              <w:rPr>
                <w:rStyle w:val="Hyperlink"/>
                <w:noProof/>
              </w:rPr>
              <w:t>P113 a retiré (a été retiré par)</w:t>
            </w:r>
            <w:r w:rsidR="00FF0B24">
              <w:rPr>
                <w:noProof/>
                <w:webHidden/>
              </w:rPr>
              <w:tab/>
            </w:r>
            <w:r w:rsidR="00FF0B24">
              <w:rPr>
                <w:noProof/>
                <w:webHidden/>
              </w:rPr>
              <w:fldChar w:fldCharType="begin"/>
            </w:r>
            <w:r w:rsidR="00FF0B24">
              <w:rPr>
                <w:noProof/>
                <w:webHidden/>
              </w:rPr>
              <w:instrText xml:space="preserve"> PAGEREF _Toc144360971 \h </w:instrText>
            </w:r>
            <w:r w:rsidR="00FF0B24">
              <w:rPr>
                <w:noProof/>
                <w:webHidden/>
              </w:rPr>
            </w:r>
            <w:r w:rsidR="00FF0B24">
              <w:rPr>
                <w:noProof/>
                <w:webHidden/>
              </w:rPr>
              <w:fldChar w:fldCharType="separate"/>
            </w:r>
            <w:r w:rsidR="00B33E2A">
              <w:rPr>
                <w:noProof/>
                <w:webHidden/>
              </w:rPr>
              <w:t>243</w:t>
            </w:r>
            <w:r w:rsidR="00FF0B24">
              <w:rPr>
                <w:noProof/>
                <w:webHidden/>
              </w:rPr>
              <w:fldChar w:fldCharType="end"/>
            </w:r>
          </w:hyperlink>
        </w:p>
        <w:p w14:paraId="72F944C3" w14:textId="6475365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2" w:history="1">
            <w:r w:rsidR="00FF0B24" w:rsidRPr="00022765">
              <w:rPr>
                <w:rStyle w:val="Hyperlink"/>
                <w:noProof/>
              </w:rPr>
              <w:t>P121 se superpose partiellement à</w:t>
            </w:r>
            <w:r w:rsidR="00FF0B24">
              <w:rPr>
                <w:noProof/>
                <w:webHidden/>
              </w:rPr>
              <w:tab/>
            </w:r>
            <w:r w:rsidR="00FF0B24">
              <w:rPr>
                <w:noProof/>
                <w:webHidden/>
              </w:rPr>
              <w:fldChar w:fldCharType="begin"/>
            </w:r>
            <w:r w:rsidR="00FF0B24">
              <w:rPr>
                <w:noProof/>
                <w:webHidden/>
              </w:rPr>
              <w:instrText xml:space="preserve"> PAGEREF _Toc144360972 \h </w:instrText>
            </w:r>
            <w:r w:rsidR="00FF0B24">
              <w:rPr>
                <w:noProof/>
                <w:webHidden/>
              </w:rPr>
            </w:r>
            <w:r w:rsidR="00FF0B24">
              <w:rPr>
                <w:noProof/>
                <w:webHidden/>
              </w:rPr>
              <w:fldChar w:fldCharType="separate"/>
            </w:r>
            <w:r w:rsidR="00B33E2A">
              <w:rPr>
                <w:noProof/>
                <w:webHidden/>
              </w:rPr>
              <w:t>244</w:t>
            </w:r>
            <w:r w:rsidR="00FF0B24">
              <w:rPr>
                <w:noProof/>
                <w:webHidden/>
              </w:rPr>
              <w:fldChar w:fldCharType="end"/>
            </w:r>
          </w:hyperlink>
        </w:p>
        <w:p w14:paraId="5FCFE95E" w14:textId="1FEEBE8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3" w:history="1">
            <w:r w:rsidR="00FF0B24" w:rsidRPr="00022765">
              <w:rPr>
                <w:rStyle w:val="Hyperlink"/>
                <w:noProof/>
              </w:rPr>
              <w:t>P122 est limitrophe de</w:t>
            </w:r>
            <w:r w:rsidR="00FF0B24">
              <w:rPr>
                <w:noProof/>
                <w:webHidden/>
              </w:rPr>
              <w:tab/>
            </w:r>
            <w:r w:rsidR="00FF0B24">
              <w:rPr>
                <w:noProof/>
                <w:webHidden/>
              </w:rPr>
              <w:fldChar w:fldCharType="begin"/>
            </w:r>
            <w:r w:rsidR="00FF0B24">
              <w:rPr>
                <w:noProof/>
                <w:webHidden/>
              </w:rPr>
              <w:instrText xml:space="preserve"> PAGEREF _Toc144360973 \h </w:instrText>
            </w:r>
            <w:r w:rsidR="00FF0B24">
              <w:rPr>
                <w:noProof/>
                <w:webHidden/>
              </w:rPr>
            </w:r>
            <w:r w:rsidR="00FF0B24">
              <w:rPr>
                <w:noProof/>
                <w:webHidden/>
              </w:rPr>
              <w:fldChar w:fldCharType="separate"/>
            </w:r>
            <w:r w:rsidR="00B33E2A">
              <w:rPr>
                <w:noProof/>
                <w:webHidden/>
              </w:rPr>
              <w:t>245</w:t>
            </w:r>
            <w:r w:rsidR="00FF0B24">
              <w:rPr>
                <w:noProof/>
                <w:webHidden/>
              </w:rPr>
              <w:fldChar w:fldCharType="end"/>
            </w:r>
          </w:hyperlink>
        </w:p>
        <w:p w14:paraId="4638B728" w14:textId="20A6354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4" w:history="1">
            <w:r w:rsidR="00FF0B24" w:rsidRPr="00022765">
              <w:rPr>
                <w:rStyle w:val="Hyperlink"/>
                <w:noProof/>
              </w:rPr>
              <w:t>P123 a eu pour résultat (a résulté de)</w:t>
            </w:r>
            <w:r w:rsidR="00FF0B24">
              <w:rPr>
                <w:noProof/>
                <w:webHidden/>
              </w:rPr>
              <w:tab/>
            </w:r>
            <w:r w:rsidR="00FF0B24">
              <w:rPr>
                <w:noProof/>
                <w:webHidden/>
              </w:rPr>
              <w:fldChar w:fldCharType="begin"/>
            </w:r>
            <w:r w:rsidR="00FF0B24">
              <w:rPr>
                <w:noProof/>
                <w:webHidden/>
              </w:rPr>
              <w:instrText xml:space="preserve"> PAGEREF _Toc144360974 \h </w:instrText>
            </w:r>
            <w:r w:rsidR="00FF0B24">
              <w:rPr>
                <w:noProof/>
                <w:webHidden/>
              </w:rPr>
            </w:r>
            <w:r w:rsidR="00FF0B24">
              <w:rPr>
                <w:noProof/>
                <w:webHidden/>
              </w:rPr>
              <w:fldChar w:fldCharType="separate"/>
            </w:r>
            <w:r w:rsidR="00B33E2A">
              <w:rPr>
                <w:noProof/>
                <w:webHidden/>
              </w:rPr>
              <w:t>245</w:t>
            </w:r>
            <w:r w:rsidR="00FF0B24">
              <w:rPr>
                <w:noProof/>
                <w:webHidden/>
              </w:rPr>
              <w:fldChar w:fldCharType="end"/>
            </w:r>
          </w:hyperlink>
        </w:p>
        <w:p w14:paraId="08D7449D" w14:textId="73ED562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5" w:history="1">
            <w:r w:rsidR="00FF0B24" w:rsidRPr="00022765">
              <w:rPr>
                <w:rStyle w:val="Hyperlink"/>
                <w:noProof/>
              </w:rPr>
              <w:t>P124 a transformé (a été transformé par)</w:t>
            </w:r>
            <w:r w:rsidR="00FF0B24">
              <w:rPr>
                <w:noProof/>
                <w:webHidden/>
              </w:rPr>
              <w:tab/>
            </w:r>
            <w:r w:rsidR="00FF0B24">
              <w:rPr>
                <w:noProof/>
                <w:webHidden/>
              </w:rPr>
              <w:fldChar w:fldCharType="begin"/>
            </w:r>
            <w:r w:rsidR="00FF0B24">
              <w:rPr>
                <w:noProof/>
                <w:webHidden/>
              </w:rPr>
              <w:instrText xml:space="preserve"> PAGEREF _Toc144360975 \h </w:instrText>
            </w:r>
            <w:r w:rsidR="00FF0B24">
              <w:rPr>
                <w:noProof/>
                <w:webHidden/>
              </w:rPr>
            </w:r>
            <w:r w:rsidR="00FF0B24">
              <w:rPr>
                <w:noProof/>
                <w:webHidden/>
              </w:rPr>
              <w:fldChar w:fldCharType="separate"/>
            </w:r>
            <w:r w:rsidR="00B33E2A">
              <w:rPr>
                <w:noProof/>
                <w:webHidden/>
              </w:rPr>
              <w:t>246</w:t>
            </w:r>
            <w:r w:rsidR="00FF0B24">
              <w:rPr>
                <w:noProof/>
                <w:webHidden/>
              </w:rPr>
              <w:fldChar w:fldCharType="end"/>
            </w:r>
          </w:hyperlink>
        </w:p>
        <w:p w14:paraId="456FEEA9" w14:textId="19C20C0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6" w:history="1">
            <w:r w:rsidR="00FF0B24" w:rsidRPr="00022765">
              <w:rPr>
                <w:rStyle w:val="Hyperlink"/>
                <w:noProof/>
              </w:rPr>
              <w:t>P125 a mobilisé l’objet du type (a été le type d’objet employé pour)</w:t>
            </w:r>
            <w:r w:rsidR="00FF0B24">
              <w:rPr>
                <w:noProof/>
                <w:webHidden/>
              </w:rPr>
              <w:tab/>
            </w:r>
            <w:r w:rsidR="00FF0B24">
              <w:rPr>
                <w:noProof/>
                <w:webHidden/>
              </w:rPr>
              <w:fldChar w:fldCharType="begin"/>
            </w:r>
            <w:r w:rsidR="00FF0B24">
              <w:rPr>
                <w:noProof/>
                <w:webHidden/>
              </w:rPr>
              <w:instrText xml:space="preserve"> PAGEREF _Toc144360976 \h </w:instrText>
            </w:r>
            <w:r w:rsidR="00FF0B24">
              <w:rPr>
                <w:noProof/>
                <w:webHidden/>
              </w:rPr>
            </w:r>
            <w:r w:rsidR="00FF0B24">
              <w:rPr>
                <w:noProof/>
                <w:webHidden/>
              </w:rPr>
              <w:fldChar w:fldCharType="separate"/>
            </w:r>
            <w:r w:rsidR="00B33E2A">
              <w:rPr>
                <w:noProof/>
                <w:webHidden/>
              </w:rPr>
              <w:t>247</w:t>
            </w:r>
            <w:r w:rsidR="00FF0B24">
              <w:rPr>
                <w:noProof/>
                <w:webHidden/>
              </w:rPr>
              <w:fldChar w:fldCharType="end"/>
            </w:r>
          </w:hyperlink>
        </w:p>
        <w:p w14:paraId="7223A900" w14:textId="7703A4E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7" w:history="1">
            <w:r w:rsidR="00FF0B24" w:rsidRPr="00022765">
              <w:rPr>
                <w:rStyle w:val="Hyperlink"/>
                <w:noProof/>
              </w:rPr>
              <w:t>P126 a employé (a été employé dans)</w:t>
            </w:r>
            <w:r w:rsidR="00FF0B24">
              <w:rPr>
                <w:noProof/>
                <w:webHidden/>
              </w:rPr>
              <w:tab/>
            </w:r>
            <w:r w:rsidR="00FF0B24">
              <w:rPr>
                <w:noProof/>
                <w:webHidden/>
              </w:rPr>
              <w:fldChar w:fldCharType="begin"/>
            </w:r>
            <w:r w:rsidR="00FF0B24">
              <w:rPr>
                <w:noProof/>
                <w:webHidden/>
              </w:rPr>
              <w:instrText xml:space="preserve"> PAGEREF _Toc144360977 \h </w:instrText>
            </w:r>
            <w:r w:rsidR="00FF0B24">
              <w:rPr>
                <w:noProof/>
                <w:webHidden/>
              </w:rPr>
            </w:r>
            <w:r w:rsidR="00FF0B24">
              <w:rPr>
                <w:noProof/>
                <w:webHidden/>
              </w:rPr>
              <w:fldChar w:fldCharType="separate"/>
            </w:r>
            <w:r w:rsidR="00B33E2A">
              <w:rPr>
                <w:noProof/>
                <w:webHidden/>
              </w:rPr>
              <w:t>248</w:t>
            </w:r>
            <w:r w:rsidR="00FF0B24">
              <w:rPr>
                <w:noProof/>
                <w:webHidden/>
              </w:rPr>
              <w:fldChar w:fldCharType="end"/>
            </w:r>
          </w:hyperlink>
        </w:p>
        <w:p w14:paraId="5D175C82" w14:textId="69965F09"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8" w:history="1">
            <w:r w:rsidR="00FF0B24" w:rsidRPr="00022765">
              <w:rPr>
                <w:rStyle w:val="Hyperlink"/>
                <w:noProof/>
              </w:rPr>
              <w:t>P127 a pour terme général (a pour terme spécifique)</w:t>
            </w:r>
            <w:r w:rsidR="00FF0B24">
              <w:rPr>
                <w:noProof/>
                <w:webHidden/>
              </w:rPr>
              <w:tab/>
            </w:r>
            <w:r w:rsidR="00FF0B24">
              <w:rPr>
                <w:noProof/>
                <w:webHidden/>
              </w:rPr>
              <w:fldChar w:fldCharType="begin"/>
            </w:r>
            <w:r w:rsidR="00FF0B24">
              <w:rPr>
                <w:noProof/>
                <w:webHidden/>
              </w:rPr>
              <w:instrText xml:space="preserve"> PAGEREF _Toc144360978 \h </w:instrText>
            </w:r>
            <w:r w:rsidR="00FF0B24">
              <w:rPr>
                <w:noProof/>
                <w:webHidden/>
              </w:rPr>
            </w:r>
            <w:r w:rsidR="00FF0B24">
              <w:rPr>
                <w:noProof/>
                <w:webHidden/>
              </w:rPr>
              <w:fldChar w:fldCharType="separate"/>
            </w:r>
            <w:r w:rsidR="00B33E2A">
              <w:rPr>
                <w:noProof/>
                <w:webHidden/>
              </w:rPr>
              <w:t>249</w:t>
            </w:r>
            <w:r w:rsidR="00FF0B24">
              <w:rPr>
                <w:noProof/>
                <w:webHidden/>
              </w:rPr>
              <w:fldChar w:fldCharType="end"/>
            </w:r>
          </w:hyperlink>
        </w:p>
        <w:p w14:paraId="6444DCA3" w14:textId="59D6611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79" w:history="1">
            <w:r w:rsidR="00FF0B24" w:rsidRPr="00022765">
              <w:rPr>
                <w:rStyle w:val="Hyperlink"/>
                <w:noProof/>
              </w:rPr>
              <w:t>P128 est le support de (a pour support)</w:t>
            </w:r>
            <w:r w:rsidR="00FF0B24">
              <w:rPr>
                <w:noProof/>
                <w:webHidden/>
              </w:rPr>
              <w:tab/>
            </w:r>
            <w:r w:rsidR="00FF0B24">
              <w:rPr>
                <w:noProof/>
                <w:webHidden/>
              </w:rPr>
              <w:fldChar w:fldCharType="begin"/>
            </w:r>
            <w:r w:rsidR="00FF0B24">
              <w:rPr>
                <w:noProof/>
                <w:webHidden/>
              </w:rPr>
              <w:instrText xml:space="preserve"> PAGEREF _Toc144360979 \h </w:instrText>
            </w:r>
            <w:r w:rsidR="00FF0B24">
              <w:rPr>
                <w:noProof/>
                <w:webHidden/>
              </w:rPr>
            </w:r>
            <w:r w:rsidR="00FF0B24">
              <w:rPr>
                <w:noProof/>
                <w:webHidden/>
              </w:rPr>
              <w:fldChar w:fldCharType="separate"/>
            </w:r>
            <w:r w:rsidR="00B33E2A">
              <w:rPr>
                <w:noProof/>
                <w:webHidden/>
              </w:rPr>
              <w:t>249</w:t>
            </w:r>
            <w:r w:rsidR="00FF0B24">
              <w:rPr>
                <w:noProof/>
                <w:webHidden/>
              </w:rPr>
              <w:fldChar w:fldCharType="end"/>
            </w:r>
          </w:hyperlink>
        </w:p>
        <w:p w14:paraId="40D14B42" w14:textId="3BDDED7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0" w:history="1">
            <w:r w:rsidR="00FF0B24" w:rsidRPr="00022765">
              <w:rPr>
                <w:rStyle w:val="Hyperlink"/>
                <w:noProof/>
              </w:rPr>
              <w:t>P129 a pour sujet (est le sujet de)</w:t>
            </w:r>
            <w:r w:rsidR="00FF0B24">
              <w:rPr>
                <w:noProof/>
                <w:webHidden/>
              </w:rPr>
              <w:tab/>
            </w:r>
            <w:r w:rsidR="00FF0B24">
              <w:rPr>
                <w:noProof/>
                <w:webHidden/>
              </w:rPr>
              <w:fldChar w:fldCharType="begin"/>
            </w:r>
            <w:r w:rsidR="00FF0B24">
              <w:rPr>
                <w:noProof/>
                <w:webHidden/>
              </w:rPr>
              <w:instrText xml:space="preserve"> PAGEREF _Toc144360980 \h </w:instrText>
            </w:r>
            <w:r w:rsidR="00FF0B24">
              <w:rPr>
                <w:noProof/>
                <w:webHidden/>
              </w:rPr>
            </w:r>
            <w:r w:rsidR="00FF0B24">
              <w:rPr>
                <w:noProof/>
                <w:webHidden/>
              </w:rPr>
              <w:fldChar w:fldCharType="separate"/>
            </w:r>
            <w:r w:rsidR="00B33E2A">
              <w:rPr>
                <w:noProof/>
                <w:webHidden/>
              </w:rPr>
              <w:t>250</w:t>
            </w:r>
            <w:r w:rsidR="00FF0B24">
              <w:rPr>
                <w:noProof/>
                <w:webHidden/>
              </w:rPr>
              <w:fldChar w:fldCharType="end"/>
            </w:r>
          </w:hyperlink>
        </w:p>
        <w:p w14:paraId="3840E7FC" w14:textId="15013C4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1" w:history="1">
            <w:r w:rsidR="00FF0B24" w:rsidRPr="00022765">
              <w:rPr>
                <w:rStyle w:val="Hyperlink"/>
                <w:noProof/>
              </w:rPr>
              <w:t>P130 présente les caractéristiques de (a les caractéristiques aussi présentes sur)</w:t>
            </w:r>
            <w:r w:rsidR="00FF0B24">
              <w:rPr>
                <w:noProof/>
                <w:webHidden/>
              </w:rPr>
              <w:tab/>
            </w:r>
            <w:r w:rsidR="00FF0B24">
              <w:rPr>
                <w:noProof/>
                <w:webHidden/>
              </w:rPr>
              <w:fldChar w:fldCharType="begin"/>
            </w:r>
            <w:r w:rsidR="00FF0B24">
              <w:rPr>
                <w:noProof/>
                <w:webHidden/>
              </w:rPr>
              <w:instrText xml:space="preserve"> PAGEREF _Toc144360981 \h </w:instrText>
            </w:r>
            <w:r w:rsidR="00FF0B24">
              <w:rPr>
                <w:noProof/>
                <w:webHidden/>
              </w:rPr>
            </w:r>
            <w:r w:rsidR="00FF0B24">
              <w:rPr>
                <w:noProof/>
                <w:webHidden/>
              </w:rPr>
              <w:fldChar w:fldCharType="separate"/>
            </w:r>
            <w:r w:rsidR="00B33E2A">
              <w:rPr>
                <w:noProof/>
                <w:webHidden/>
              </w:rPr>
              <w:t>251</w:t>
            </w:r>
            <w:r w:rsidR="00FF0B24">
              <w:rPr>
                <w:noProof/>
                <w:webHidden/>
              </w:rPr>
              <w:fldChar w:fldCharType="end"/>
            </w:r>
          </w:hyperlink>
        </w:p>
        <w:p w14:paraId="2D10938D" w14:textId="7B17A73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2" w:history="1">
            <w:r w:rsidR="00FF0B24" w:rsidRPr="00022765">
              <w:rPr>
                <w:rStyle w:val="Hyperlink"/>
                <w:noProof/>
              </w:rPr>
              <w:t>P132 recoupe spatio-temporellement</w:t>
            </w:r>
            <w:r w:rsidR="00FF0B24">
              <w:rPr>
                <w:noProof/>
                <w:webHidden/>
              </w:rPr>
              <w:tab/>
            </w:r>
            <w:r w:rsidR="00FF0B24">
              <w:rPr>
                <w:noProof/>
                <w:webHidden/>
              </w:rPr>
              <w:fldChar w:fldCharType="begin"/>
            </w:r>
            <w:r w:rsidR="00FF0B24">
              <w:rPr>
                <w:noProof/>
                <w:webHidden/>
              </w:rPr>
              <w:instrText xml:space="preserve"> PAGEREF _Toc144360982 \h </w:instrText>
            </w:r>
            <w:r w:rsidR="00FF0B24">
              <w:rPr>
                <w:noProof/>
                <w:webHidden/>
              </w:rPr>
            </w:r>
            <w:r w:rsidR="00FF0B24">
              <w:rPr>
                <w:noProof/>
                <w:webHidden/>
              </w:rPr>
              <w:fldChar w:fldCharType="separate"/>
            </w:r>
            <w:r w:rsidR="00B33E2A">
              <w:rPr>
                <w:noProof/>
                <w:webHidden/>
              </w:rPr>
              <w:t>252</w:t>
            </w:r>
            <w:r w:rsidR="00FF0B24">
              <w:rPr>
                <w:noProof/>
                <w:webHidden/>
              </w:rPr>
              <w:fldChar w:fldCharType="end"/>
            </w:r>
          </w:hyperlink>
        </w:p>
        <w:p w14:paraId="6FF95C5D" w14:textId="78AFD49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3" w:history="1">
            <w:r w:rsidR="00FF0B24" w:rsidRPr="00022765">
              <w:rPr>
                <w:rStyle w:val="Hyperlink"/>
                <w:noProof/>
              </w:rPr>
              <w:t>P133 est distinct spatio-temporellement de</w:t>
            </w:r>
            <w:r w:rsidR="00FF0B24">
              <w:rPr>
                <w:noProof/>
                <w:webHidden/>
              </w:rPr>
              <w:tab/>
            </w:r>
            <w:r w:rsidR="00FF0B24">
              <w:rPr>
                <w:noProof/>
                <w:webHidden/>
              </w:rPr>
              <w:fldChar w:fldCharType="begin"/>
            </w:r>
            <w:r w:rsidR="00FF0B24">
              <w:rPr>
                <w:noProof/>
                <w:webHidden/>
              </w:rPr>
              <w:instrText xml:space="preserve"> PAGEREF _Toc144360983 \h </w:instrText>
            </w:r>
            <w:r w:rsidR="00FF0B24">
              <w:rPr>
                <w:noProof/>
                <w:webHidden/>
              </w:rPr>
            </w:r>
            <w:r w:rsidR="00FF0B24">
              <w:rPr>
                <w:noProof/>
                <w:webHidden/>
              </w:rPr>
              <w:fldChar w:fldCharType="separate"/>
            </w:r>
            <w:r w:rsidR="00B33E2A">
              <w:rPr>
                <w:noProof/>
                <w:webHidden/>
              </w:rPr>
              <w:t>253</w:t>
            </w:r>
            <w:r w:rsidR="00FF0B24">
              <w:rPr>
                <w:noProof/>
                <w:webHidden/>
              </w:rPr>
              <w:fldChar w:fldCharType="end"/>
            </w:r>
          </w:hyperlink>
        </w:p>
        <w:p w14:paraId="4C595B50" w14:textId="5EA2D0C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4" w:history="1">
            <w:r w:rsidR="00FF0B24" w:rsidRPr="00022765">
              <w:rPr>
                <w:rStyle w:val="Hyperlink"/>
                <w:noProof/>
              </w:rPr>
              <w:t>P134 a continué (a été continué par)</w:t>
            </w:r>
            <w:r w:rsidR="00FF0B24">
              <w:rPr>
                <w:noProof/>
                <w:webHidden/>
              </w:rPr>
              <w:tab/>
            </w:r>
            <w:r w:rsidR="00FF0B24">
              <w:rPr>
                <w:noProof/>
                <w:webHidden/>
              </w:rPr>
              <w:fldChar w:fldCharType="begin"/>
            </w:r>
            <w:r w:rsidR="00FF0B24">
              <w:rPr>
                <w:noProof/>
                <w:webHidden/>
              </w:rPr>
              <w:instrText xml:space="preserve"> PAGEREF _Toc144360984 \h </w:instrText>
            </w:r>
            <w:r w:rsidR="00FF0B24">
              <w:rPr>
                <w:noProof/>
                <w:webHidden/>
              </w:rPr>
            </w:r>
            <w:r w:rsidR="00FF0B24">
              <w:rPr>
                <w:noProof/>
                <w:webHidden/>
              </w:rPr>
              <w:fldChar w:fldCharType="separate"/>
            </w:r>
            <w:r w:rsidR="00B33E2A">
              <w:rPr>
                <w:noProof/>
                <w:webHidden/>
              </w:rPr>
              <w:t>254</w:t>
            </w:r>
            <w:r w:rsidR="00FF0B24">
              <w:rPr>
                <w:noProof/>
                <w:webHidden/>
              </w:rPr>
              <w:fldChar w:fldCharType="end"/>
            </w:r>
          </w:hyperlink>
        </w:p>
        <w:p w14:paraId="1B10EBE6" w14:textId="66CBFE0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5" w:history="1">
            <w:r w:rsidR="00FF0B24" w:rsidRPr="00022765">
              <w:rPr>
                <w:rStyle w:val="Hyperlink"/>
                <w:noProof/>
              </w:rPr>
              <w:t>P135 a créé le type (a été créé par)</w:t>
            </w:r>
            <w:r w:rsidR="00FF0B24">
              <w:rPr>
                <w:noProof/>
                <w:webHidden/>
              </w:rPr>
              <w:tab/>
            </w:r>
            <w:r w:rsidR="00FF0B24">
              <w:rPr>
                <w:noProof/>
                <w:webHidden/>
              </w:rPr>
              <w:fldChar w:fldCharType="begin"/>
            </w:r>
            <w:r w:rsidR="00FF0B24">
              <w:rPr>
                <w:noProof/>
                <w:webHidden/>
              </w:rPr>
              <w:instrText xml:space="preserve"> PAGEREF _Toc144360985 \h </w:instrText>
            </w:r>
            <w:r w:rsidR="00FF0B24">
              <w:rPr>
                <w:noProof/>
                <w:webHidden/>
              </w:rPr>
            </w:r>
            <w:r w:rsidR="00FF0B24">
              <w:rPr>
                <w:noProof/>
                <w:webHidden/>
              </w:rPr>
              <w:fldChar w:fldCharType="separate"/>
            </w:r>
            <w:r w:rsidR="00B33E2A">
              <w:rPr>
                <w:noProof/>
                <w:webHidden/>
              </w:rPr>
              <w:t>255</w:t>
            </w:r>
            <w:r w:rsidR="00FF0B24">
              <w:rPr>
                <w:noProof/>
                <w:webHidden/>
              </w:rPr>
              <w:fldChar w:fldCharType="end"/>
            </w:r>
          </w:hyperlink>
        </w:p>
        <w:p w14:paraId="7336963E" w14:textId="73C5D82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6" w:history="1">
            <w:r w:rsidR="00FF0B24" w:rsidRPr="00022765">
              <w:rPr>
                <w:rStyle w:val="Hyperlink"/>
                <w:noProof/>
              </w:rPr>
              <w:t>P136 a été fondé sur (a fondé la création du type)</w:t>
            </w:r>
            <w:r w:rsidR="00FF0B24">
              <w:rPr>
                <w:noProof/>
                <w:webHidden/>
              </w:rPr>
              <w:tab/>
            </w:r>
            <w:r w:rsidR="00FF0B24">
              <w:rPr>
                <w:noProof/>
                <w:webHidden/>
              </w:rPr>
              <w:fldChar w:fldCharType="begin"/>
            </w:r>
            <w:r w:rsidR="00FF0B24">
              <w:rPr>
                <w:noProof/>
                <w:webHidden/>
              </w:rPr>
              <w:instrText xml:space="preserve"> PAGEREF _Toc144360986 \h </w:instrText>
            </w:r>
            <w:r w:rsidR="00FF0B24">
              <w:rPr>
                <w:noProof/>
                <w:webHidden/>
              </w:rPr>
            </w:r>
            <w:r w:rsidR="00FF0B24">
              <w:rPr>
                <w:noProof/>
                <w:webHidden/>
              </w:rPr>
              <w:fldChar w:fldCharType="separate"/>
            </w:r>
            <w:r w:rsidR="00B33E2A">
              <w:rPr>
                <w:noProof/>
                <w:webHidden/>
              </w:rPr>
              <w:t>256</w:t>
            </w:r>
            <w:r w:rsidR="00FF0B24">
              <w:rPr>
                <w:noProof/>
                <w:webHidden/>
              </w:rPr>
              <w:fldChar w:fldCharType="end"/>
            </w:r>
          </w:hyperlink>
        </w:p>
        <w:p w14:paraId="102EB180" w14:textId="37EC5BC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7" w:history="1">
            <w:r w:rsidR="00FF0B24" w:rsidRPr="00022765">
              <w:rPr>
                <w:rStyle w:val="Hyperlink"/>
                <w:noProof/>
              </w:rPr>
              <w:t>P137 exemplifie (est exemplifié par)</w:t>
            </w:r>
            <w:r w:rsidR="00FF0B24">
              <w:rPr>
                <w:noProof/>
                <w:webHidden/>
              </w:rPr>
              <w:tab/>
            </w:r>
            <w:r w:rsidR="00FF0B24">
              <w:rPr>
                <w:noProof/>
                <w:webHidden/>
              </w:rPr>
              <w:fldChar w:fldCharType="begin"/>
            </w:r>
            <w:r w:rsidR="00FF0B24">
              <w:rPr>
                <w:noProof/>
                <w:webHidden/>
              </w:rPr>
              <w:instrText xml:space="preserve"> PAGEREF _Toc144360987 \h </w:instrText>
            </w:r>
            <w:r w:rsidR="00FF0B24">
              <w:rPr>
                <w:noProof/>
                <w:webHidden/>
              </w:rPr>
            </w:r>
            <w:r w:rsidR="00FF0B24">
              <w:rPr>
                <w:noProof/>
                <w:webHidden/>
              </w:rPr>
              <w:fldChar w:fldCharType="separate"/>
            </w:r>
            <w:r w:rsidR="00B33E2A">
              <w:rPr>
                <w:noProof/>
                <w:webHidden/>
              </w:rPr>
              <w:t>257</w:t>
            </w:r>
            <w:r w:rsidR="00FF0B24">
              <w:rPr>
                <w:noProof/>
                <w:webHidden/>
              </w:rPr>
              <w:fldChar w:fldCharType="end"/>
            </w:r>
          </w:hyperlink>
        </w:p>
        <w:p w14:paraId="6A5C4168" w14:textId="2BD740F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8" w:history="1">
            <w:r w:rsidR="00FF0B24" w:rsidRPr="00022765">
              <w:rPr>
                <w:rStyle w:val="Hyperlink"/>
                <w:noProof/>
              </w:rPr>
              <w:t>P138 représente (est représenté par)</w:t>
            </w:r>
            <w:r w:rsidR="00FF0B24">
              <w:rPr>
                <w:noProof/>
                <w:webHidden/>
              </w:rPr>
              <w:tab/>
            </w:r>
            <w:r w:rsidR="00FF0B24">
              <w:rPr>
                <w:noProof/>
                <w:webHidden/>
              </w:rPr>
              <w:fldChar w:fldCharType="begin"/>
            </w:r>
            <w:r w:rsidR="00FF0B24">
              <w:rPr>
                <w:noProof/>
                <w:webHidden/>
              </w:rPr>
              <w:instrText xml:space="preserve"> PAGEREF _Toc144360988 \h </w:instrText>
            </w:r>
            <w:r w:rsidR="00FF0B24">
              <w:rPr>
                <w:noProof/>
                <w:webHidden/>
              </w:rPr>
            </w:r>
            <w:r w:rsidR="00FF0B24">
              <w:rPr>
                <w:noProof/>
                <w:webHidden/>
              </w:rPr>
              <w:fldChar w:fldCharType="separate"/>
            </w:r>
            <w:r w:rsidR="00B33E2A">
              <w:rPr>
                <w:noProof/>
                <w:webHidden/>
              </w:rPr>
              <w:t>257</w:t>
            </w:r>
            <w:r w:rsidR="00FF0B24">
              <w:rPr>
                <w:noProof/>
                <w:webHidden/>
              </w:rPr>
              <w:fldChar w:fldCharType="end"/>
            </w:r>
          </w:hyperlink>
        </w:p>
        <w:p w14:paraId="70461EAD" w14:textId="22484F4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89" w:history="1">
            <w:r w:rsidR="00FF0B24" w:rsidRPr="00022765">
              <w:rPr>
                <w:rStyle w:val="Hyperlink"/>
                <w:noProof/>
              </w:rPr>
              <w:t>P139 a pour forme alternative</w:t>
            </w:r>
            <w:r w:rsidR="00FF0B24">
              <w:rPr>
                <w:noProof/>
                <w:webHidden/>
              </w:rPr>
              <w:tab/>
            </w:r>
            <w:r w:rsidR="00FF0B24">
              <w:rPr>
                <w:noProof/>
                <w:webHidden/>
              </w:rPr>
              <w:fldChar w:fldCharType="begin"/>
            </w:r>
            <w:r w:rsidR="00FF0B24">
              <w:rPr>
                <w:noProof/>
                <w:webHidden/>
              </w:rPr>
              <w:instrText xml:space="preserve"> PAGEREF _Toc144360989 \h </w:instrText>
            </w:r>
            <w:r w:rsidR="00FF0B24">
              <w:rPr>
                <w:noProof/>
                <w:webHidden/>
              </w:rPr>
            </w:r>
            <w:r w:rsidR="00FF0B24">
              <w:rPr>
                <w:noProof/>
                <w:webHidden/>
              </w:rPr>
              <w:fldChar w:fldCharType="separate"/>
            </w:r>
            <w:r w:rsidR="00B33E2A">
              <w:rPr>
                <w:noProof/>
                <w:webHidden/>
              </w:rPr>
              <w:t>259</w:t>
            </w:r>
            <w:r w:rsidR="00FF0B24">
              <w:rPr>
                <w:noProof/>
                <w:webHidden/>
              </w:rPr>
              <w:fldChar w:fldCharType="end"/>
            </w:r>
          </w:hyperlink>
        </w:p>
        <w:p w14:paraId="4D13C244" w14:textId="5211E15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0" w:history="1">
            <w:r w:rsidR="00FF0B24" w:rsidRPr="00022765">
              <w:rPr>
                <w:rStyle w:val="Hyperlink"/>
                <w:noProof/>
              </w:rPr>
              <w:t>P140 a assigné l’attribut à (a reçu l’attribut par)</w:t>
            </w:r>
            <w:r w:rsidR="00FF0B24">
              <w:rPr>
                <w:noProof/>
                <w:webHidden/>
              </w:rPr>
              <w:tab/>
            </w:r>
            <w:r w:rsidR="00FF0B24">
              <w:rPr>
                <w:noProof/>
                <w:webHidden/>
              </w:rPr>
              <w:fldChar w:fldCharType="begin"/>
            </w:r>
            <w:r w:rsidR="00FF0B24">
              <w:rPr>
                <w:noProof/>
                <w:webHidden/>
              </w:rPr>
              <w:instrText xml:space="preserve"> PAGEREF _Toc144360990 \h </w:instrText>
            </w:r>
            <w:r w:rsidR="00FF0B24">
              <w:rPr>
                <w:noProof/>
                <w:webHidden/>
              </w:rPr>
            </w:r>
            <w:r w:rsidR="00FF0B24">
              <w:rPr>
                <w:noProof/>
                <w:webHidden/>
              </w:rPr>
              <w:fldChar w:fldCharType="separate"/>
            </w:r>
            <w:r w:rsidR="00B33E2A">
              <w:rPr>
                <w:noProof/>
                <w:webHidden/>
              </w:rPr>
              <w:t>260</w:t>
            </w:r>
            <w:r w:rsidR="00FF0B24">
              <w:rPr>
                <w:noProof/>
                <w:webHidden/>
              </w:rPr>
              <w:fldChar w:fldCharType="end"/>
            </w:r>
          </w:hyperlink>
        </w:p>
        <w:p w14:paraId="0A108871" w14:textId="7881D63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1" w:history="1">
            <w:r w:rsidR="00FF0B24" w:rsidRPr="00022765">
              <w:rPr>
                <w:rStyle w:val="Hyperlink"/>
                <w:noProof/>
              </w:rPr>
              <w:t>P141 a attribué (a été attribué par)</w:t>
            </w:r>
            <w:r w:rsidR="00FF0B24">
              <w:rPr>
                <w:noProof/>
                <w:webHidden/>
              </w:rPr>
              <w:tab/>
            </w:r>
            <w:r w:rsidR="00FF0B24">
              <w:rPr>
                <w:noProof/>
                <w:webHidden/>
              </w:rPr>
              <w:fldChar w:fldCharType="begin"/>
            </w:r>
            <w:r w:rsidR="00FF0B24">
              <w:rPr>
                <w:noProof/>
                <w:webHidden/>
              </w:rPr>
              <w:instrText xml:space="preserve"> PAGEREF _Toc144360991 \h </w:instrText>
            </w:r>
            <w:r w:rsidR="00FF0B24">
              <w:rPr>
                <w:noProof/>
                <w:webHidden/>
              </w:rPr>
            </w:r>
            <w:r w:rsidR="00FF0B24">
              <w:rPr>
                <w:noProof/>
                <w:webHidden/>
              </w:rPr>
              <w:fldChar w:fldCharType="separate"/>
            </w:r>
            <w:r w:rsidR="00B33E2A">
              <w:rPr>
                <w:noProof/>
                <w:webHidden/>
              </w:rPr>
              <w:t>261</w:t>
            </w:r>
            <w:r w:rsidR="00FF0B24">
              <w:rPr>
                <w:noProof/>
                <w:webHidden/>
              </w:rPr>
              <w:fldChar w:fldCharType="end"/>
            </w:r>
          </w:hyperlink>
        </w:p>
        <w:p w14:paraId="374F1372" w14:textId="37C118E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2" w:history="1">
            <w:r w:rsidR="00FF0B24" w:rsidRPr="00022765">
              <w:rPr>
                <w:rStyle w:val="Hyperlink"/>
                <w:noProof/>
              </w:rPr>
              <w:t>P142 a mobilisé comme élément (a été mobilisé dans)</w:t>
            </w:r>
            <w:r w:rsidR="00FF0B24">
              <w:rPr>
                <w:noProof/>
                <w:webHidden/>
              </w:rPr>
              <w:tab/>
            </w:r>
            <w:r w:rsidR="00FF0B24">
              <w:rPr>
                <w:noProof/>
                <w:webHidden/>
              </w:rPr>
              <w:fldChar w:fldCharType="begin"/>
            </w:r>
            <w:r w:rsidR="00FF0B24">
              <w:rPr>
                <w:noProof/>
                <w:webHidden/>
              </w:rPr>
              <w:instrText xml:space="preserve"> PAGEREF _Toc144360992 \h </w:instrText>
            </w:r>
            <w:r w:rsidR="00FF0B24">
              <w:rPr>
                <w:noProof/>
                <w:webHidden/>
              </w:rPr>
            </w:r>
            <w:r w:rsidR="00FF0B24">
              <w:rPr>
                <w:noProof/>
                <w:webHidden/>
              </w:rPr>
              <w:fldChar w:fldCharType="separate"/>
            </w:r>
            <w:r w:rsidR="00B33E2A">
              <w:rPr>
                <w:noProof/>
                <w:webHidden/>
              </w:rPr>
              <w:t>262</w:t>
            </w:r>
            <w:r w:rsidR="00FF0B24">
              <w:rPr>
                <w:noProof/>
                <w:webHidden/>
              </w:rPr>
              <w:fldChar w:fldCharType="end"/>
            </w:r>
          </w:hyperlink>
        </w:p>
        <w:p w14:paraId="6FA9BF53" w14:textId="6D64BEF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3" w:history="1">
            <w:r w:rsidR="00FF0B24" w:rsidRPr="00022765">
              <w:rPr>
                <w:rStyle w:val="Hyperlink"/>
                <w:noProof/>
              </w:rPr>
              <w:t>P143 a fait adhérer (a adhéré par)</w:t>
            </w:r>
            <w:r w:rsidR="00FF0B24">
              <w:rPr>
                <w:noProof/>
                <w:webHidden/>
              </w:rPr>
              <w:tab/>
            </w:r>
            <w:r w:rsidR="00FF0B24">
              <w:rPr>
                <w:noProof/>
                <w:webHidden/>
              </w:rPr>
              <w:fldChar w:fldCharType="begin"/>
            </w:r>
            <w:r w:rsidR="00FF0B24">
              <w:rPr>
                <w:noProof/>
                <w:webHidden/>
              </w:rPr>
              <w:instrText xml:space="preserve"> PAGEREF _Toc144360993 \h </w:instrText>
            </w:r>
            <w:r w:rsidR="00FF0B24">
              <w:rPr>
                <w:noProof/>
                <w:webHidden/>
              </w:rPr>
            </w:r>
            <w:r w:rsidR="00FF0B24">
              <w:rPr>
                <w:noProof/>
                <w:webHidden/>
              </w:rPr>
              <w:fldChar w:fldCharType="separate"/>
            </w:r>
            <w:r w:rsidR="00B33E2A">
              <w:rPr>
                <w:noProof/>
                <w:webHidden/>
              </w:rPr>
              <w:t>263</w:t>
            </w:r>
            <w:r w:rsidR="00FF0B24">
              <w:rPr>
                <w:noProof/>
                <w:webHidden/>
              </w:rPr>
              <w:fldChar w:fldCharType="end"/>
            </w:r>
          </w:hyperlink>
        </w:p>
        <w:p w14:paraId="5E1DB4DB" w14:textId="7F388EB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4" w:history="1">
            <w:r w:rsidR="00FF0B24" w:rsidRPr="00022765">
              <w:rPr>
                <w:rStyle w:val="Hyperlink"/>
                <w:noProof/>
              </w:rPr>
              <w:t>P144 a fait adhérer à (a accueilli le membre par)</w:t>
            </w:r>
            <w:r w:rsidR="00FF0B24">
              <w:rPr>
                <w:noProof/>
                <w:webHidden/>
              </w:rPr>
              <w:tab/>
            </w:r>
            <w:r w:rsidR="00FF0B24">
              <w:rPr>
                <w:noProof/>
                <w:webHidden/>
              </w:rPr>
              <w:fldChar w:fldCharType="begin"/>
            </w:r>
            <w:r w:rsidR="00FF0B24">
              <w:rPr>
                <w:noProof/>
                <w:webHidden/>
              </w:rPr>
              <w:instrText xml:space="preserve"> PAGEREF _Toc144360994 \h </w:instrText>
            </w:r>
            <w:r w:rsidR="00FF0B24">
              <w:rPr>
                <w:noProof/>
                <w:webHidden/>
              </w:rPr>
            </w:r>
            <w:r w:rsidR="00FF0B24">
              <w:rPr>
                <w:noProof/>
                <w:webHidden/>
              </w:rPr>
              <w:fldChar w:fldCharType="separate"/>
            </w:r>
            <w:r w:rsidR="00B33E2A">
              <w:rPr>
                <w:noProof/>
                <w:webHidden/>
              </w:rPr>
              <w:t>264</w:t>
            </w:r>
            <w:r w:rsidR="00FF0B24">
              <w:rPr>
                <w:noProof/>
                <w:webHidden/>
              </w:rPr>
              <w:fldChar w:fldCharType="end"/>
            </w:r>
          </w:hyperlink>
        </w:p>
        <w:p w14:paraId="34B0305E" w14:textId="63E3D72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5" w:history="1">
            <w:r w:rsidR="00FF0B24" w:rsidRPr="00022765">
              <w:rPr>
                <w:rStyle w:val="Hyperlink"/>
                <w:noProof/>
              </w:rPr>
              <w:t>P145 a dissocié (est dissocié par)</w:t>
            </w:r>
            <w:r w:rsidR="00FF0B24">
              <w:rPr>
                <w:noProof/>
                <w:webHidden/>
              </w:rPr>
              <w:tab/>
            </w:r>
            <w:r w:rsidR="00FF0B24">
              <w:rPr>
                <w:noProof/>
                <w:webHidden/>
              </w:rPr>
              <w:fldChar w:fldCharType="begin"/>
            </w:r>
            <w:r w:rsidR="00FF0B24">
              <w:rPr>
                <w:noProof/>
                <w:webHidden/>
              </w:rPr>
              <w:instrText xml:space="preserve"> PAGEREF _Toc144360995 \h </w:instrText>
            </w:r>
            <w:r w:rsidR="00FF0B24">
              <w:rPr>
                <w:noProof/>
                <w:webHidden/>
              </w:rPr>
            </w:r>
            <w:r w:rsidR="00FF0B24">
              <w:rPr>
                <w:noProof/>
                <w:webHidden/>
              </w:rPr>
              <w:fldChar w:fldCharType="separate"/>
            </w:r>
            <w:r w:rsidR="00B33E2A">
              <w:rPr>
                <w:noProof/>
                <w:webHidden/>
              </w:rPr>
              <w:t>265</w:t>
            </w:r>
            <w:r w:rsidR="00FF0B24">
              <w:rPr>
                <w:noProof/>
                <w:webHidden/>
              </w:rPr>
              <w:fldChar w:fldCharType="end"/>
            </w:r>
          </w:hyperlink>
        </w:p>
        <w:p w14:paraId="663C54D2" w14:textId="5F95F85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6" w:history="1">
            <w:r w:rsidR="00FF0B24" w:rsidRPr="00022765">
              <w:rPr>
                <w:rStyle w:val="Hyperlink"/>
                <w:noProof/>
              </w:rPr>
              <w:t>P146 a dissocié de (a perdu le membre par)</w:t>
            </w:r>
            <w:r w:rsidR="00FF0B24">
              <w:rPr>
                <w:noProof/>
                <w:webHidden/>
              </w:rPr>
              <w:tab/>
            </w:r>
            <w:r w:rsidR="00FF0B24">
              <w:rPr>
                <w:noProof/>
                <w:webHidden/>
              </w:rPr>
              <w:fldChar w:fldCharType="begin"/>
            </w:r>
            <w:r w:rsidR="00FF0B24">
              <w:rPr>
                <w:noProof/>
                <w:webHidden/>
              </w:rPr>
              <w:instrText xml:space="preserve"> PAGEREF _Toc144360996 \h </w:instrText>
            </w:r>
            <w:r w:rsidR="00FF0B24">
              <w:rPr>
                <w:noProof/>
                <w:webHidden/>
              </w:rPr>
            </w:r>
            <w:r w:rsidR="00FF0B24">
              <w:rPr>
                <w:noProof/>
                <w:webHidden/>
              </w:rPr>
              <w:fldChar w:fldCharType="separate"/>
            </w:r>
            <w:r w:rsidR="00B33E2A">
              <w:rPr>
                <w:noProof/>
                <w:webHidden/>
              </w:rPr>
              <w:t>266</w:t>
            </w:r>
            <w:r w:rsidR="00FF0B24">
              <w:rPr>
                <w:noProof/>
                <w:webHidden/>
              </w:rPr>
              <w:fldChar w:fldCharType="end"/>
            </w:r>
          </w:hyperlink>
        </w:p>
        <w:p w14:paraId="338EF1DA" w14:textId="292EB0D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7" w:history="1">
            <w:r w:rsidR="00FF0B24" w:rsidRPr="00022765">
              <w:rPr>
                <w:rStyle w:val="Hyperlink"/>
                <w:noProof/>
              </w:rPr>
              <w:t>P147 a géré (a été géré par)</w:t>
            </w:r>
            <w:r w:rsidR="00FF0B24">
              <w:rPr>
                <w:noProof/>
                <w:webHidden/>
              </w:rPr>
              <w:tab/>
            </w:r>
            <w:r w:rsidR="00FF0B24">
              <w:rPr>
                <w:noProof/>
                <w:webHidden/>
              </w:rPr>
              <w:fldChar w:fldCharType="begin"/>
            </w:r>
            <w:r w:rsidR="00FF0B24">
              <w:rPr>
                <w:noProof/>
                <w:webHidden/>
              </w:rPr>
              <w:instrText xml:space="preserve"> PAGEREF _Toc144360997 \h </w:instrText>
            </w:r>
            <w:r w:rsidR="00FF0B24">
              <w:rPr>
                <w:noProof/>
                <w:webHidden/>
              </w:rPr>
            </w:r>
            <w:r w:rsidR="00FF0B24">
              <w:rPr>
                <w:noProof/>
                <w:webHidden/>
              </w:rPr>
              <w:fldChar w:fldCharType="separate"/>
            </w:r>
            <w:r w:rsidR="00B33E2A">
              <w:rPr>
                <w:noProof/>
                <w:webHidden/>
              </w:rPr>
              <w:t>267</w:t>
            </w:r>
            <w:r w:rsidR="00FF0B24">
              <w:rPr>
                <w:noProof/>
                <w:webHidden/>
              </w:rPr>
              <w:fldChar w:fldCharType="end"/>
            </w:r>
          </w:hyperlink>
        </w:p>
        <w:p w14:paraId="0DE111D0" w14:textId="6C26FA0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8" w:history="1">
            <w:r w:rsidR="00FF0B24" w:rsidRPr="00022765">
              <w:rPr>
                <w:rStyle w:val="Hyperlink"/>
                <w:noProof/>
              </w:rPr>
              <w:t>P148 a pour composant (est le composant de)</w:t>
            </w:r>
            <w:r w:rsidR="00FF0B24">
              <w:rPr>
                <w:noProof/>
                <w:webHidden/>
              </w:rPr>
              <w:tab/>
            </w:r>
            <w:r w:rsidR="00FF0B24">
              <w:rPr>
                <w:noProof/>
                <w:webHidden/>
              </w:rPr>
              <w:fldChar w:fldCharType="begin"/>
            </w:r>
            <w:r w:rsidR="00FF0B24">
              <w:rPr>
                <w:noProof/>
                <w:webHidden/>
              </w:rPr>
              <w:instrText xml:space="preserve"> PAGEREF _Toc144360998 \h </w:instrText>
            </w:r>
            <w:r w:rsidR="00FF0B24">
              <w:rPr>
                <w:noProof/>
                <w:webHidden/>
              </w:rPr>
            </w:r>
            <w:r w:rsidR="00FF0B24">
              <w:rPr>
                <w:noProof/>
                <w:webHidden/>
              </w:rPr>
              <w:fldChar w:fldCharType="separate"/>
            </w:r>
            <w:r w:rsidR="00B33E2A">
              <w:rPr>
                <w:noProof/>
                <w:webHidden/>
              </w:rPr>
              <w:t>268</w:t>
            </w:r>
            <w:r w:rsidR="00FF0B24">
              <w:rPr>
                <w:noProof/>
                <w:webHidden/>
              </w:rPr>
              <w:fldChar w:fldCharType="end"/>
            </w:r>
          </w:hyperlink>
        </w:p>
        <w:p w14:paraId="0E751555" w14:textId="512BE5D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0999" w:history="1">
            <w:r w:rsidR="00FF0B24" w:rsidRPr="00022765">
              <w:rPr>
                <w:rStyle w:val="Hyperlink"/>
                <w:noProof/>
              </w:rPr>
              <w:t>P150 définit les éléments typiques de (définit l’ensemble typique pour)</w:t>
            </w:r>
            <w:r w:rsidR="00FF0B24">
              <w:rPr>
                <w:noProof/>
                <w:webHidden/>
              </w:rPr>
              <w:tab/>
            </w:r>
            <w:r w:rsidR="00FF0B24">
              <w:rPr>
                <w:noProof/>
                <w:webHidden/>
              </w:rPr>
              <w:fldChar w:fldCharType="begin"/>
            </w:r>
            <w:r w:rsidR="00FF0B24">
              <w:rPr>
                <w:noProof/>
                <w:webHidden/>
              </w:rPr>
              <w:instrText xml:space="preserve"> PAGEREF _Toc144360999 \h </w:instrText>
            </w:r>
            <w:r w:rsidR="00FF0B24">
              <w:rPr>
                <w:noProof/>
                <w:webHidden/>
              </w:rPr>
            </w:r>
            <w:r w:rsidR="00FF0B24">
              <w:rPr>
                <w:noProof/>
                <w:webHidden/>
              </w:rPr>
              <w:fldChar w:fldCharType="separate"/>
            </w:r>
            <w:r w:rsidR="00B33E2A">
              <w:rPr>
                <w:noProof/>
                <w:webHidden/>
              </w:rPr>
              <w:t>268</w:t>
            </w:r>
            <w:r w:rsidR="00FF0B24">
              <w:rPr>
                <w:noProof/>
                <w:webHidden/>
              </w:rPr>
              <w:fldChar w:fldCharType="end"/>
            </w:r>
          </w:hyperlink>
        </w:p>
        <w:p w14:paraId="3CC01D45" w14:textId="7FC4D19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0" w:history="1">
            <w:r w:rsidR="00FF0B24" w:rsidRPr="00022765">
              <w:rPr>
                <w:rStyle w:val="Hyperlink"/>
                <w:noProof/>
              </w:rPr>
              <w:t>P151 a été formé à partir de (a participé à)</w:t>
            </w:r>
            <w:r w:rsidR="00FF0B24">
              <w:rPr>
                <w:noProof/>
                <w:webHidden/>
              </w:rPr>
              <w:tab/>
            </w:r>
            <w:r w:rsidR="00FF0B24">
              <w:rPr>
                <w:noProof/>
                <w:webHidden/>
              </w:rPr>
              <w:fldChar w:fldCharType="begin"/>
            </w:r>
            <w:r w:rsidR="00FF0B24">
              <w:rPr>
                <w:noProof/>
                <w:webHidden/>
              </w:rPr>
              <w:instrText xml:space="preserve"> PAGEREF _Toc144361000 \h </w:instrText>
            </w:r>
            <w:r w:rsidR="00FF0B24">
              <w:rPr>
                <w:noProof/>
                <w:webHidden/>
              </w:rPr>
            </w:r>
            <w:r w:rsidR="00FF0B24">
              <w:rPr>
                <w:noProof/>
                <w:webHidden/>
              </w:rPr>
              <w:fldChar w:fldCharType="separate"/>
            </w:r>
            <w:r w:rsidR="00B33E2A">
              <w:rPr>
                <w:noProof/>
                <w:webHidden/>
              </w:rPr>
              <w:t>269</w:t>
            </w:r>
            <w:r w:rsidR="00FF0B24">
              <w:rPr>
                <w:noProof/>
                <w:webHidden/>
              </w:rPr>
              <w:fldChar w:fldCharType="end"/>
            </w:r>
          </w:hyperlink>
        </w:p>
        <w:p w14:paraId="312FAD2B" w14:textId="407EF6C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1" w:history="1">
            <w:r w:rsidR="00FF0B24" w:rsidRPr="00022765">
              <w:rPr>
                <w:rStyle w:val="Hyperlink"/>
                <w:noProof/>
              </w:rPr>
              <w:t>P152 a pour parent (est le parent de)</w:t>
            </w:r>
            <w:r w:rsidR="00FF0B24">
              <w:rPr>
                <w:noProof/>
                <w:webHidden/>
              </w:rPr>
              <w:tab/>
            </w:r>
            <w:r w:rsidR="00FF0B24">
              <w:rPr>
                <w:noProof/>
                <w:webHidden/>
              </w:rPr>
              <w:fldChar w:fldCharType="begin"/>
            </w:r>
            <w:r w:rsidR="00FF0B24">
              <w:rPr>
                <w:noProof/>
                <w:webHidden/>
              </w:rPr>
              <w:instrText xml:space="preserve"> PAGEREF _Toc144361001 \h </w:instrText>
            </w:r>
            <w:r w:rsidR="00FF0B24">
              <w:rPr>
                <w:noProof/>
                <w:webHidden/>
              </w:rPr>
            </w:r>
            <w:r w:rsidR="00FF0B24">
              <w:rPr>
                <w:noProof/>
                <w:webHidden/>
              </w:rPr>
              <w:fldChar w:fldCharType="separate"/>
            </w:r>
            <w:r w:rsidR="00B33E2A">
              <w:rPr>
                <w:noProof/>
                <w:webHidden/>
              </w:rPr>
              <w:t>270</w:t>
            </w:r>
            <w:r w:rsidR="00FF0B24">
              <w:rPr>
                <w:noProof/>
                <w:webHidden/>
              </w:rPr>
              <w:fldChar w:fldCharType="end"/>
            </w:r>
          </w:hyperlink>
        </w:p>
        <w:p w14:paraId="0D1320F1" w14:textId="27DD6A8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2" w:history="1">
            <w:r w:rsidR="00FF0B24" w:rsidRPr="00022765">
              <w:rPr>
                <w:rStyle w:val="Hyperlink"/>
                <w:noProof/>
              </w:rPr>
              <w:t>P156 occupe (est occupé par)</w:t>
            </w:r>
            <w:r w:rsidR="00FF0B24">
              <w:rPr>
                <w:noProof/>
                <w:webHidden/>
              </w:rPr>
              <w:tab/>
            </w:r>
            <w:r w:rsidR="00FF0B24">
              <w:rPr>
                <w:noProof/>
                <w:webHidden/>
              </w:rPr>
              <w:fldChar w:fldCharType="begin"/>
            </w:r>
            <w:r w:rsidR="00FF0B24">
              <w:rPr>
                <w:noProof/>
                <w:webHidden/>
              </w:rPr>
              <w:instrText xml:space="preserve"> PAGEREF _Toc144361002 \h </w:instrText>
            </w:r>
            <w:r w:rsidR="00FF0B24">
              <w:rPr>
                <w:noProof/>
                <w:webHidden/>
              </w:rPr>
            </w:r>
            <w:r w:rsidR="00FF0B24">
              <w:rPr>
                <w:noProof/>
                <w:webHidden/>
              </w:rPr>
              <w:fldChar w:fldCharType="separate"/>
            </w:r>
            <w:r w:rsidR="00B33E2A">
              <w:rPr>
                <w:noProof/>
                <w:webHidden/>
              </w:rPr>
              <w:t>271</w:t>
            </w:r>
            <w:r w:rsidR="00FF0B24">
              <w:rPr>
                <w:noProof/>
                <w:webHidden/>
              </w:rPr>
              <w:fldChar w:fldCharType="end"/>
            </w:r>
          </w:hyperlink>
        </w:p>
        <w:p w14:paraId="31E37A9E" w14:textId="2F0A839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3" w:history="1">
            <w:r w:rsidR="00FF0B24" w:rsidRPr="00022765">
              <w:rPr>
                <w:rStyle w:val="Hyperlink"/>
                <w:noProof/>
              </w:rPr>
              <w:t>P157 est à l’arrêt par rapport à (procure l’espace de référence pour)</w:t>
            </w:r>
            <w:r w:rsidR="00FF0B24">
              <w:rPr>
                <w:noProof/>
                <w:webHidden/>
              </w:rPr>
              <w:tab/>
            </w:r>
            <w:r w:rsidR="00FF0B24">
              <w:rPr>
                <w:noProof/>
                <w:webHidden/>
              </w:rPr>
              <w:fldChar w:fldCharType="begin"/>
            </w:r>
            <w:r w:rsidR="00FF0B24">
              <w:rPr>
                <w:noProof/>
                <w:webHidden/>
              </w:rPr>
              <w:instrText xml:space="preserve"> PAGEREF _Toc144361003 \h </w:instrText>
            </w:r>
            <w:r w:rsidR="00FF0B24">
              <w:rPr>
                <w:noProof/>
                <w:webHidden/>
              </w:rPr>
            </w:r>
            <w:r w:rsidR="00FF0B24">
              <w:rPr>
                <w:noProof/>
                <w:webHidden/>
              </w:rPr>
              <w:fldChar w:fldCharType="separate"/>
            </w:r>
            <w:r w:rsidR="00B33E2A">
              <w:rPr>
                <w:noProof/>
                <w:webHidden/>
              </w:rPr>
              <w:t>272</w:t>
            </w:r>
            <w:r w:rsidR="00FF0B24">
              <w:rPr>
                <w:noProof/>
                <w:webHidden/>
              </w:rPr>
              <w:fldChar w:fldCharType="end"/>
            </w:r>
          </w:hyperlink>
        </w:p>
        <w:p w14:paraId="7EE3DAA8" w14:textId="2944352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4" w:history="1">
            <w:r w:rsidR="00FF0B24" w:rsidRPr="00022765">
              <w:rPr>
                <w:rStyle w:val="Hyperlink"/>
                <w:noProof/>
              </w:rPr>
              <w:t>P160 a pour projection temporelle (est la projection temporelle de)</w:t>
            </w:r>
            <w:r w:rsidR="00FF0B24">
              <w:rPr>
                <w:noProof/>
                <w:webHidden/>
              </w:rPr>
              <w:tab/>
            </w:r>
            <w:r w:rsidR="00FF0B24">
              <w:rPr>
                <w:noProof/>
                <w:webHidden/>
              </w:rPr>
              <w:fldChar w:fldCharType="begin"/>
            </w:r>
            <w:r w:rsidR="00FF0B24">
              <w:rPr>
                <w:noProof/>
                <w:webHidden/>
              </w:rPr>
              <w:instrText xml:space="preserve"> PAGEREF _Toc144361004 \h </w:instrText>
            </w:r>
            <w:r w:rsidR="00FF0B24">
              <w:rPr>
                <w:noProof/>
                <w:webHidden/>
              </w:rPr>
            </w:r>
            <w:r w:rsidR="00FF0B24">
              <w:rPr>
                <w:noProof/>
                <w:webHidden/>
              </w:rPr>
              <w:fldChar w:fldCharType="separate"/>
            </w:r>
            <w:r w:rsidR="00B33E2A">
              <w:rPr>
                <w:noProof/>
                <w:webHidden/>
              </w:rPr>
              <w:t>273</w:t>
            </w:r>
            <w:r w:rsidR="00FF0B24">
              <w:rPr>
                <w:noProof/>
                <w:webHidden/>
              </w:rPr>
              <w:fldChar w:fldCharType="end"/>
            </w:r>
          </w:hyperlink>
        </w:p>
        <w:p w14:paraId="06486861" w14:textId="1611D4A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5" w:history="1">
            <w:r w:rsidR="00FF0B24" w:rsidRPr="00022765">
              <w:rPr>
                <w:rStyle w:val="Hyperlink"/>
                <w:noProof/>
              </w:rPr>
              <w:t>P161 a pour projection spatiale (est la projection spatiale de)</w:t>
            </w:r>
            <w:r w:rsidR="00FF0B24">
              <w:rPr>
                <w:noProof/>
                <w:webHidden/>
              </w:rPr>
              <w:tab/>
            </w:r>
            <w:r w:rsidR="00FF0B24">
              <w:rPr>
                <w:noProof/>
                <w:webHidden/>
              </w:rPr>
              <w:fldChar w:fldCharType="begin"/>
            </w:r>
            <w:r w:rsidR="00FF0B24">
              <w:rPr>
                <w:noProof/>
                <w:webHidden/>
              </w:rPr>
              <w:instrText xml:space="preserve"> PAGEREF _Toc144361005 \h </w:instrText>
            </w:r>
            <w:r w:rsidR="00FF0B24">
              <w:rPr>
                <w:noProof/>
                <w:webHidden/>
              </w:rPr>
            </w:r>
            <w:r w:rsidR="00FF0B24">
              <w:rPr>
                <w:noProof/>
                <w:webHidden/>
              </w:rPr>
              <w:fldChar w:fldCharType="separate"/>
            </w:r>
            <w:r w:rsidR="00B33E2A">
              <w:rPr>
                <w:noProof/>
                <w:webHidden/>
              </w:rPr>
              <w:t>274</w:t>
            </w:r>
            <w:r w:rsidR="00FF0B24">
              <w:rPr>
                <w:noProof/>
                <w:webHidden/>
              </w:rPr>
              <w:fldChar w:fldCharType="end"/>
            </w:r>
          </w:hyperlink>
        </w:p>
        <w:p w14:paraId="22D902C5" w14:textId="556631E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6" w:history="1">
            <w:r w:rsidR="00FF0B24" w:rsidRPr="00022765">
              <w:rPr>
                <w:rStyle w:val="Hyperlink"/>
                <w:noProof/>
              </w:rPr>
              <w:t>P164 est temporellement spécifié par (spécifie temporellement)</w:t>
            </w:r>
            <w:r w:rsidR="00FF0B24">
              <w:rPr>
                <w:noProof/>
                <w:webHidden/>
              </w:rPr>
              <w:tab/>
            </w:r>
            <w:r w:rsidR="00FF0B24">
              <w:rPr>
                <w:noProof/>
                <w:webHidden/>
              </w:rPr>
              <w:fldChar w:fldCharType="begin"/>
            </w:r>
            <w:r w:rsidR="00FF0B24">
              <w:rPr>
                <w:noProof/>
                <w:webHidden/>
              </w:rPr>
              <w:instrText xml:space="preserve"> PAGEREF _Toc144361006 \h </w:instrText>
            </w:r>
            <w:r w:rsidR="00FF0B24">
              <w:rPr>
                <w:noProof/>
                <w:webHidden/>
              </w:rPr>
            </w:r>
            <w:r w:rsidR="00FF0B24">
              <w:rPr>
                <w:noProof/>
                <w:webHidden/>
              </w:rPr>
              <w:fldChar w:fldCharType="separate"/>
            </w:r>
            <w:r w:rsidR="00B33E2A">
              <w:rPr>
                <w:noProof/>
                <w:webHidden/>
              </w:rPr>
              <w:t>275</w:t>
            </w:r>
            <w:r w:rsidR="00FF0B24">
              <w:rPr>
                <w:noProof/>
                <w:webHidden/>
              </w:rPr>
              <w:fldChar w:fldCharType="end"/>
            </w:r>
          </w:hyperlink>
        </w:p>
        <w:p w14:paraId="7A4BF583" w14:textId="183338D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7" w:history="1">
            <w:r w:rsidR="00FF0B24" w:rsidRPr="00022765">
              <w:rPr>
                <w:rStyle w:val="Hyperlink"/>
                <w:noProof/>
              </w:rPr>
              <w:t>P165 inclut (est inclus dans)</w:t>
            </w:r>
            <w:r w:rsidR="00FF0B24">
              <w:rPr>
                <w:noProof/>
                <w:webHidden/>
              </w:rPr>
              <w:tab/>
            </w:r>
            <w:r w:rsidR="00FF0B24">
              <w:rPr>
                <w:noProof/>
                <w:webHidden/>
              </w:rPr>
              <w:fldChar w:fldCharType="begin"/>
            </w:r>
            <w:r w:rsidR="00FF0B24">
              <w:rPr>
                <w:noProof/>
                <w:webHidden/>
              </w:rPr>
              <w:instrText xml:space="preserve"> PAGEREF _Toc144361007 \h </w:instrText>
            </w:r>
            <w:r w:rsidR="00FF0B24">
              <w:rPr>
                <w:noProof/>
                <w:webHidden/>
              </w:rPr>
            </w:r>
            <w:r w:rsidR="00FF0B24">
              <w:rPr>
                <w:noProof/>
                <w:webHidden/>
              </w:rPr>
              <w:fldChar w:fldCharType="separate"/>
            </w:r>
            <w:r w:rsidR="00B33E2A">
              <w:rPr>
                <w:noProof/>
                <w:webHidden/>
              </w:rPr>
              <w:t>276</w:t>
            </w:r>
            <w:r w:rsidR="00FF0B24">
              <w:rPr>
                <w:noProof/>
                <w:webHidden/>
              </w:rPr>
              <w:fldChar w:fldCharType="end"/>
            </w:r>
          </w:hyperlink>
        </w:p>
        <w:p w14:paraId="4F169A66" w14:textId="54D8F47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8" w:history="1">
            <w:r w:rsidR="00FF0B24" w:rsidRPr="00022765">
              <w:rPr>
                <w:rStyle w:val="Hyperlink"/>
                <w:noProof/>
              </w:rPr>
              <w:t>P166 a été une présence de (a eu pour présence)</w:t>
            </w:r>
            <w:r w:rsidR="00FF0B24">
              <w:rPr>
                <w:noProof/>
                <w:webHidden/>
              </w:rPr>
              <w:tab/>
            </w:r>
            <w:r w:rsidR="00FF0B24">
              <w:rPr>
                <w:noProof/>
                <w:webHidden/>
              </w:rPr>
              <w:fldChar w:fldCharType="begin"/>
            </w:r>
            <w:r w:rsidR="00FF0B24">
              <w:rPr>
                <w:noProof/>
                <w:webHidden/>
              </w:rPr>
              <w:instrText xml:space="preserve"> PAGEREF _Toc144361008 \h </w:instrText>
            </w:r>
            <w:r w:rsidR="00FF0B24">
              <w:rPr>
                <w:noProof/>
                <w:webHidden/>
              </w:rPr>
            </w:r>
            <w:r w:rsidR="00FF0B24">
              <w:rPr>
                <w:noProof/>
                <w:webHidden/>
              </w:rPr>
              <w:fldChar w:fldCharType="separate"/>
            </w:r>
            <w:r w:rsidR="00B33E2A">
              <w:rPr>
                <w:noProof/>
                <w:webHidden/>
              </w:rPr>
              <w:t>277</w:t>
            </w:r>
            <w:r w:rsidR="00FF0B24">
              <w:rPr>
                <w:noProof/>
                <w:webHidden/>
              </w:rPr>
              <w:fldChar w:fldCharType="end"/>
            </w:r>
          </w:hyperlink>
        </w:p>
        <w:p w14:paraId="312E25FB" w14:textId="5092619A"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09" w:history="1">
            <w:r w:rsidR="00FF0B24" w:rsidRPr="00022765">
              <w:rPr>
                <w:rStyle w:val="Hyperlink"/>
                <w:noProof/>
              </w:rPr>
              <w:t>P167 s’inscrivait dans (comporte)</w:t>
            </w:r>
            <w:r w:rsidR="00FF0B24">
              <w:rPr>
                <w:noProof/>
                <w:webHidden/>
              </w:rPr>
              <w:tab/>
            </w:r>
            <w:r w:rsidR="00FF0B24">
              <w:rPr>
                <w:noProof/>
                <w:webHidden/>
              </w:rPr>
              <w:fldChar w:fldCharType="begin"/>
            </w:r>
            <w:r w:rsidR="00FF0B24">
              <w:rPr>
                <w:noProof/>
                <w:webHidden/>
              </w:rPr>
              <w:instrText xml:space="preserve"> PAGEREF _Toc144361009 \h </w:instrText>
            </w:r>
            <w:r w:rsidR="00FF0B24">
              <w:rPr>
                <w:noProof/>
                <w:webHidden/>
              </w:rPr>
            </w:r>
            <w:r w:rsidR="00FF0B24">
              <w:rPr>
                <w:noProof/>
                <w:webHidden/>
              </w:rPr>
              <w:fldChar w:fldCharType="separate"/>
            </w:r>
            <w:r w:rsidR="00B33E2A">
              <w:rPr>
                <w:noProof/>
                <w:webHidden/>
              </w:rPr>
              <w:t>278</w:t>
            </w:r>
            <w:r w:rsidR="00FF0B24">
              <w:rPr>
                <w:noProof/>
                <w:webHidden/>
              </w:rPr>
              <w:fldChar w:fldCharType="end"/>
            </w:r>
          </w:hyperlink>
        </w:p>
        <w:p w14:paraId="5273C960" w14:textId="00476ED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0" w:history="1">
            <w:r w:rsidR="00FF0B24" w:rsidRPr="00022765">
              <w:rPr>
                <w:rStyle w:val="Hyperlink"/>
                <w:noProof/>
              </w:rPr>
              <w:t>P168 lieu défini par (définit le lieu)</w:t>
            </w:r>
            <w:r w:rsidR="00FF0B24">
              <w:rPr>
                <w:noProof/>
                <w:webHidden/>
              </w:rPr>
              <w:tab/>
            </w:r>
            <w:r w:rsidR="00FF0B24">
              <w:rPr>
                <w:noProof/>
                <w:webHidden/>
              </w:rPr>
              <w:fldChar w:fldCharType="begin"/>
            </w:r>
            <w:r w:rsidR="00FF0B24">
              <w:rPr>
                <w:noProof/>
                <w:webHidden/>
              </w:rPr>
              <w:instrText xml:space="preserve"> PAGEREF _Toc144361010 \h </w:instrText>
            </w:r>
            <w:r w:rsidR="00FF0B24">
              <w:rPr>
                <w:noProof/>
                <w:webHidden/>
              </w:rPr>
            </w:r>
            <w:r w:rsidR="00FF0B24">
              <w:rPr>
                <w:noProof/>
                <w:webHidden/>
              </w:rPr>
              <w:fldChar w:fldCharType="separate"/>
            </w:r>
            <w:r w:rsidR="00B33E2A">
              <w:rPr>
                <w:noProof/>
                <w:webHidden/>
              </w:rPr>
              <w:t>279</w:t>
            </w:r>
            <w:r w:rsidR="00FF0B24">
              <w:rPr>
                <w:noProof/>
                <w:webHidden/>
              </w:rPr>
              <w:fldChar w:fldCharType="end"/>
            </w:r>
          </w:hyperlink>
        </w:p>
        <w:p w14:paraId="3F0154BF" w14:textId="07CA7F9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1" w:history="1">
            <w:r w:rsidR="00FF0B24" w:rsidRPr="00022765">
              <w:rPr>
                <w:rStyle w:val="Hyperlink"/>
                <w:noProof/>
              </w:rPr>
              <w:t>P169 définit le volume spatio-temporel (volume spatio-temporel défini par)</w:t>
            </w:r>
            <w:r w:rsidR="00FF0B24">
              <w:rPr>
                <w:noProof/>
                <w:webHidden/>
              </w:rPr>
              <w:tab/>
            </w:r>
            <w:r w:rsidR="00FF0B24">
              <w:rPr>
                <w:noProof/>
                <w:webHidden/>
              </w:rPr>
              <w:fldChar w:fldCharType="begin"/>
            </w:r>
            <w:r w:rsidR="00FF0B24">
              <w:rPr>
                <w:noProof/>
                <w:webHidden/>
              </w:rPr>
              <w:instrText xml:space="preserve"> PAGEREF _Toc144361011 \h </w:instrText>
            </w:r>
            <w:r w:rsidR="00FF0B24">
              <w:rPr>
                <w:noProof/>
                <w:webHidden/>
              </w:rPr>
            </w:r>
            <w:r w:rsidR="00FF0B24">
              <w:rPr>
                <w:noProof/>
                <w:webHidden/>
              </w:rPr>
              <w:fldChar w:fldCharType="separate"/>
            </w:r>
            <w:r w:rsidR="00B33E2A">
              <w:rPr>
                <w:noProof/>
                <w:webHidden/>
              </w:rPr>
              <w:t>280</w:t>
            </w:r>
            <w:r w:rsidR="00FF0B24">
              <w:rPr>
                <w:noProof/>
                <w:webHidden/>
              </w:rPr>
              <w:fldChar w:fldCharType="end"/>
            </w:r>
          </w:hyperlink>
        </w:p>
        <w:p w14:paraId="311CFA4E" w14:textId="381BEB73"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2" w:history="1">
            <w:r w:rsidR="00FF0B24" w:rsidRPr="00022765">
              <w:rPr>
                <w:rStyle w:val="Hyperlink"/>
                <w:noProof/>
              </w:rPr>
              <w:t>P170 définit le temps (temps défini par)</w:t>
            </w:r>
            <w:r w:rsidR="00FF0B24">
              <w:rPr>
                <w:noProof/>
                <w:webHidden/>
              </w:rPr>
              <w:tab/>
            </w:r>
            <w:r w:rsidR="00FF0B24">
              <w:rPr>
                <w:noProof/>
                <w:webHidden/>
              </w:rPr>
              <w:fldChar w:fldCharType="begin"/>
            </w:r>
            <w:r w:rsidR="00FF0B24">
              <w:rPr>
                <w:noProof/>
                <w:webHidden/>
              </w:rPr>
              <w:instrText xml:space="preserve"> PAGEREF _Toc144361012 \h </w:instrText>
            </w:r>
            <w:r w:rsidR="00FF0B24">
              <w:rPr>
                <w:noProof/>
                <w:webHidden/>
              </w:rPr>
            </w:r>
            <w:r w:rsidR="00FF0B24">
              <w:rPr>
                <w:noProof/>
                <w:webHidden/>
              </w:rPr>
              <w:fldChar w:fldCharType="separate"/>
            </w:r>
            <w:r w:rsidR="00B33E2A">
              <w:rPr>
                <w:noProof/>
                <w:webHidden/>
              </w:rPr>
              <w:t>281</w:t>
            </w:r>
            <w:r w:rsidR="00FF0B24">
              <w:rPr>
                <w:noProof/>
                <w:webHidden/>
              </w:rPr>
              <w:fldChar w:fldCharType="end"/>
            </w:r>
          </w:hyperlink>
        </w:p>
        <w:p w14:paraId="3FBB50C9" w14:textId="6BBD218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3" w:history="1">
            <w:r w:rsidR="00FF0B24" w:rsidRPr="00022765">
              <w:rPr>
                <w:rStyle w:val="Hyperlink"/>
                <w:noProof/>
              </w:rPr>
              <w:t>P171 quelque part dans</w:t>
            </w:r>
            <w:r w:rsidR="00FF0B24">
              <w:rPr>
                <w:noProof/>
                <w:webHidden/>
              </w:rPr>
              <w:tab/>
            </w:r>
            <w:r w:rsidR="00FF0B24">
              <w:rPr>
                <w:noProof/>
                <w:webHidden/>
              </w:rPr>
              <w:fldChar w:fldCharType="begin"/>
            </w:r>
            <w:r w:rsidR="00FF0B24">
              <w:rPr>
                <w:noProof/>
                <w:webHidden/>
              </w:rPr>
              <w:instrText xml:space="preserve"> PAGEREF _Toc144361013 \h </w:instrText>
            </w:r>
            <w:r w:rsidR="00FF0B24">
              <w:rPr>
                <w:noProof/>
                <w:webHidden/>
              </w:rPr>
            </w:r>
            <w:r w:rsidR="00FF0B24">
              <w:rPr>
                <w:noProof/>
                <w:webHidden/>
              </w:rPr>
              <w:fldChar w:fldCharType="separate"/>
            </w:r>
            <w:r w:rsidR="00B33E2A">
              <w:rPr>
                <w:noProof/>
                <w:webHidden/>
              </w:rPr>
              <w:t>281</w:t>
            </w:r>
            <w:r w:rsidR="00FF0B24">
              <w:rPr>
                <w:noProof/>
                <w:webHidden/>
              </w:rPr>
              <w:fldChar w:fldCharType="end"/>
            </w:r>
          </w:hyperlink>
        </w:p>
        <w:p w14:paraId="10170FAE" w14:textId="29CCB532"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4" w:history="1">
            <w:r w:rsidR="00FF0B24" w:rsidRPr="00022765">
              <w:rPr>
                <w:rStyle w:val="Hyperlink"/>
                <w:noProof/>
              </w:rPr>
              <w:t>P172 contient</w:t>
            </w:r>
            <w:r w:rsidR="00FF0B24">
              <w:rPr>
                <w:noProof/>
                <w:webHidden/>
              </w:rPr>
              <w:tab/>
            </w:r>
            <w:r w:rsidR="00FF0B24">
              <w:rPr>
                <w:noProof/>
                <w:webHidden/>
              </w:rPr>
              <w:fldChar w:fldCharType="begin"/>
            </w:r>
            <w:r w:rsidR="00FF0B24">
              <w:rPr>
                <w:noProof/>
                <w:webHidden/>
              </w:rPr>
              <w:instrText xml:space="preserve"> PAGEREF _Toc144361014 \h </w:instrText>
            </w:r>
            <w:r w:rsidR="00FF0B24">
              <w:rPr>
                <w:noProof/>
                <w:webHidden/>
              </w:rPr>
            </w:r>
            <w:r w:rsidR="00FF0B24">
              <w:rPr>
                <w:noProof/>
                <w:webHidden/>
              </w:rPr>
              <w:fldChar w:fldCharType="separate"/>
            </w:r>
            <w:r w:rsidR="00B33E2A">
              <w:rPr>
                <w:noProof/>
                <w:webHidden/>
              </w:rPr>
              <w:t>282</w:t>
            </w:r>
            <w:r w:rsidR="00FF0B24">
              <w:rPr>
                <w:noProof/>
                <w:webHidden/>
              </w:rPr>
              <w:fldChar w:fldCharType="end"/>
            </w:r>
          </w:hyperlink>
        </w:p>
        <w:p w14:paraId="5FC145D3" w14:textId="7335800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5" w:history="1">
            <w:r w:rsidR="00FF0B24" w:rsidRPr="00022765">
              <w:rPr>
                <w:rStyle w:val="Hyperlink"/>
                <w:noProof/>
              </w:rPr>
              <w:t>P173 commence avant ou au moment de la fin de (se termine après ou au moment du début de)</w:t>
            </w:r>
            <w:r w:rsidR="00FF0B24">
              <w:rPr>
                <w:noProof/>
                <w:webHidden/>
              </w:rPr>
              <w:tab/>
            </w:r>
            <w:r w:rsidR="00FF0B24">
              <w:rPr>
                <w:noProof/>
                <w:webHidden/>
              </w:rPr>
              <w:fldChar w:fldCharType="begin"/>
            </w:r>
            <w:r w:rsidR="00FF0B24">
              <w:rPr>
                <w:noProof/>
                <w:webHidden/>
              </w:rPr>
              <w:instrText xml:space="preserve"> PAGEREF _Toc144361015 \h </w:instrText>
            </w:r>
            <w:r w:rsidR="00FF0B24">
              <w:rPr>
                <w:noProof/>
                <w:webHidden/>
              </w:rPr>
            </w:r>
            <w:r w:rsidR="00FF0B24">
              <w:rPr>
                <w:noProof/>
                <w:webHidden/>
              </w:rPr>
              <w:fldChar w:fldCharType="separate"/>
            </w:r>
            <w:r w:rsidR="00B33E2A">
              <w:rPr>
                <w:noProof/>
                <w:webHidden/>
              </w:rPr>
              <w:t>283</w:t>
            </w:r>
            <w:r w:rsidR="00FF0B24">
              <w:rPr>
                <w:noProof/>
                <w:webHidden/>
              </w:rPr>
              <w:fldChar w:fldCharType="end"/>
            </w:r>
          </w:hyperlink>
        </w:p>
        <w:p w14:paraId="14A091A9" w14:textId="0F4772F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6" w:history="1">
            <w:r w:rsidR="00FF0B24" w:rsidRPr="00022765">
              <w:rPr>
                <w:rStyle w:val="Hyperlink"/>
                <w:noProof/>
              </w:rPr>
              <w:t>P174 commence avant la fin de (se termine après le début de)</w:t>
            </w:r>
            <w:r w:rsidR="00FF0B24">
              <w:rPr>
                <w:noProof/>
                <w:webHidden/>
              </w:rPr>
              <w:tab/>
            </w:r>
            <w:r w:rsidR="00FF0B24">
              <w:rPr>
                <w:noProof/>
                <w:webHidden/>
              </w:rPr>
              <w:fldChar w:fldCharType="begin"/>
            </w:r>
            <w:r w:rsidR="00FF0B24">
              <w:rPr>
                <w:noProof/>
                <w:webHidden/>
              </w:rPr>
              <w:instrText xml:space="preserve"> PAGEREF _Toc144361016 \h </w:instrText>
            </w:r>
            <w:r w:rsidR="00FF0B24">
              <w:rPr>
                <w:noProof/>
                <w:webHidden/>
              </w:rPr>
            </w:r>
            <w:r w:rsidR="00FF0B24">
              <w:rPr>
                <w:noProof/>
                <w:webHidden/>
              </w:rPr>
              <w:fldChar w:fldCharType="separate"/>
            </w:r>
            <w:r w:rsidR="00B33E2A">
              <w:rPr>
                <w:noProof/>
                <w:webHidden/>
              </w:rPr>
              <w:t>285</w:t>
            </w:r>
            <w:r w:rsidR="00FF0B24">
              <w:rPr>
                <w:noProof/>
                <w:webHidden/>
              </w:rPr>
              <w:fldChar w:fldCharType="end"/>
            </w:r>
          </w:hyperlink>
        </w:p>
        <w:p w14:paraId="6F00CA59" w14:textId="2C623F7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7" w:history="1">
            <w:r w:rsidR="00FF0B24" w:rsidRPr="00022765">
              <w:rPr>
                <w:rStyle w:val="Hyperlink"/>
                <w:noProof/>
              </w:rPr>
              <w:t>P175 commence avant ou au moment du début de (commence après ou au moment du début de)</w:t>
            </w:r>
            <w:r w:rsidR="00FF0B24">
              <w:rPr>
                <w:noProof/>
                <w:webHidden/>
              </w:rPr>
              <w:tab/>
            </w:r>
            <w:r w:rsidR="00FF0B24">
              <w:rPr>
                <w:noProof/>
                <w:webHidden/>
              </w:rPr>
              <w:fldChar w:fldCharType="begin"/>
            </w:r>
            <w:r w:rsidR="00FF0B24">
              <w:rPr>
                <w:noProof/>
                <w:webHidden/>
              </w:rPr>
              <w:instrText xml:space="preserve"> PAGEREF _Toc144361017 \h </w:instrText>
            </w:r>
            <w:r w:rsidR="00FF0B24">
              <w:rPr>
                <w:noProof/>
                <w:webHidden/>
              </w:rPr>
            </w:r>
            <w:r w:rsidR="00FF0B24">
              <w:rPr>
                <w:noProof/>
                <w:webHidden/>
              </w:rPr>
              <w:fldChar w:fldCharType="separate"/>
            </w:r>
            <w:r w:rsidR="00B33E2A">
              <w:rPr>
                <w:noProof/>
                <w:webHidden/>
              </w:rPr>
              <w:t>287</w:t>
            </w:r>
            <w:r w:rsidR="00FF0B24">
              <w:rPr>
                <w:noProof/>
                <w:webHidden/>
              </w:rPr>
              <w:fldChar w:fldCharType="end"/>
            </w:r>
          </w:hyperlink>
        </w:p>
        <w:p w14:paraId="0C5F9CE4" w14:textId="65FAEC87"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8" w:history="1">
            <w:r w:rsidR="00FF0B24" w:rsidRPr="00022765">
              <w:rPr>
                <w:rStyle w:val="Hyperlink"/>
                <w:noProof/>
              </w:rPr>
              <w:t>P176 commence avant le début de (commence après le début de)</w:t>
            </w:r>
            <w:r w:rsidR="00FF0B24">
              <w:rPr>
                <w:noProof/>
                <w:webHidden/>
              </w:rPr>
              <w:tab/>
            </w:r>
            <w:r w:rsidR="00FF0B24">
              <w:rPr>
                <w:noProof/>
                <w:webHidden/>
              </w:rPr>
              <w:fldChar w:fldCharType="begin"/>
            </w:r>
            <w:r w:rsidR="00FF0B24">
              <w:rPr>
                <w:noProof/>
                <w:webHidden/>
              </w:rPr>
              <w:instrText xml:space="preserve"> PAGEREF _Toc144361018 \h </w:instrText>
            </w:r>
            <w:r w:rsidR="00FF0B24">
              <w:rPr>
                <w:noProof/>
                <w:webHidden/>
              </w:rPr>
            </w:r>
            <w:r w:rsidR="00FF0B24">
              <w:rPr>
                <w:noProof/>
                <w:webHidden/>
              </w:rPr>
              <w:fldChar w:fldCharType="separate"/>
            </w:r>
            <w:r w:rsidR="00B33E2A">
              <w:rPr>
                <w:noProof/>
                <w:webHidden/>
              </w:rPr>
              <w:t>288</w:t>
            </w:r>
            <w:r w:rsidR="00FF0B24">
              <w:rPr>
                <w:noProof/>
                <w:webHidden/>
              </w:rPr>
              <w:fldChar w:fldCharType="end"/>
            </w:r>
          </w:hyperlink>
        </w:p>
        <w:p w14:paraId="4B128150" w14:textId="48D1389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19" w:history="1">
            <w:r w:rsidR="00FF0B24" w:rsidRPr="00022765">
              <w:rPr>
                <w:rStyle w:val="Hyperlink"/>
                <w:noProof/>
              </w:rPr>
              <w:t>P177 a assigné le type de propriété (est le type de propriété assigné)</w:t>
            </w:r>
            <w:r w:rsidR="00FF0B24">
              <w:rPr>
                <w:noProof/>
                <w:webHidden/>
              </w:rPr>
              <w:tab/>
            </w:r>
            <w:r w:rsidR="00FF0B24">
              <w:rPr>
                <w:noProof/>
                <w:webHidden/>
              </w:rPr>
              <w:fldChar w:fldCharType="begin"/>
            </w:r>
            <w:r w:rsidR="00FF0B24">
              <w:rPr>
                <w:noProof/>
                <w:webHidden/>
              </w:rPr>
              <w:instrText xml:space="preserve"> PAGEREF _Toc144361019 \h </w:instrText>
            </w:r>
            <w:r w:rsidR="00FF0B24">
              <w:rPr>
                <w:noProof/>
                <w:webHidden/>
              </w:rPr>
            </w:r>
            <w:r w:rsidR="00FF0B24">
              <w:rPr>
                <w:noProof/>
                <w:webHidden/>
              </w:rPr>
              <w:fldChar w:fldCharType="separate"/>
            </w:r>
            <w:r w:rsidR="00B33E2A">
              <w:rPr>
                <w:noProof/>
                <w:webHidden/>
              </w:rPr>
              <w:t>290</w:t>
            </w:r>
            <w:r w:rsidR="00FF0B24">
              <w:rPr>
                <w:noProof/>
                <w:webHidden/>
              </w:rPr>
              <w:fldChar w:fldCharType="end"/>
            </w:r>
          </w:hyperlink>
        </w:p>
        <w:p w14:paraId="1FF7B387" w14:textId="228ACD74"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0" w:history="1">
            <w:r w:rsidR="00FF0B24" w:rsidRPr="00022765">
              <w:rPr>
                <w:rStyle w:val="Hyperlink"/>
                <w:noProof/>
              </w:rPr>
              <w:t>P179 a eu pour prix de vente (a été le prix de vente de)</w:t>
            </w:r>
            <w:r w:rsidR="00FF0B24">
              <w:rPr>
                <w:noProof/>
                <w:webHidden/>
              </w:rPr>
              <w:tab/>
            </w:r>
            <w:r w:rsidR="00FF0B24">
              <w:rPr>
                <w:noProof/>
                <w:webHidden/>
              </w:rPr>
              <w:fldChar w:fldCharType="begin"/>
            </w:r>
            <w:r w:rsidR="00FF0B24">
              <w:rPr>
                <w:noProof/>
                <w:webHidden/>
              </w:rPr>
              <w:instrText xml:space="preserve"> PAGEREF _Toc144361020 \h </w:instrText>
            </w:r>
            <w:r w:rsidR="00FF0B24">
              <w:rPr>
                <w:noProof/>
                <w:webHidden/>
              </w:rPr>
            </w:r>
            <w:r w:rsidR="00FF0B24">
              <w:rPr>
                <w:noProof/>
                <w:webHidden/>
              </w:rPr>
              <w:fldChar w:fldCharType="separate"/>
            </w:r>
            <w:r w:rsidR="00B33E2A">
              <w:rPr>
                <w:noProof/>
                <w:webHidden/>
              </w:rPr>
              <w:t>292</w:t>
            </w:r>
            <w:r w:rsidR="00FF0B24">
              <w:rPr>
                <w:noProof/>
                <w:webHidden/>
              </w:rPr>
              <w:fldChar w:fldCharType="end"/>
            </w:r>
          </w:hyperlink>
        </w:p>
        <w:p w14:paraId="7CAF173C" w14:textId="7C387EE1"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1" w:history="1">
            <w:r w:rsidR="00FF0B24" w:rsidRPr="00022765">
              <w:rPr>
                <w:rStyle w:val="Hyperlink"/>
                <w:noProof/>
              </w:rPr>
              <w:t>P180 a pour unité monétaire (était l’unité monétaire de)</w:t>
            </w:r>
            <w:r w:rsidR="00FF0B24">
              <w:rPr>
                <w:noProof/>
                <w:webHidden/>
              </w:rPr>
              <w:tab/>
            </w:r>
            <w:r w:rsidR="00FF0B24">
              <w:rPr>
                <w:noProof/>
                <w:webHidden/>
              </w:rPr>
              <w:fldChar w:fldCharType="begin"/>
            </w:r>
            <w:r w:rsidR="00FF0B24">
              <w:rPr>
                <w:noProof/>
                <w:webHidden/>
              </w:rPr>
              <w:instrText xml:space="preserve"> PAGEREF _Toc144361021 \h </w:instrText>
            </w:r>
            <w:r w:rsidR="00FF0B24">
              <w:rPr>
                <w:noProof/>
                <w:webHidden/>
              </w:rPr>
            </w:r>
            <w:r w:rsidR="00FF0B24">
              <w:rPr>
                <w:noProof/>
                <w:webHidden/>
              </w:rPr>
              <w:fldChar w:fldCharType="separate"/>
            </w:r>
            <w:r w:rsidR="00B33E2A">
              <w:rPr>
                <w:noProof/>
                <w:webHidden/>
              </w:rPr>
              <w:t>292</w:t>
            </w:r>
            <w:r w:rsidR="00FF0B24">
              <w:rPr>
                <w:noProof/>
                <w:webHidden/>
              </w:rPr>
              <w:fldChar w:fldCharType="end"/>
            </w:r>
          </w:hyperlink>
        </w:p>
        <w:p w14:paraId="641B46CA" w14:textId="2994B9A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2" w:history="1">
            <w:r w:rsidR="00FF0B24" w:rsidRPr="00022765">
              <w:rPr>
                <w:rStyle w:val="Hyperlink"/>
                <w:noProof/>
              </w:rPr>
              <w:t>P182 se termine avant ou au moment du début de (commence après ou au moment de la fin de)</w:t>
            </w:r>
            <w:r w:rsidR="00FF0B24">
              <w:rPr>
                <w:noProof/>
                <w:webHidden/>
              </w:rPr>
              <w:tab/>
            </w:r>
            <w:r w:rsidR="00FF0B24">
              <w:rPr>
                <w:noProof/>
                <w:webHidden/>
              </w:rPr>
              <w:fldChar w:fldCharType="begin"/>
            </w:r>
            <w:r w:rsidR="00FF0B24">
              <w:rPr>
                <w:noProof/>
                <w:webHidden/>
              </w:rPr>
              <w:instrText xml:space="preserve"> PAGEREF _Toc144361022 \h </w:instrText>
            </w:r>
            <w:r w:rsidR="00FF0B24">
              <w:rPr>
                <w:noProof/>
                <w:webHidden/>
              </w:rPr>
            </w:r>
            <w:r w:rsidR="00FF0B24">
              <w:rPr>
                <w:noProof/>
                <w:webHidden/>
              </w:rPr>
              <w:fldChar w:fldCharType="separate"/>
            </w:r>
            <w:r w:rsidR="00B33E2A">
              <w:rPr>
                <w:noProof/>
                <w:webHidden/>
              </w:rPr>
              <w:t>293</w:t>
            </w:r>
            <w:r w:rsidR="00FF0B24">
              <w:rPr>
                <w:noProof/>
                <w:webHidden/>
              </w:rPr>
              <w:fldChar w:fldCharType="end"/>
            </w:r>
          </w:hyperlink>
        </w:p>
        <w:p w14:paraId="0577A61A" w14:textId="05F7871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3" w:history="1">
            <w:r w:rsidR="00FF0B24" w:rsidRPr="00022765">
              <w:rPr>
                <w:rStyle w:val="Hyperlink"/>
                <w:noProof/>
              </w:rPr>
              <w:t>P183 se termine avant le début de (commence après la fin de)</w:t>
            </w:r>
            <w:r w:rsidR="00FF0B24">
              <w:rPr>
                <w:noProof/>
                <w:webHidden/>
              </w:rPr>
              <w:tab/>
            </w:r>
            <w:r w:rsidR="00FF0B24">
              <w:rPr>
                <w:noProof/>
                <w:webHidden/>
              </w:rPr>
              <w:fldChar w:fldCharType="begin"/>
            </w:r>
            <w:r w:rsidR="00FF0B24">
              <w:rPr>
                <w:noProof/>
                <w:webHidden/>
              </w:rPr>
              <w:instrText xml:space="preserve"> PAGEREF _Toc144361023 \h </w:instrText>
            </w:r>
            <w:r w:rsidR="00FF0B24">
              <w:rPr>
                <w:noProof/>
                <w:webHidden/>
              </w:rPr>
            </w:r>
            <w:r w:rsidR="00FF0B24">
              <w:rPr>
                <w:noProof/>
                <w:webHidden/>
              </w:rPr>
              <w:fldChar w:fldCharType="separate"/>
            </w:r>
            <w:r w:rsidR="00B33E2A">
              <w:rPr>
                <w:noProof/>
                <w:webHidden/>
              </w:rPr>
              <w:t>295</w:t>
            </w:r>
            <w:r w:rsidR="00FF0B24">
              <w:rPr>
                <w:noProof/>
                <w:webHidden/>
              </w:rPr>
              <w:fldChar w:fldCharType="end"/>
            </w:r>
          </w:hyperlink>
        </w:p>
        <w:p w14:paraId="5A2BEA71" w14:textId="6EFEA925"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4" w:history="1">
            <w:r w:rsidR="00FF0B24" w:rsidRPr="00022765">
              <w:rPr>
                <w:rStyle w:val="Hyperlink"/>
                <w:noProof/>
              </w:rPr>
              <w:t>P184 se termine avant ou au moment de la fin de (se termine au moment de ou après la fin de)</w:t>
            </w:r>
            <w:r w:rsidR="00FF0B24">
              <w:rPr>
                <w:noProof/>
                <w:webHidden/>
              </w:rPr>
              <w:tab/>
            </w:r>
            <w:r w:rsidR="00FF0B24">
              <w:rPr>
                <w:noProof/>
                <w:webHidden/>
              </w:rPr>
              <w:fldChar w:fldCharType="begin"/>
            </w:r>
            <w:r w:rsidR="00FF0B24">
              <w:rPr>
                <w:noProof/>
                <w:webHidden/>
              </w:rPr>
              <w:instrText xml:space="preserve"> PAGEREF _Toc144361024 \h </w:instrText>
            </w:r>
            <w:r w:rsidR="00FF0B24">
              <w:rPr>
                <w:noProof/>
                <w:webHidden/>
              </w:rPr>
            </w:r>
            <w:r w:rsidR="00FF0B24">
              <w:rPr>
                <w:noProof/>
                <w:webHidden/>
              </w:rPr>
              <w:fldChar w:fldCharType="separate"/>
            </w:r>
            <w:r w:rsidR="00B33E2A">
              <w:rPr>
                <w:noProof/>
                <w:webHidden/>
              </w:rPr>
              <w:t>296</w:t>
            </w:r>
            <w:r w:rsidR="00FF0B24">
              <w:rPr>
                <w:noProof/>
                <w:webHidden/>
              </w:rPr>
              <w:fldChar w:fldCharType="end"/>
            </w:r>
          </w:hyperlink>
        </w:p>
        <w:p w14:paraId="61CDD753" w14:textId="6F33732B"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5" w:history="1">
            <w:r w:rsidR="00FF0B24" w:rsidRPr="00022765">
              <w:rPr>
                <w:rStyle w:val="Hyperlink"/>
                <w:noProof/>
              </w:rPr>
              <w:t>P185 se termine avant la fin de (se termine après la fin de)</w:t>
            </w:r>
            <w:r w:rsidR="00FF0B24">
              <w:rPr>
                <w:noProof/>
                <w:webHidden/>
              </w:rPr>
              <w:tab/>
            </w:r>
            <w:r w:rsidR="00FF0B24">
              <w:rPr>
                <w:noProof/>
                <w:webHidden/>
              </w:rPr>
              <w:fldChar w:fldCharType="begin"/>
            </w:r>
            <w:r w:rsidR="00FF0B24">
              <w:rPr>
                <w:noProof/>
                <w:webHidden/>
              </w:rPr>
              <w:instrText xml:space="preserve"> PAGEREF _Toc144361025 \h </w:instrText>
            </w:r>
            <w:r w:rsidR="00FF0B24">
              <w:rPr>
                <w:noProof/>
                <w:webHidden/>
              </w:rPr>
            </w:r>
            <w:r w:rsidR="00FF0B24">
              <w:rPr>
                <w:noProof/>
                <w:webHidden/>
              </w:rPr>
              <w:fldChar w:fldCharType="separate"/>
            </w:r>
            <w:r w:rsidR="00B33E2A">
              <w:rPr>
                <w:noProof/>
                <w:webHidden/>
              </w:rPr>
              <w:t>298</w:t>
            </w:r>
            <w:r w:rsidR="00FF0B24">
              <w:rPr>
                <w:noProof/>
                <w:webHidden/>
              </w:rPr>
              <w:fldChar w:fldCharType="end"/>
            </w:r>
          </w:hyperlink>
        </w:p>
        <w:p w14:paraId="30CA8908" w14:textId="6B20F60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6" w:history="1">
            <w:r w:rsidR="00FF0B24" w:rsidRPr="00022765">
              <w:rPr>
                <w:rStyle w:val="Hyperlink"/>
                <w:noProof/>
              </w:rPr>
              <w:t>P186 a produit la chose du type (est produit par)</w:t>
            </w:r>
            <w:r w:rsidR="00FF0B24">
              <w:rPr>
                <w:noProof/>
                <w:webHidden/>
              </w:rPr>
              <w:tab/>
            </w:r>
            <w:r w:rsidR="00FF0B24">
              <w:rPr>
                <w:noProof/>
                <w:webHidden/>
              </w:rPr>
              <w:fldChar w:fldCharType="begin"/>
            </w:r>
            <w:r w:rsidR="00FF0B24">
              <w:rPr>
                <w:noProof/>
                <w:webHidden/>
              </w:rPr>
              <w:instrText xml:space="preserve"> PAGEREF _Toc144361026 \h </w:instrText>
            </w:r>
            <w:r w:rsidR="00FF0B24">
              <w:rPr>
                <w:noProof/>
                <w:webHidden/>
              </w:rPr>
            </w:r>
            <w:r w:rsidR="00FF0B24">
              <w:rPr>
                <w:noProof/>
                <w:webHidden/>
              </w:rPr>
              <w:fldChar w:fldCharType="separate"/>
            </w:r>
            <w:r w:rsidR="00B33E2A">
              <w:rPr>
                <w:noProof/>
                <w:webHidden/>
              </w:rPr>
              <w:t>300</w:t>
            </w:r>
            <w:r w:rsidR="00FF0B24">
              <w:rPr>
                <w:noProof/>
                <w:webHidden/>
              </w:rPr>
              <w:fldChar w:fldCharType="end"/>
            </w:r>
          </w:hyperlink>
        </w:p>
        <w:p w14:paraId="64F7D7BD" w14:textId="21EA1E5D"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7" w:history="1">
            <w:r w:rsidR="00FF0B24" w:rsidRPr="00022765">
              <w:rPr>
                <w:rStyle w:val="Hyperlink"/>
                <w:noProof/>
              </w:rPr>
              <w:t>P187 a pour plan de production (est le plan de production de)</w:t>
            </w:r>
            <w:r w:rsidR="00FF0B24">
              <w:rPr>
                <w:noProof/>
                <w:webHidden/>
              </w:rPr>
              <w:tab/>
            </w:r>
            <w:r w:rsidR="00FF0B24">
              <w:rPr>
                <w:noProof/>
                <w:webHidden/>
              </w:rPr>
              <w:fldChar w:fldCharType="begin"/>
            </w:r>
            <w:r w:rsidR="00FF0B24">
              <w:rPr>
                <w:noProof/>
                <w:webHidden/>
              </w:rPr>
              <w:instrText xml:space="preserve"> PAGEREF _Toc144361027 \h </w:instrText>
            </w:r>
            <w:r w:rsidR="00FF0B24">
              <w:rPr>
                <w:noProof/>
                <w:webHidden/>
              </w:rPr>
            </w:r>
            <w:r w:rsidR="00FF0B24">
              <w:rPr>
                <w:noProof/>
                <w:webHidden/>
              </w:rPr>
              <w:fldChar w:fldCharType="separate"/>
            </w:r>
            <w:r w:rsidR="00B33E2A">
              <w:rPr>
                <w:noProof/>
                <w:webHidden/>
              </w:rPr>
              <w:t>300</w:t>
            </w:r>
            <w:r w:rsidR="00FF0B24">
              <w:rPr>
                <w:noProof/>
                <w:webHidden/>
              </w:rPr>
              <w:fldChar w:fldCharType="end"/>
            </w:r>
          </w:hyperlink>
        </w:p>
        <w:p w14:paraId="131C53B7" w14:textId="46B095B0"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8" w:history="1">
            <w:r w:rsidR="00FF0B24" w:rsidRPr="00022765">
              <w:rPr>
                <w:rStyle w:val="Hyperlink"/>
                <w:noProof/>
              </w:rPr>
              <w:t>P188 nécessite l'outil (est l'outil de production de)</w:t>
            </w:r>
            <w:r w:rsidR="00FF0B24">
              <w:rPr>
                <w:noProof/>
                <w:webHidden/>
              </w:rPr>
              <w:tab/>
            </w:r>
            <w:r w:rsidR="00FF0B24">
              <w:rPr>
                <w:noProof/>
                <w:webHidden/>
              </w:rPr>
              <w:fldChar w:fldCharType="begin"/>
            </w:r>
            <w:r w:rsidR="00FF0B24">
              <w:rPr>
                <w:noProof/>
                <w:webHidden/>
              </w:rPr>
              <w:instrText xml:space="preserve"> PAGEREF _Toc144361028 \h </w:instrText>
            </w:r>
            <w:r w:rsidR="00FF0B24">
              <w:rPr>
                <w:noProof/>
                <w:webHidden/>
              </w:rPr>
            </w:r>
            <w:r w:rsidR="00FF0B24">
              <w:rPr>
                <w:noProof/>
                <w:webHidden/>
              </w:rPr>
              <w:fldChar w:fldCharType="separate"/>
            </w:r>
            <w:r w:rsidR="00B33E2A">
              <w:rPr>
                <w:noProof/>
                <w:webHidden/>
              </w:rPr>
              <w:t>301</w:t>
            </w:r>
            <w:r w:rsidR="00FF0B24">
              <w:rPr>
                <w:noProof/>
                <w:webHidden/>
              </w:rPr>
              <w:fldChar w:fldCharType="end"/>
            </w:r>
          </w:hyperlink>
        </w:p>
        <w:p w14:paraId="40C45618" w14:textId="548935D6"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29" w:history="1">
            <w:r w:rsidR="00FF0B24" w:rsidRPr="00022765">
              <w:rPr>
                <w:rStyle w:val="Hyperlink"/>
                <w:noProof/>
              </w:rPr>
              <w:t>P189 approxime (est approximé par)</w:t>
            </w:r>
            <w:r w:rsidR="00FF0B24">
              <w:rPr>
                <w:noProof/>
                <w:webHidden/>
              </w:rPr>
              <w:tab/>
            </w:r>
            <w:r w:rsidR="00FF0B24">
              <w:rPr>
                <w:noProof/>
                <w:webHidden/>
              </w:rPr>
              <w:fldChar w:fldCharType="begin"/>
            </w:r>
            <w:r w:rsidR="00FF0B24">
              <w:rPr>
                <w:noProof/>
                <w:webHidden/>
              </w:rPr>
              <w:instrText xml:space="preserve"> PAGEREF _Toc144361029 \h </w:instrText>
            </w:r>
            <w:r w:rsidR="00FF0B24">
              <w:rPr>
                <w:noProof/>
                <w:webHidden/>
              </w:rPr>
            </w:r>
            <w:r w:rsidR="00FF0B24">
              <w:rPr>
                <w:noProof/>
                <w:webHidden/>
              </w:rPr>
              <w:fldChar w:fldCharType="separate"/>
            </w:r>
            <w:r w:rsidR="00B33E2A">
              <w:rPr>
                <w:noProof/>
                <w:webHidden/>
              </w:rPr>
              <w:t>302</w:t>
            </w:r>
            <w:r w:rsidR="00FF0B24">
              <w:rPr>
                <w:noProof/>
                <w:webHidden/>
              </w:rPr>
              <w:fldChar w:fldCharType="end"/>
            </w:r>
          </w:hyperlink>
        </w:p>
        <w:p w14:paraId="47279C8D" w14:textId="5B85A98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0" w:history="1">
            <w:r w:rsidR="00FF0B24" w:rsidRPr="00022765">
              <w:rPr>
                <w:rStyle w:val="Hyperlink"/>
                <w:noProof/>
              </w:rPr>
              <w:t>P190 a pour contenu symbolique</w:t>
            </w:r>
            <w:r w:rsidR="00FF0B24">
              <w:rPr>
                <w:noProof/>
                <w:webHidden/>
              </w:rPr>
              <w:tab/>
            </w:r>
            <w:r w:rsidR="00FF0B24">
              <w:rPr>
                <w:noProof/>
                <w:webHidden/>
              </w:rPr>
              <w:fldChar w:fldCharType="begin"/>
            </w:r>
            <w:r w:rsidR="00FF0B24">
              <w:rPr>
                <w:noProof/>
                <w:webHidden/>
              </w:rPr>
              <w:instrText xml:space="preserve"> PAGEREF _Toc144361030 \h </w:instrText>
            </w:r>
            <w:r w:rsidR="00FF0B24">
              <w:rPr>
                <w:noProof/>
                <w:webHidden/>
              </w:rPr>
            </w:r>
            <w:r w:rsidR="00FF0B24">
              <w:rPr>
                <w:noProof/>
                <w:webHidden/>
              </w:rPr>
              <w:fldChar w:fldCharType="separate"/>
            </w:r>
            <w:r w:rsidR="00B33E2A">
              <w:rPr>
                <w:noProof/>
                <w:webHidden/>
              </w:rPr>
              <w:t>303</w:t>
            </w:r>
            <w:r w:rsidR="00FF0B24">
              <w:rPr>
                <w:noProof/>
                <w:webHidden/>
              </w:rPr>
              <w:fldChar w:fldCharType="end"/>
            </w:r>
          </w:hyperlink>
        </w:p>
        <w:p w14:paraId="55ADB226" w14:textId="305DB65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1" w:history="1">
            <w:r w:rsidR="00FF0B24" w:rsidRPr="00022765">
              <w:rPr>
                <w:rStyle w:val="Hyperlink"/>
                <w:noProof/>
              </w:rPr>
              <w:t>P191 a eu pour durée (était la durée de)</w:t>
            </w:r>
            <w:r w:rsidR="00FF0B24">
              <w:rPr>
                <w:noProof/>
                <w:webHidden/>
              </w:rPr>
              <w:tab/>
            </w:r>
            <w:r w:rsidR="00FF0B24">
              <w:rPr>
                <w:noProof/>
                <w:webHidden/>
              </w:rPr>
              <w:fldChar w:fldCharType="begin"/>
            </w:r>
            <w:r w:rsidR="00FF0B24">
              <w:rPr>
                <w:noProof/>
                <w:webHidden/>
              </w:rPr>
              <w:instrText xml:space="preserve"> PAGEREF _Toc144361031 \h </w:instrText>
            </w:r>
            <w:r w:rsidR="00FF0B24">
              <w:rPr>
                <w:noProof/>
                <w:webHidden/>
              </w:rPr>
            </w:r>
            <w:r w:rsidR="00FF0B24">
              <w:rPr>
                <w:noProof/>
                <w:webHidden/>
              </w:rPr>
              <w:fldChar w:fldCharType="separate"/>
            </w:r>
            <w:r w:rsidR="00B33E2A">
              <w:rPr>
                <w:noProof/>
                <w:webHidden/>
              </w:rPr>
              <w:t>304</w:t>
            </w:r>
            <w:r w:rsidR="00FF0B24">
              <w:rPr>
                <w:noProof/>
                <w:webHidden/>
              </w:rPr>
              <w:fldChar w:fldCharType="end"/>
            </w:r>
          </w:hyperlink>
        </w:p>
        <w:p w14:paraId="03984F59" w14:textId="44B7F88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2" w:history="1">
            <w:r w:rsidR="00FF0B24" w:rsidRPr="00022765">
              <w:rPr>
                <w:rStyle w:val="Hyperlink"/>
                <w:noProof/>
              </w:rPr>
              <w:t>P195 a été une présence de (a eu pour présence)</w:t>
            </w:r>
            <w:r w:rsidR="00FF0B24">
              <w:rPr>
                <w:noProof/>
                <w:webHidden/>
              </w:rPr>
              <w:tab/>
            </w:r>
            <w:r w:rsidR="00FF0B24">
              <w:rPr>
                <w:noProof/>
                <w:webHidden/>
              </w:rPr>
              <w:fldChar w:fldCharType="begin"/>
            </w:r>
            <w:r w:rsidR="00FF0B24">
              <w:rPr>
                <w:noProof/>
                <w:webHidden/>
              </w:rPr>
              <w:instrText xml:space="preserve"> PAGEREF _Toc144361032 \h </w:instrText>
            </w:r>
            <w:r w:rsidR="00FF0B24">
              <w:rPr>
                <w:noProof/>
                <w:webHidden/>
              </w:rPr>
            </w:r>
            <w:r w:rsidR="00FF0B24">
              <w:rPr>
                <w:noProof/>
                <w:webHidden/>
              </w:rPr>
              <w:fldChar w:fldCharType="separate"/>
            </w:r>
            <w:r w:rsidR="00B33E2A">
              <w:rPr>
                <w:noProof/>
                <w:webHidden/>
              </w:rPr>
              <w:t>305</w:t>
            </w:r>
            <w:r w:rsidR="00FF0B24">
              <w:rPr>
                <w:noProof/>
                <w:webHidden/>
              </w:rPr>
              <w:fldChar w:fldCharType="end"/>
            </w:r>
          </w:hyperlink>
        </w:p>
        <w:p w14:paraId="0528C042" w14:textId="5D28493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3" w:history="1">
            <w:r w:rsidR="00FF0B24" w:rsidRPr="00022765">
              <w:rPr>
                <w:rStyle w:val="Hyperlink"/>
                <w:noProof/>
              </w:rPr>
              <w:t>P196 définit (est défini par)</w:t>
            </w:r>
            <w:r w:rsidR="00FF0B24">
              <w:rPr>
                <w:noProof/>
                <w:webHidden/>
              </w:rPr>
              <w:tab/>
            </w:r>
            <w:r w:rsidR="00FF0B24">
              <w:rPr>
                <w:noProof/>
                <w:webHidden/>
              </w:rPr>
              <w:fldChar w:fldCharType="begin"/>
            </w:r>
            <w:r w:rsidR="00FF0B24">
              <w:rPr>
                <w:noProof/>
                <w:webHidden/>
              </w:rPr>
              <w:instrText xml:space="preserve"> PAGEREF _Toc144361033 \h </w:instrText>
            </w:r>
            <w:r w:rsidR="00FF0B24">
              <w:rPr>
                <w:noProof/>
                <w:webHidden/>
              </w:rPr>
            </w:r>
            <w:r w:rsidR="00FF0B24">
              <w:rPr>
                <w:noProof/>
                <w:webHidden/>
              </w:rPr>
              <w:fldChar w:fldCharType="separate"/>
            </w:r>
            <w:r w:rsidR="00B33E2A">
              <w:rPr>
                <w:noProof/>
                <w:webHidden/>
              </w:rPr>
              <w:t>306</w:t>
            </w:r>
            <w:r w:rsidR="00FF0B24">
              <w:rPr>
                <w:noProof/>
                <w:webHidden/>
              </w:rPr>
              <w:fldChar w:fldCharType="end"/>
            </w:r>
          </w:hyperlink>
        </w:p>
        <w:p w14:paraId="07645CED" w14:textId="1526A4E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4" w:history="1">
            <w:r w:rsidR="00FF0B24" w:rsidRPr="00022765">
              <w:rPr>
                <w:rStyle w:val="Hyperlink"/>
                <w:noProof/>
              </w:rPr>
              <w:t>P197 a couvert des parties de (a été partiellement couvert par)</w:t>
            </w:r>
            <w:r w:rsidR="00FF0B24">
              <w:rPr>
                <w:noProof/>
                <w:webHidden/>
              </w:rPr>
              <w:tab/>
            </w:r>
            <w:r w:rsidR="00FF0B24">
              <w:rPr>
                <w:noProof/>
                <w:webHidden/>
              </w:rPr>
              <w:fldChar w:fldCharType="begin"/>
            </w:r>
            <w:r w:rsidR="00FF0B24">
              <w:rPr>
                <w:noProof/>
                <w:webHidden/>
              </w:rPr>
              <w:instrText xml:space="preserve"> PAGEREF _Toc144361034 \h </w:instrText>
            </w:r>
            <w:r w:rsidR="00FF0B24">
              <w:rPr>
                <w:noProof/>
                <w:webHidden/>
              </w:rPr>
            </w:r>
            <w:r w:rsidR="00FF0B24">
              <w:rPr>
                <w:noProof/>
                <w:webHidden/>
              </w:rPr>
              <w:fldChar w:fldCharType="separate"/>
            </w:r>
            <w:r w:rsidR="00B33E2A">
              <w:rPr>
                <w:noProof/>
                <w:webHidden/>
              </w:rPr>
              <w:t>307</w:t>
            </w:r>
            <w:r w:rsidR="00FF0B24">
              <w:rPr>
                <w:noProof/>
                <w:webHidden/>
              </w:rPr>
              <w:fldChar w:fldCharType="end"/>
            </w:r>
          </w:hyperlink>
        </w:p>
        <w:p w14:paraId="304DA55F" w14:textId="0987B498"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5" w:history="1">
            <w:r w:rsidR="00FF0B24" w:rsidRPr="00022765">
              <w:rPr>
                <w:rStyle w:val="Hyperlink"/>
                <w:noProof/>
              </w:rPr>
              <w:t>P198 contient ou soutient (est contenu ou soutenu par)</w:t>
            </w:r>
            <w:r w:rsidR="00FF0B24">
              <w:rPr>
                <w:noProof/>
                <w:webHidden/>
              </w:rPr>
              <w:tab/>
            </w:r>
            <w:r w:rsidR="00FF0B24">
              <w:rPr>
                <w:noProof/>
                <w:webHidden/>
              </w:rPr>
              <w:fldChar w:fldCharType="begin"/>
            </w:r>
            <w:r w:rsidR="00FF0B24">
              <w:rPr>
                <w:noProof/>
                <w:webHidden/>
              </w:rPr>
              <w:instrText xml:space="preserve"> PAGEREF _Toc144361035 \h </w:instrText>
            </w:r>
            <w:r w:rsidR="00FF0B24">
              <w:rPr>
                <w:noProof/>
                <w:webHidden/>
              </w:rPr>
            </w:r>
            <w:r w:rsidR="00FF0B24">
              <w:rPr>
                <w:noProof/>
                <w:webHidden/>
              </w:rPr>
              <w:fldChar w:fldCharType="separate"/>
            </w:r>
            <w:r w:rsidR="00B33E2A">
              <w:rPr>
                <w:noProof/>
                <w:webHidden/>
              </w:rPr>
              <w:t>308</w:t>
            </w:r>
            <w:r w:rsidR="00FF0B24">
              <w:rPr>
                <w:noProof/>
                <w:webHidden/>
              </w:rPr>
              <w:fldChar w:fldCharType="end"/>
            </w:r>
          </w:hyperlink>
        </w:p>
        <w:p w14:paraId="2DCE0CF9" w14:textId="3468CF63"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6" w:history="1">
            <w:r w:rsidR="00FF0B24" w:rsidRPr="00022765">
              <w:rPr>
                <w:rStyle w:val="Hyperlink"/>
                <w:noProof/>
              </w:rPr>
              <w:t>Bibliographie originale</w:t>
            </w:r>
            <w:r w:rsidR="00FF0B24">
              <w:rPr>
                <w:noProof/>
                <w:webHidden/>
              </w:rPr>
              <w:tab/>
            </w:r>
            <w:r w:rsidR="00FF0B24">
              <w:rPr>
                <w:noProof/>
                <w:webHidden/>
              </w:rPr>
              <w:fldChar w:fldCharType="begin"/>
            </w:r>
            <w:r w:rsidR="00FF0B24">
              <w:rPr>
                <w:noProof/>
                <w:webHidden/>
              </w:rPr>
              <w:instrText xml:space="preserve"> PAGEREF _Toc144361036 \h </w:instrText>
            </w:r>
            <w:r w:rsidR="00FF0B24">
              <w:rPr>
                <w:noProof/>
                <w:webHidden/>
              </w:rPr>
            </w:r>
            <w:r w:rsidR="00FF0B24">
              <w:rPr>
                <w:noProof/>
                <w:webHidden/>
              </w:rPr>
              <w:fldChar w:fldCharType="separate"/>
            </w:r>
            <w:r w:rsidR="00B33E2A">
              <w:rPr>
                <w:noProof/>
                <w:webHidden/>
              </w:rPr>
              <w:t>310</w:t>
            </w:r>
            <w:r w:rsidR="00FF0B24">
              <w:rPr>
                <w:noProof/>
                <w:webHidden/>
              </w:rPr>
              <w:fldChar w:fldCharType="end"/>
            </w:r>
          </w:hyperlink>
        </w:p>
        <w:p w14:paraId="54D46FAB" w14:textId="05F065EE"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7" w:history="1">
            <w:r w:rsidR="00FF0B24" w:rsidRPr="00022765">
              <w:rPr>
                <w:rStyle w:val="Hyperlink"/>
                <w:noProof/>
              </w:rPr>
              <w:t>Bibliographie de la traduction</w:t>
            </w:r>
            <w:r w:rsidR="00FF0B24">
              <w:rPr>
                <w:noProof/>
                <w:webHidden/>
              </w:rPr>
              <w:tab/>
            </w:r>
            <w:r w:rsidR="00FF0B24">
              <w:rPr>
                <w:noProof/>
                <w:webHidden/>
              </w:rPr>
              <w:fldChar w:fldCharType="begin"/>
            </w:r>
            <w:r w:rsidR="00FF0B24">
              <w:rPr>
                <w:noProof/>
                <w:webHidden/>
              </w:rPr>
              <w:instrText xml:space="preserve"> PAGEREF _Toc144361037 \h </w:instrText>
            </w:r>
            <w:r w:rsidR="00FF0B24">
              <w:rPr>
                <w:noProof/>
                <w:webHidden/>
              </w:rPr>
            </w:r>
            <w:r w:rsidR="00FF0B24">
              <w:rPr>
                <w:noProof/>
                <w:webHidden/>
              </w:rPr>
              <w:fldChar w:fldCharType="separate"/>
            </w:r>
            <w:r w:rsidR="00B33E2A">
              <w:rPr>
                <w:noProof/>
                <w:webHidden/>
              </w:rPr>
              <w:t>322</w:t>
            </w:r>
            <w:r w:rsidR="00FF0B24">
              <w:rPr>
                <w:noProof/>
                <w:webHidden/>
              </w:rPr>
              <w:fldChar w:fldCharType="end"/>
            </w:r>
          </w:hyperlink>
        </w:p>
        <w:p w14:paraId="74CCCA56" w14:textId="27822EA4" w:rsidR="00FF0B24" w:rsidRDefault="000467B7">
          <w:pPr>
            <w:pStyle w:val="TOC1"/>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8" w:history="1">
            <w:r w:rsidR="00FF0B24" w:rsidRPr="00022765">
              <w:rPr>
                <w:rStyle w:val="Hyperlink"/>
                <w:noProof/>
              </w:rPr>
              <w:t>Annexe</w:t>
            </w:r>
            <w:r w:rsidR="00FF0B24">
              <w:rPr>
                <w:noProof/>
                <w:webHidden/>
              </w:rPr>
              <w:tab/>
            </w:r>
            <w:r w:rsidR="00FF0B24">
              <w:rPr>
                <w:noProof/>
                <w:webHidden/>
              </w:rPr>
              <w:fldChar w:fldCharType="begin"/>
            </w:r>
            <w:r w:rsidR="00FF0B24">
              <w:rPr>
                <w:noProof/>
                <w:webHidden/>
              </w:rPr>
              <w:instrText xml:space="preserve"> PAGEREF _Toc144361038 \h </w:instrText>
            </w:r>
            <w:r w:rsidR="00FF0B24">
              <w:rPr>
                <w:noProof/>
                <w:webHidden/>
              </w:rPr>
            </w:r>
            <w:r w:rsidR="00FF0B24">
              <w:rPr>
                <w:noProof/>
                <w:webHidden/>
              </w:rPr>
              <w:fldChar w:fldCharType="separate"/>
            </w:r>
            <w:r w:rsidR="00B33E2A">
              <w:rPr>
                <w:noProof/>
                <w:webHidden/>
              </w:rPr>
              <w:t>329</w:t>
            </w:r>
            <w:r w:rsidR="00FF0B24">
              <w:rPr>
                <w:noProof/>
                <w:webHidden/>
              </w:rPr>
              <w:fldChar w:fldCharType="end"/>
            </w:r>
          </w:hyperlink>
        </w:p>
        <w:p w14:paraId="6F7B2F90" w14:textId="73D9CD8C"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39" w:history="1">
            <w:r w:rsidR="00FF0B24" w:rsidRPr="00022765">
              <w:rPr>
                <w:rStyle w:val="Hyperlink"/>
                <w:noProof/>
              </w:rPr>
              <w:t>Classes et propriétés dépréciées</w:t>
            </w:r>
            <w:r w:rsidR="00FF0B24">
              <w:rPr>
                <w:noProof/>
                <w:webHidden/>
              </w:rPr>
              <w:tab/>
            </w:r>
            <w:r w:rsidR="00FF0B24">
              <w:rPr>
                <w:noProof/>
                <w:webHidden/>
              </w:rPr>
              <w:fldChar w:fldCharType="begin"/>
            </w:r>
            <w:r w:rsidR="00FF0B24">
              <w:rPr>
                <w:noProof/>
                <w:webHidden/>
              </w:rPr>
              <w:instrText xml:space="preserve"> PAGEREF _Toc144361039 \h </w:instrText>
            </w:r>
            <w:r w:rsidR="00FF0B24">
              <w:rPr>
                <w:noProof/>
                <w:webHidden/>
              </w:rPr>
            </w:r>
            <w:r w:rsidR="00FF0B24">
              <w:rPr>
                <w:noProof/>
                <w:webHidden/>
              </w:rPr>
              <w:fldChar w:fldCharType="separate"/>
            </w:r>
            <w:r w:rsidR="00B33E2A">
              <w:rPr>
                <w:noProof/>
                <w:webHidden/>
              </w:rPr>
              <w:t>329</w:t>
            </w:r>
            <w:r w:rsidR="00FF0B24">
              <w:rPr>
                <w:noProof/>
                <w:webHidden/>
              </w:rPr>
              <w:fldChar w:fldCharType="end"/>
            </w:r>
          </w:hyperlink>
        </w:p>
        <w:p w14:paraId="63DC9DEC" w14:textId="360D26AF"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40" w:history="1">
            <w:r w:rsidR="00FF0B24" w:rsidRPr="00022765">
              <w:rPr>
                <w:rStyle w:val="Hyperlink"/>
                <w:noProof/>
              </w:rPr>
              <w:t>Instructions de migration des classes dépréciées</w:t>
            </w:r>
            <w:r w:rsidR="00FF0B24">
              <w:rPr>
                <w:noProof/>
                <w:webHidden/>
              </w:rPr>
              <w:tab/>
            </w:r>
            <w:r w:rsidR="00FF0B24">
              <w:rPr>
                <w:noProof/>
                <w:webHidden/>
              </w:rPr>
              <w:fldChar w:fldCharType="begin"/>
            </w:r>
            <w:r w:rsidR="00FF0B24">
              <w:rPr>
                <w:noProof/>
                <w:webHidden/>
              </w:rPr>
              <w:instrText xml:space="preserve"> PAGEREF _Toc144361040 \h </w:instrText>
            </w:r>
            <w:r w:rsidR="00FF0B24">
              <w:rPr>
                <w:noProof/>
                <w:webHidden/>
              </w:rPr>
            </w:r>
            <w:r w:rsidR="00FF0B24">
              <w:rPr>
                <w:noProof/>
                <w:webHidden/>
              </w:rPr>
              <w:fldChar w:fldCharType="separate"/>
            </w:r>
            <w:r w:rsidR="00B33E2A">
              <w:rPr>
                <w:noProof/>
                <w:webHidden/>
              </w:rPr>
              <w:t>329</w:t>
            </w:r>
            <w:r w:rsidR="00FF0B24">
              <w:rPr>
                <w:noProof/>
                <w:webHidden/>
              </w:rPr>
              <w:fldChar w:fldCharType="end"/>
            </w:r>
          </w:hyperlink>
        </w:p>
        <w:p w14:paraId="21A35541" w14:textId="411A785E"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41" w:history="1">
            <w:r w:rsidR="00FF0B24" w:rsidRPr="00022765">
              <w:rPr>
                <w:rStyle w:val="Hyperlink"/>
                <w:noProof/>
              </w:rPr>
              <w:t xml:space="preserve">Instructions de migration pour </w:t>
            </w:r>
            <w:r w:rsidR="00FF0B24" w:rsidRPr="00022765">
              <w:rPr>
                <w:rStyle w:val="Hyperlink"/>
                <w:rFonts w:ascii="Consolas" w:eastAsia="Consolas" w:hAnsi="Consolas" w:cs="Consolas"/>
                <w:noProof/>
                <w:shd w:val="clear" w:color="auto" w:fill="EAEEF3"/>
              </w:rPr>
              <w:t>E81_Transformation</w:t>
            </w:r>
            <w:r w:rsidR="00FF0B24" w:rsidRPr="00022765">
              <w:rPr>
                <w:rStyle w:val="Hyperlink"/>
                <w:noProof/>
              </w:rPr>
              <w:t xml:space="preserve"> (domaine d’application restreint)</w:t>
            </w:r>
            <w:r w:rsidR="00FF0B24">
              <w:rPr>
                <w:noProof/>
                <w:webHidden/>
              </w:rPr>
              <w:tab/>
            </w:r>
            <w:r w:rsidR="00FF0B24">
              <w:rPr>
                <w:noProof/>
                <w:webHidden/>
              </w:rPr>
              <w:fldChar w:fldCharType="begin"/>
            </w:r>
            <w:r w:rsidR="00FF0B24">
              <w:rPr>
                <w:noProof/>
                <w:webHidden/>
              </w:rPr>
              <w:instrText xml:space="preserve"> PAGEREF _Toc144361041 \h </w:instrText>
            </w:r>
            <w:r w:rsidR="00FF0B24">
              <w:rPr>
                <w:noProof/>
                <w:webHidden/>
              </w:rPr>
            </w:r>
            <w:r w:rsidR="00FF0B24">
              <w:rPr>
                <w:noProof/>
                <w:webHidden/>
              </w:rPr>
              <w:fldChar w:fldCharType="separate"/>
            </w:r>
            <w:r w:rsidR="00B33E2A">
              <w:rPr>
                <w:noProof/>
                <w:webHidden/>
              </w:rPr>
              <w:t>330</w:t>
            </w:r>
            <w:r w:rsidR="00FF0B24">
              <w:rPr>
                <w:noProof/>
                <w:webHidden/>
              </w:rPr>
              <w:fldChar w:fldCharType="end"/>
            </w:r>
          </w:hyperlink>
        </w:p>
        <w:p w14:paraId="120A7562" w14:textId="212C853C" w:rsidR="00FF0B24" w:rsidRDefault="000467B7">
          <w:pPr>
            <w:pStyle w:val="TOC3"/>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42" w:history="1">
            <w:r w:rsidR="00FF0B24" w:rsidRPr="00022765">
              <w:rPr>
                <w:rStyle w:val="Hyperlink"/>
                <w:noProof/>
              </w:rPr>
              <w:t>Instructions de migration des propriétés dépréciées</w:t>
            </w:r>
            <w:r w:rsidR="00FF0B24">
              <w:rPr>
                <w:noProof/>
                <w:webHidden/>
              </w:rPr>
              <w:tab/>
            </w:r>
            <w:r w:rsidR="00FF0B24">
              <w:rPr>
                <w:noProof/>
                <w:webHidden/>
              </w:rPr>
              <w:fldChar w:fldCharType="begin"/>
            </w:r>
            <w:r w:rsidR="00FF0B24">
              <w:rPr>
                <w:noProof/>
                <w:webHidden/>
              </w:rPr>
              <w:instrText xml:space="preserve"> PAGEREF _Toc144361042 \h </w:instrText>
            </w:r>
            <w:r w:rsidR="00FF0B24">
              <w:rPr>
                <w:noProof/>
                <w:webHidden/>
              </w:rPr>
            </w:r>
            <w:r w:rsidR="00FF0B24">
              <w:rPr>
                <w:noProof/>
                <w:webHidden/>
              </w:rPr>
              <w:fldChar w:fldCharType="separate"/>
            </w:r>
            <w:r w:rsidR="00B33E2A">
              <w:rPr>
                <w:noProof/>
                <w:webHidden/>
              </w:rPr>
              <w:t>331</w:t>
            </w:r>
            <w:r w:rsidR="00FF0B24">
              <w:rPr>
                <w:noProof/>
                <w:webHidden/>
              </w:rPr>
              <w:fldChar w:fldCharType="end"/>
            </w:r>
          </w:hyperlink>
        </w:p>
        <w:p w14:paraId="3645F11E" w14:textId="51F64B7C" w:rsidR="00FF0B24" w:rsidRDefault="000467B7">
          <w:pPr>
            <w:pStyle w:val="TOC2"/>
            <w:tabs>
              <w:tab w:val="right" w:leader="dot" w:pos="10700"/>
            </w:tabs>
            <w:rPr>
              <w:rFonts w:asciiTheme="minorHAnsi" w:eastAsiaTheme="minorEastAsia" w:hAnsiTheme="minorHAnsi" w:cstheme="minorBidi"/>
              <w:noProof/>
              <w:kern w:val="2"/>
              <w:sz w:val="22"/>
              <w:szCs w:val="22"/>
              <w:lang w:eastAsia="fr-CA"/>
              <w14:ligatures w14:val="standardContextual"/>
            </w:rPr>
          </w:pPr>
          <w:hyperlink w:anchor="_Toc144361043" w:history="1">
            <w:r w:rsidR="00FF0B24" w:rsidRPr="00022765">
              <w:rPr>
                <w:rStyle w:val="Hyperlink"/>
                <w:noProof/>
              </w:rPr>
              <w:t>Modifications</w:t>
            </w:r>
            <w:r w:rsidR="00FF0B24">
              <w:rPr>
                <w:noProof/>
                <w:webHidden/>
              </w:rPr>
              <w:tab/>
            </w:r>
            <w:r w:rsidR="00FF0B24">
              <w:rPr>
                <w:noProof/>
                <w:webHidden/>
              </w:rPr>
              <w:fldChar w:fldCharType="begin"/>
            </w:r>
            <w:r w:rsidR="00FF0B24">
              <w:rPr>
                <w:noProof/>
                <w:webHidden/>
              </w:rPr>
              <w:instrText xml:space="preserve"> PAGEREF _Toc144361043 \h </w:instrText>
            </w:r>
            <w:r w:rsidR="00FF0B24">
              <w:rPr>
                <w:noProof/>
                <w:webHidden/>
              </w:rPr>
            </w:r>
            <w:r w:rsidR="00FF0B24">
              <w:rPr>
                <w:noProof/>
                <w:webHidden/>
              </w:rPr>
              <w:fldChar w:fldCharType="separate"/>
            </w:r>
            <w:r w:rsidR="00B33E2A">
              <w:rPr>
                <w:noProof/>
                <w:webHidden/>
              </w:rPr>
              <w:t>333</w:t>
            </w:r>
            <w:r w:rsidR="00FF0B24">
              <w:rPr>
                <w:noProof/>
                <w:webHidden/>
              </w:rPr>
              <w:fldChar w:fldCharType="end"/>
            </w:r>
          </w:hyperlink>
        </w:p>
        <w:p w14:paraId="1F69EFA9" w14:textId="343FCE70" w:rsidR="00EE61A5" w:rsidRDefault="00EE61A5">
          <w:r>
            <w:rPr>
              <w:b/>
              <w:bCs/>
              <w:noProof/>
            </w:rPr>
            <w:fldChar w:fldCharType="end"/>
          </w:r>
        </w:p>
      </w:sdtContent>
    </w:sdt>
    <w:p w14:paraId="25163D62" w14:textId="77777777" w:rsidR="00EE61A5" w:rsidRPr="00EE61A5" w:rsidRDefault="00EE61A5" w:rsidP="00EE61A5">
      <w:pPr>
        <w:pStyle w:val="BodyText"/>
      </w:pPr>
    </w:p>
    <w:p w14:paraId="21E2D591" w14:textId="77777777" w:rsidR="00EE61A5" w:rsidRDefault="00EE61A5">
      <w:pPr>
        <w:rPr>
          <w:rFonts w:eastAsiaTheme="majorEastAsia" w:cstheme="majorBidi"/>
          <w:b/>
          <w:bCs/>
          <w:color w:val="00193A"/>
          <w:sz w:val="36"/>
          <w:szCs w:val="36"/>
        </w:rPr>
      </w:pPr>
      <w:r>
        <w:rPr>
          <w:b/>
          <w:bCs/>
          <w:color w:val="00193A"/>
        </w:rPr>
        <w:br w:type="page"/>
      </w:r>
    </w:p>
    <w:p w14:paraId="3F8ADCE4" w14:textId="32D7F51B" w:rsidR="00EE61A5" w:rsidRDefault="00EE61A5" w:rsidP="00EE61A5">
      <w:pPr>
        <w:pStyle w:val="Heading1"/>
        <w:spacing w:before="240" w:after="200"/>
        <w:jc w:val="both"/>
      </w:pPr>
      <w:bookmarkStart w:id="4" w:name="_Toc144360761"/>
      <w:r>
        <w:rPr>
          <w:b/>
          <w:bCs/>
          <w:color w:val="00193A"/>
        </w:rPr>
        <w:lastRenderedPageBreak/>
        <w:t>Préface des traducteur·trice·s</w:t>
      </w:r>
      <w:bookmarkEnd w:id="4"/>
    </w:p>
    <w:p w14:paraId="03315731" w14:textId="7B313FBA" w:rsidR="00EE61A5" w:rsidRDefault="00EE61A5" w:rsidP="00EE61A5">
      <w:pPr>
        <w:pStyle w:val="NormalWeb"/>
        <w:spacing w:before="0" w:beforeAutospacing="0" w:after="0" w:afterAutospacing="0"/>
        <w:jc w:val="both"/>
        <w:rPr>
          <w:rFonts w:ascii="Cambria" w:hAnsi="Cambria"/>
          <w:color w:val="000000"/>
          <w:lang w:val="fr-CA"/>
        </w:rPr>
      </w:pPr>
      <w:r w:rsidRPr="00EE61A5">
        <w:rPr>
          <w:rFonts w:ascii="Cambria" w:hAnsi="Cambria"/>
          <w:color w:val="000000"/>
          <w:lang w:val="fr-CA"/>
        </w:rPr>
        <w:t>Le Modèle conceptuel de référence du Comité international pour la documentation du Conseil international des musées (ci-après « CIDOC CRM ») est la norme qu’utilisent de nombreuses organisations patrimoniales pour l’échange et l’intégration des jeux de données et des spécifications relatifs aux collections muséales. À l’heure actuelle, il est développé et maintenu à jour exclusivement en anglais par le CRM SIG, un sous-groupe du Conseil international des musées (ICOM). Or, une réutilisation de contenus sémantiques francophones repose en grande partie, et pour beaucoup d’organisations, sur la disponibilité d’une version traduite à jour et réutilisable du CIDOC CRM. </w:t>
      </w:r>
    </w:p>
    <w:p w14:paraId="0C1671CB" w14:textId="77777777" w:rsidR="00EE61A5" w:rsidRPr="00EE61A5" w:rsidRDefault="00EE61A5" w:rsidP="00EE61A5">
      <w:pPr>
        <w:pStyle w:val="NormalWeb"/>
        <w:spacing w:before="0" w:beforeAutospacing="0" w:after="0" w:afterAutospacing="0"/>
        <w:jc w:val="both"/>
        <w:rPr>
          <w:lang w:val="fr-CA"/>
        </w:rPr>
      </w:pPr>
    </w:p>
    <w:p w14:paraId="44023792" w14:textId="404562C8" w:rsidR="00EE61A5" w:rsidRDefault="00EE61A5" w:rsidP="00EE61A5">
      <w:pPr>
        <w:pStyle w:val="NormalWeb"/>
        <w:spacing w:before="0" w:beforeAutospacing="0" w:after="0" w:afterAutospacing="0"/>
        <w:jc w:val="both"/>
        <w:rPr>
          <w:rFonts w:ascii="Cambria" w:hAnsi="Cambria"/>
          <w:color w:val="000000"/>
          <w:lang w:val="fr-CA"/>
        </w:rPr>
      </w:pPr>
      <w:r w:rsidRPr="00EE61A5">
        <w:rPr>
          <w:rFonts w:ascii="Cambria" w:hAnsi="Cambria"/>
          <w:color w:val="000000"/>
          <w:lang w:val="fr-CA"/>
        </w:rPr>
        <w:t>C'est l'objectif de cette traduction que d'offrir une version en français stable, rigoureuse et accessible à la communauté patrimoniale. Elle a été réalisée par un regroupement de professionnels dont l'expertise porte sur les données ouvertes et liées, le patrimoine, la traduction, le catalogage ainsi que l'analyse de données muséales. </w:t>
      </w:r>
    </w:p>
    <w:p w14:paraId="22F5F294" w14:textId="77777777" w:rsidR="00EE61A5" w:rsidRPr="00EE61A5" w:rsidRDefault="00EE61A5" w:rsidP="00EE61A5">
      <w:pPr>
        <w:pStyle w:val="NormalWeb"/>
        <w:spacing w:before="0" w:beforeAutospacing="0" w:after="0" w:afterAutospacing="0"/>
        <w:jc w:val="both"/>
        <w:rPr>
          <w:lang w:val="fr-CA"/>
        </w:rPr>
      </w:pPr>
    </w:p>
    <w:p w14:paraId="241AAA91" w14:textId="541838BC" w:rsidR="00EE61A5" w:rsidRPr="00EE61A5" w:rsidRDefault="00EE61A5" w:rsidP="00EE61A5">
      <w:pPr>
        <w:pStyle w:val="NormalWeb"/>
        <w:spacing w:before="0" w:beforeAutospacing="0" w:after="0" w:afterAutospacing="0"/>
        <w:jc w:val="both"/>
        <w:rPr>
          <w:lang w:val="fr-CA"/>
        </w:rPr>
      </w:pPr>
      <w:r w:rsidRPr="00EE61A5">
        <w:rPr>
          <w:rFonts w:ascii="Cambria" w:hAnsi="Cambria"/>
          <w:color w:val="000000"/>
          <w:lang w:val="fr-CA"/>
        </w:rPr>
        <w:t>Les termes et formulations choisis font l’objet de recherches et de discussions exhaustives qui sont, lorsque c’est pertinent, recensées dans les sections consacrées aux notes de traduction de chaque tableau. Ces choix ne sont donc pas arbitraires et reposent d’abord et avant tout sur les quatre principes suivants:</w:t>
      </w:r>
    </w:p>
    <w:p w14:paraId="2E0E3DF1" w14:textId="77777777" w:rsidR="00EE61A5" w:rsidRPr="00EE61A5" w:rsidRDefault="00EE61A5" w:rsidP="00EE61A5">
      <w:pPr>
        <w:pStyle w:val="NormalWeb"/>
        <w:numPr>
          <w:ilvl w:val="0"/>
          <w:numId w:val="46"/>
        </w:numPr>
        <w:spacing w:before="0" w:beforeAutospacing="0" w:after="0" w:afterAutospacing="0"/>
        <w:jc w:val="both"/>
        <w:textAlignment w:val="baseline"/>
        <w:rPr>
          <w:rFonts w:ascii="Cambria" w:hAnsi="Cambria"/>
          <w:color w:val="000000"/>
          <w:lang w:val="fr-CA"/>
        </w:rPr>
      </w:pPr>
      <w:r w:rsidRPr="00EE61A5">
        <w:rPr>
          <w:rFonts w:ascii="Cambria" w:hAnsi="Cambria"/>
          <w:color w:val="000000"/>
          <w:lang w:val="fr-CA"/>
        </w:rPr>
        <w:t>Signification (c.-à-d. transmission du sens initial du texte plutôt que reproduction d'un équivalent littéral en français); </w:t>
      </w:r>
    </w:p>
    <w:p w14:paraId="736B020B" w14:textId="77777777" w:rsidR="00EE61A5" w:rsidRPr="00EE61A5" w:rsidRDefault="00EE61A5" w:rsidP="00EE61A5">
      <w:pPr>
        <w:pStyle w:val="NormalWeb"/>
        <w:numPr>
          <w:ilvl w:val="0"/>
          <w:numId w:val="46"/>
        </w:numPr>
        <w:spacing w:before="0" w:beforeAutospacing="0" w:after="0" w:afterAutospacing="0"/>
        <w:jc w:val="both"/>
        <w:textAlignment w:val="baseline"/>
        <w:rPr>
          <w:rFonts w:ascii="Cambria" w:hAnsi="Cambria"/>
          <w:color w:val="000000"/>
          <w:lang w:val="fr-CA"/>
        </w:rPr>
      </w:pPr>
      <w:r w:rsidRPr="00EE61A5">
        <w:rPr>
          <w:rFonts w:ascii="Cambria" w:hAnsi="Cambria"/>
          <w:color w:val="000000"/>
          <w:lang w:val="fr-CA"/>
        </w:rPr>
        <w:t>Précision (c.-à-d. choix des termes les plus appropriés de manière uniforme et ajout de notes explicatives au sein du texte lorsque cela s’avère nécessaire); </w:t>
      </w:r>
    </w:p>
    <w:p w14:paraId="6B3A4260" w14:textId="77777777" w:rsidR="00EE61A5" w:rsidRPr="00EE61A5" w:rsidRDefault="00EE61A5" w:rsidP="00EE61A5">
      <w:pPr>
        <w:pStyle w:val="NormalWeb"/>
        <w:numPr>
          <w:ilvl w:val="0"/>
          <w:numId w:val="46"/>
        </w:numPr>
        <w:spacing w:before="0" w:beforeAutospacing="0" w:after="0" w:afterAutospacing="0"/>
        <w:jc w:val="both"/>
        <w:textAlignment w:val="baseline"/>
        <w:rPr>
          <w:rFonts w:ascii="Cambria" w:hAnsi="Cambria"/>
          <w:color w:val="000000"/>
          <w:lang w:val="fr-CA"/>
        </w:rPr>
      </w:pPr>
      <w:r w:rsidRPr="00EE61A5">
        <w:rPr>
          <w:rFonts w:ascii="Cambria" w:hAnsi="Cambria"/>
          <w:color w:val="000000"/>
          <w:lang w:val="fr-CA"/>
        </w:rPr>
        <w:t>Simplicité (c.-à-d. formulations les plus simples et courtes possibles);</w:t>
      </w:r>
    </w:p>
    <w:p w14:paraId="351149BF" w14:textId="77777777" w:rsidR="00EE61A5" w:rsidRPr="00EE61A5" w:rsidRDefault="00EE61A5" w:rsidP="00EE61A5">
      <w:pPr>
        <w:pStyle w:val="NormalWeb"/>
        <w:numPr>
          <w:ilvl w:val="0"/>
          <w:numId w:val="46"/>
        </w:numPr>
        <w:spacing w:before="0" w:beforeAutospacing="0" w:after="0" w:afterAutospacing="0"/>
        <w:jc w:val="both"/>
        <w:textAlignment w:val="baseline"/>
        <w:rPr>
          <w:rFonts w:ascii="Cambria" w:hAnsi="Cambria"/>
          <w:color w:val="000000"/>
          <w:lang w:val="fr-CA"/>
        </w:rPr>
      </w:pPr>
      <w:r w:rsidRPr="00EE61A5">
        <w:rPr>
          <w:rFonts w:ascii="Cambria" w:hAnsi="Cambria"/>
          <w:color w:val="000000"/>
          <w:lang w:val="fr-CA"/>
        </w:rPr>
        <w:t>Inclusivité (c.-à-d. formulations non-genrées autant que possible et usage du point médian à des fins d'inclusivité). </w:t>
      </w:r>
    </w:p>
    <w:p w14:paraId="7346FB60" w14:textId="77777777" w:rsidR="00EE61A5" w:rsidRDefault="00EE61A5" w:rsidP="00EE61A5">
      <w:pPr>
        <w:rPr>
          <w:rFonts w:ascii="Times New Roman" w:hAnsi="Times New Roman"/>
        </w:rPr>
      </w:pPr>
    </w:p>
    <w:p w14:paraId="05268DA9" w14:textId="77777777" w:rsidR="00EE61A5" w:rsidRPr="00EE61A5" w:rsidRDefault="00EE61A5" w:rsidP="00EE61A5">
      <w:pPr>
        <w:pStyle w:val="NormalWeb"/>
        <w:spacing w:before="0" w:beforeAutospacing="0" w:after="0" w:afterAutospacing="0"/>
        <w:jc w:val="both"/>
        <w:rPr>
          <w:lang w:val="fr-CA"/>
        </w:rPr>
      </w:pPr>
      <w:r w:rsidRPr="00EE61A5">
        <w:rPr>
          <w:rFonts w:ascii="Cambria" w:hAnsi="Cambria"/>
          <w:color w:val="000000"/>
          <w:lang w:val="fr-CA"/>
        </w:rPr>
        <w:t>Des précisions méthodologiques, gabarits et contenus pédagogiques sont disponibles sur le site web de la Traduction en français du CIDOC CRM au https://chin-rcip.github.io/cidoc_crm_fr/. </w:t>
      </w:r>
    </w:p>
    <w:p w14:paraId="33154292" w14:textId="77777777" w:rsidR="00EE61A5" w:rsidRDefault="00EE61A5" w:rsidP="00EE61A5"/>
    <w:p w14:paraId="746F09C3" w14:textId="6B96C184" w:rsidR="00307608" w:rsidRDefault="00307608">
      <w:pPr>
        <w:rPr>
          <w:rFonts w:eastAsia="Times New Roman" w:cs="Times New Roman"/>
          <w:color w:val="000000"/>
        </w:rPr>
      </w:pPr>
      <w:r>
        <w:rPr>
          <w:color w:val="000000"/>
        </w:rPr>
        <w:br w:type="page"/>
      </w:r>
    </w:p>
    <w:p w14:paraId="62D66F21" w14:textId="77777777" w:rsidR="00EE61A5" w:rsidRDefault="00EE61A5" w:rsidP="00EE61A5">
      <w:pPr>
        <w:pStyle w:val="Heading1"/>
        <w:spacing w:before="0" w:after="200"/>
        <w:jc w:val="both"/>
        <w:rPr>
          <w:sz w:val="48"/>
          <w:szCs w:val="48"/>
        </w:rPr>
      </w:pPr>
      <w:bookmarkStart w:id="5" w:name="_Toc144360762"/>
      <w:r>
        <w:rPr>
          <w:b/>
          <w:bCs/>
          <w:color w:val="00193A"/>
        </w:rPr>
        <w:lastRenderedPageBreak/>
        <w:t>Comment interpréter les tableaux et les interventions des traducteur·trice·s</w:t>
      </w:r>
      <w:bookmarkEnd w:id="5"/>
    </w:p>
    <w:p w14:paraId="53C45245" w14:textId="3644039B" w:rsidR="00EE61A5" w:rsidRDefault="00EE61A5" w:rsidP="00EE61A5">
      <w:pPr>
        <w:pStyle w:val="NormalWeb"/>
        <w:spacing w:before="0" w:beforeAutospacing="0" w:after="0" w:afterAutospacing="0"/>
        <w:rPr>
          <w:rFonts w:ascii="Cambria" w:hAnsi="Cambria"/>
          <w:color w:val="000000"/>
          <w:lang w:val="fr-CA"/>
        </w:rPr>
      </w:pPr>
      <w:r w:rsidRPr="00EE61A5">
        <w:rPr>
          <w:rFonts w:ascii="Cambria" w:hAnsi="Cambria"/>
          <w:color w:val="000000"/>
          <w:lang w:val="fr-CA"/>
        </w:rPr>
        <w:t>Les classes et propriétés sont signalées par une police et un surlignage qui permet de rapidement les distinguer (voir exemple ci-bas). La mise en page par tableau est utilisée pour définir en sections des ensembles de textes traduits. </w:t>
      </w:r>
    </w:p>
    <w:p w14:paraId="61F99482" w14:textId="77777777" w:rsidR="00EE61A5" w:rsidRPr="00EE61A5" w:rsidRDefault="00EE61A5" w:rsidP="00EE61A5">
      <w:pPr>
        <w:pStyle w:val="NormalWeb"/>
        <w:spacing w:before="0" w:beforeAutospacing="0" w:after="0" w:afterAutospacing="0"/>
        <w:rPr>
          <w:lang w:val="fr-CA"/>
        </w:rPr>
      </w:pPr>
    </w:p>
    <w:p w14:paraId="46003840" w14:textId="3EC327E7" w:rsidR="00EE61A5" w:rsidRDefault="00EE61A5" w:rsidP="00EE61A5">
      <w:pPr>
        <w:pStyle w:val="NormalWeb"/>
        <w:spacing w:before="0" w:beforeAutospacing="0" w:after="0" w:afterAutospacing="0"/>
        <w:rPr>
          <w:rFonts w:ascii="Cambria" w:hAnsi="Cambria"/>
          <w:color w:val="000000"/>
          <w:lang w:val="fr-CA"/>
        </w:rPr>
      </w:pPr>
      <w:r w:rsidRPr="00EE61A5">
        <w:rPr>
          <w:rFonts w:ascii="Cambria" w:hAnsi="Cambria"/>
          <w:color w:val="000000"/>
          <w:lang w:val="fr-CA"/>
        </w:rPr>
        <w:t>Les lignes intitulées « Notes de traduction » et « Références » sont utilisées pour bonifier la traduction de précisions ou de références utilisées lors de celle-ci. De plus, il arrive que l'ajout de notes explicatives dans le texte soit nécessaire à sa compréhension. Lorsque c'est le cas, celles-ci sont ajoutées entre crochets et précédées de la mention « n.d.t. ».</w:t>
      </w:r>
    </w:p>
    <w:p w14:paraId="79A9AE92" w14:textId="77777777" w:rsidR="00EE61A5" w:rsidRPr="00EE61A5" w:rsidRDefault="00EE61A5" w:rsidP="00EE61A5">
      <w:pPr>
        <w:pStyle w:val="NormalWeb"/>
        <w:spacing w:before="0" w:beforeAutospacing="0" w:after="0" w:afterAutospacing="0"/>
        <w:rPr>
          <w:lang w:val="fr-CA"/>
        </w:rPr>
      </w:pPr>
    </w:p>
    <w:p w14:paraId="2BC3E896" w14:textId="011C5DFE" w:rsidR="00EE61A5" w:rsidRDefault="00EE61A5" w:rsidP="005D545E">
      <w:pPr>
        <w:pStyle w:val="NormalWeb"/>
        <w:spacing w:before="0" w:beforeAutospacing="0" w:after="0" w:afterAutospacing="0"/>
        <w:rPr>
          <w:rFonts w:ascii="Cambria" w:hAnsi="Cambria"/>
          <w:color w:val="000000"/>
          <w:lang w:val="fr-CA"/>
        </w:rPr>
      </w:pPr>
      <w:r w:rsidRPr="00EE61A5">
        <w:rPr>
          <w:rFonts w:ascii="Cambria" w:hAnsi="Cambria"/>
          <w:color w:val="000000"/>
          <w:lang w:val="fr-CA"/>
        </w:rPr>
        <w:t>À titre d'exemple, dans le tableau suivant, les éléments en bleu et en caractères gras sont des additions des traducteur·trice·s (n.b. une partie du texte a été retirée à des fins de simplification, la définition complète se trouve en corps de texte) : </w:t>
      </w:r>
    </w:p>
    <w:p w14:paraId="38B3F0D6" w14:textId="77777777" w:rsidR="005D545E" w:rsidRDefault="005D545E" w:rsidP="005D545E">
      <w:pPr>
        <w:pStyle w:val="NormalWeb"/>
        <w:spacing w:before="0" w:beforeAutospacing="0" w:after="0" w:afterAutospacing="0"/>
        <w:rPr>
          <w:color w:val="000000"/>
          <w:lang w:val="fr-CA"/>
        </w:rPr>
      </w:pPr>
    </w:p>
    <w:p w14:paraId="139A0B9F" w14:textId="386E7655" w:rsidR="005D545E" w:rsidRPr="005D545E" w:rsidRDefault="005D545E" w:rsidP="005D545E">
      <w:pPr>
        <w:pStyle w:val="NormalWeb"/>
        <w:spacing w:before="0" w:beforeAutospacing="0" w:after="0" w:afterAutospacing="0"/>
        <w:rPr>
          <w:b/>
          <w:bCs/>
          <w:sz w:val="28"/>
          <w:szCs w:val="28"/>
          <w:lang w:val="en-US"/>
        </w:rPr>
      </w:pPr>
      <w:r w:rsidRPr="005D545E">
        <w:rPr>
          <w:b/>
          <w:bCs/>
          <w:color w:val="000000"/>
          <w:sz w:val="28"/>
          <w:szCs w:val="28"/>
          <w:lang w:val="fr-CA"/>
        </w:rPr>
        <w:t>E18 Chose mat</w:t>
      </w:r>
      <w:r w:rsidRPr="005D545E">
        <w:rPr>
          <w:b/>
          <w:bCs/>
          <w:color w:val="000000"/>
          <w:sz w:val="28"/>
          <w:szCs w:val="28"/>
          <w:lang w:val="en-US"/>
        </w:rPr>
        <w:t>érielle</w:t>
      </w:r>
    </w:p>
    <w:tbl>
      <w:tblPr>
        <w:tblW w:w="0" w:type="auto"/>
        <w:tblCellMar>
          <w:top w:w="15" w:type="dxa"/>
          <w:left w:w="15" w:type="dxa"/>
          <w:bottom w:w="15" w:type="dxa"/>
          <w:right w:w="15" w:type="dxa"/>
        </w:tblCellMar>
        <w:tblLook w:val="04A0" w:firstRow="1" w:lastRow="0" w:firstColumn="1" w:lastColumn="0" w:noHBand="0" w:noVBand="1"/>
      </w:tblPr>
      <w:tblGrid>
        <w:gridCol w:w="1609"/>
        <w:gridCol w:w="9081"/>
      </w:tblGrid>
      <w:tr w:rsidR="00EE61A5" w14:paraId="518D7571" w14:textId="77777777" w:rsidTr="00EE61A5">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15BE7D9D" w14:textId="77777777" w:rsidR="00EE61A5" w:rsidRDefault="00EE61A5">
            <w:pPr>
              <w:pStyle w:val="NormalWeb"/>
              <w:spacing w:before="36" w:beforeAutospacing="0" w:after="36" w:afterAutospacing="0"/>
            </w:pPr>
            <w:r>
              <w:rPr>
                <w:rFonts w:ascii="Cambria" w:hAnsi="Cambria"/>
                <w:color w:val="000000"/>
              </w:rPr>
              <w:t>Sous-classe de</w:t>
            </w:r>
          </w:p>
        </w:tc>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47E5AF93" w14:textId="77777777" w:rsidR="00EE61A5" w:rsidRDefault="00EE61A5">
            <w:pPr>
              <w:pStyle w:val="NormalWeb"/>
              <w:spacing w:before="0" w:beforeAutospacing="0" w:after="200" w:afterAutospacing="0"/>
            </w:pPr>
            <w:r>
              <w:rPr>
                <w:rFonts w:ascii="Consolas" w:hAnsi="Consolas"/>
                <w:color w:val="000000"/>
                <w:sz w:val="22"/>
                <w:szCs w:val="22"/>
                <w:shd w:val="clear" w:color="auto" w:fill="EAEEF3"/>
              </w:rPr>
              <w:t>E72_Objet_juridique</w:t>
            </w:r>
          </w:p>
        </w:tc>
      </w:tr>
      <w:tr w:rsidR="00EE61A5" w14:paraId="7F629D37" w14:textId="77777777" w:rsidTr="00EE61A5">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3ADF3E20" w14:textId="77777777" w:rsidR="00EE61A5" w:rsidRDefault="00EE61A5">
            <w:pPr>
              <w:pStyle w:val="NormalWeb"/>
              <w:spacing w:before="36" w:beforeAutospacing="0" w:after="36" w:afterAutospacing="0"/>
            </w:pPr>
            <w:r>
              <w:rPr>
                <w:rFonts w:ascii="Cambria" w:hAnsi="Cambria"/>
                <w:color w:val="000000"/>
              </w:rPr>
              <w:t>Super-classe de</w:t>
            </w:r>
          </w:p>
        </w:tc>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215F35CE" w14:textId="77777777" w:rsidR="00EE61A5" w:rsidRPr="00EE61A5" w:rsidRDefault="00EE61A5">
            <w:pPr>
              <w:pStyle w:val="NormalWeb"/>
              <w:spacing w:before="0" w:beforeAutospacing="0" w:after="200" w:afterAutospacing="0"/>
              <w:rPr>
                <w:lang w:val="fr-CA"/>
              </w:rPr>
            </w:pPr>
            <w:r w:rsidRPr="00EE61A5">
              <w:rPr>
                <w:rFonts w:ascii="Consolas" w:hAnsi="Consolas"/>
                <w:color w:val="000000"/>
                <w:sz w:val="22"/>
                <w:szCs w:val="22"/>
                <w:shd w:val="clear" w:color="auto" w:fill="EAEEF3"/>
                <w:lang w:val="fr-CA"/>
              </w:rPr>
              <w:t>E19_Objet_matérielE24_Chose_matérielle_élaborée_par_l’humain</w:t>
            </w:r>
          </w:p>
          <w:p w14:paraId="5C9FF40E" w14:textId="77777777" w:rsidR="00EE61A5" w:rsidRDefault="00EE61A5">
            <w:pPr>
              <w:pStyle w:val="NormalWeb"/>
              <w:spacing w:before="0" w:beforeAutospacing="0" w:after="200" w:afterAutospacing="0"/>
            </w:pPr>
            <w:r>
              <w:rPr>
                <w:rFonts w:ascii="Consolas" w:hAnsi="Consolas"/>
                <w:color w:val="000000"/>
                <w:sz w:val="22"/>
                <w:szCs w:val="22"/>
                <w:shd w:val="clear" w:color="auto" w:fill="EAEEF3"/>
              </w:rPr>
              <w:t>E26_Caractéristique_physique</w:t>
            </w:r>
          </w:p>
        </w:tc>
      </w:tr>
      <w:tr w:rsidR="00EE61A5" w14:paraId="6F6A6700" w14:textId="77777777" w:rsidTr="00EE61A5">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053648E9" w14:textId="77777777" w:rsidR="00EE61A5" w:rsidRDefault="00EE61A5">
            <w:pPr>
              <w:pStyle w:val="NormalWeb"/>
              <w:spacing w:before="36" w:beforeAutospacing="0" w:after="36" w:afterAutospacing="0"/>
            </w:pPr>
            <w:r>
              <w:rPr>
                <w:rFonts w:ascii="Cambria" w:hAnsi="Cambria"/>
                <w:color w:val="000000"/>
              </w:rPr>
              <w:t>Note d’application</w:t>
            </w:r>
          </w:p>
        </w:tc>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0E97C4ED" w14:textId="77777777" w:rsidR="00EE61A5" w:rsidRPr="00EE61A5" w:rsidRDefault="00EE61A5">
            <w:pPr>
              <w:pStyle w:val="NormalWeb"/>
              <w:spacing w:before="0" w:beforeAutospacing="0" w:after="200" w:afterAutospacing="0"/>
              <w:rPr>
                <w:lang w:val="fr-CA"/>
              </w:rPr>
            </w:pPr>
            <w:r w:rsidRPr="00EE61A5">
              <w:rPr>
                <w:rFonts w:ascii="Cambria" w:hAnsi="Cambria"/>
                <w:color w:val="000000"/>
                <w:lang w:val="fr-CA"/>
              </w:rPr>
              <w:t xml:space="preserve">Cette classe comprend toutes les entités physiques persistantes présentant une forme raisonnablement stable, </w:t>
            </w:r>
            <w:r w:rsidRPr="00EE61A5">
              <w:rPr>
                <w:rFonts w:ascii="Cambria" w:hAnsi="Cambria"/>
                <w:b/>
                <w:bCs/>
                <w:color w:val="2E75B5"/>
                <w:lang w:val="fr-CA"/>
              </w:rPr>
              <w:t>[n.d.</w:t>
            </w:r>
            <w:proofErr w:type="gramStart"/>
            <w:r w:rsidRPr="00EE61A5">
              <w:rPr>
                <w:rFonts w:ascii="Cambria" w:hAnsi="Cambria"/>
                <w:b/>
                <w:bCs/>
                <w:color w:val="2E75B5"/>
                <w:lang w:val="fr-CA"/>
              </w:rPr>
              <w:t>t.qu’elles</w:t>
            </w:r>
            <w:proofErr w:type="gramEnd"/>
            <w:r w:rsidRPr="00EE61A5">
              <w:rPr>
                <w:rFonts w:ascii="Cambria" w:hAnsi="Cambria"/>
                <w:b/>
                <w:bCs/>
                <w:color w:val="2E75B5"/>
                <w:lang w:val="fr-CA"/>
              </w:rPr>
              <w:t xml:space="preserve"> aient été]</w:t>
            </w:r>
            <w:r w:rsidRPr="00EE61A5">
              <w:rPr>
                <w:rFonts w:ascii="Cambria" w:hAnsi="Cambria"/>
                <w:color w:val="000000"/>
                <w:lang w:val="fr-CA"/>
              </w:rPr>
              <w:t xml:space="preserve"> élaborées par l’humain ou </w:t>
            </w:r>
            <w:r w:rsidRPr="00EE61A5">
              <w:rPr>
                <w:rFonts w:ascii="Cambria" w:hAnsi="Cambria"/>
                <w:b/>
                <w:bCs/>
                <w:color w:val="2E75B5"/>
                <w:lang w:val="fr-CA"/>
              </w:rPr>
              <w:t>[n.d.t. qu’elles soient]</w:t>
            </w:r>
            <w:r w:rsidRPr="00EE61A5">
              <w:rPr>
                <w:rFonts w:ascii="Cambria" w:hAnsi="Cambria"/>
                <w:color w:val="000000"/>
                <w:lang w:val="fr-CA"/>
              </w:rPr>
              <w:t xml:space="preserve"> naturelles.</w:t>
            </w:r>
          </w:p>
        </w:tc>
      </w:tr>
      <w:tr w:rsidR="00EE61A5" w14:paraId="5DB9DF14" w14:textId="77777777" w:rsidTr="00EE61A5">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5FFE5FF6" w14:textId="77777777" w:rsidR="00EE61A5" w:rsidRDefault="00EE61A5">
            <w:pPr>
              <w:pStyle w:val="NormalWeb"/>
              <w:spacing w:before="36" w:beforeAutospacing="0" w:after="36" w:afterAutospacing="0"/>
            </w:pPr>
            <w:r>
              <w:rPr>
                <w:rFonts w:ascii="Cambria" w:hAnsi="Cambria"/>
                <w:color w:val="000000"/>
              </w:rPr>
              <w:t>Exemples</w:t>
            </w:r>
          </w:p>
        </w:tc>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3CB44F09" w14:textId="77777777" w:rsidR="00EE61A5" w:rsidRPr="00EE61A5" w:rsidRDefault="00EE61A5" w:rsidP="00EE61A5">
            <w:pPr>
              <w:pStyle w:val="NormalWeb"/>
              <w:numPr>
                <w:ilvl w:val="0"/>
                <w:numId w:val="48"/>
              </w:numPr>
              <w:spacing w:before="0" w:beforeAutospacing="0" w:after="200" w:afterAutospacing="0"/>
              <w:ind w:left="600"/>
              <w:textAlignment w:val="baseline"/>
              <w:rPr>
                <w:rFonts w:ascii="Cambria" w:hAnsi="Cambria"/>
                <w:color w:val="000000"/>
                <w:lang w:val="fr-CA"/>
              </w:rPr>
            </w:pPr>
            <w:r w:rsidRPr="00EE61A5">
              <w:rPr>
                <w:rFonts w:ascii="Cambria" w:hAnsi="Cambria"/>
                <w:color w:val="000000"/>
                <w:lang w:val="fr-CA"/>
              </w:rPr>
              <w:t>Le diamant Cullinan (</w:t>
            </w:r>
            <w:r w:rsidRPr="00EE61A5">
              <w:rPr>
                <w:rFonts w:ascii="Consolas" w:hAnsi="Consolas"/>
                <w:color w:val="000000"/>
                <w:sz w:val="22"/>
                <w:szCs w:val="22"/>
                <w:shd w:val="clear" w:color="auto" w:fill="EAEEF3"/>
                <w:lang w:val="fr-CA"/>
              </w:rPr>
              <w:t>E19_Objet_matériel</w:t>
            </w:r>
            <w:r w:rsidRPr="00EE61A5">
              <w:rPr>
                <w:rFonts w:ascii="Cambria" w:hAnsi="Cambria"/>
                <w:color w:val="000000"/>
                <w:lang w:val="fr-CA"/>
              </w:rPr>
              <w:t>) (Scarratt et Shor, 2006)</w:t>
            </w:r>
          </w:p>
          <w:p w14:paraId="6C48F0F9" w14:textId="77777777" w:rsidR="00EE61A5" w:rsidRPr="00EE61A5" w:rsidRDefault="00EE61A5" w:rsidP="00EE61A5">
            <w:pPr>
              <w:pStyle w:val="NormalWeb"/>
              <w:numPr>
                <w:ilvl w:val="0"/>
                <w:numId w:val="48"/>
              </w:numPr>
              <w:spacing w:before="0" w:beforeAutospacing="0" w:after="200" w:afterAutospacing="0"/>
              <w:ind w:left="600"/>
              <w:textAlignment w:val="baseline"/>
              <w:rPr>
                <w:rFonts w:ascii="Cambria" w:hAnsi="Cambria"/>
                <w:color w:val="000000"/>
                <w:lang w:val="fr-CA"/>
              </w:rPr>
            </w:pPr>
            <w:r w:rsidRPr="00EE61A5">
              <w:rPr>
                <w:rFonts w:ascii="Cambria" w:hAnsi="Cambria"/>
                <w:color w:val="000000"/>
                <w:lang w:val="fr-CA"/>
              </w:rPr>
              <w:t xml:space="preserve">La grotte </w:t>
            </w:r>
            <w:r w:rsidRPr="00EE61A5">
              <w:rPr>
                <w:rFonts w:ascii="Cambria" w:hAnsi="Cambria"/>
                <w:i/>
                <w:iCs/>
                <w:color w:val="000000"/>
                <w:lang w:val="fr-CA"/>
              </w:rPr>
              <w:t>Ideon Andron</w:t>
            </w:r>
            <w:r w:rsidRPr="00EE61A5">
              <w:rPr>
                <w:rFonts w:ascii="Cambria" w:hAnsi="Cambria"/>
                <w:color w:val="000000"/>
                <w:lang w:val="fr-CA"/>
              </w:rPr>
              <w:t xml:space="preserve"> en Crète (</w:t>
            </w:r>
            <w:r w:rsidRPr="00EE61A5">
              <w:rPr>
                <w:rFonts w:ascii="Consolas" w:hAnsi="Consolas"/>
                <w:color w:val="000000"/>
                <w:sz w:val="22"/>
                <w:szCs w:val="22"/>
                <w:shd w:val="clear" w:color="auto" w:fill="EAEEF3"/>
                <w:lang w:val="fr-CA"/>
              </w:rPr>
              <w:t>E26_Caractéristique_physique</w:t>
            </w:r>
            <w:r w:rsidRPr="00EE61A5">
              <w:rPr>
                <w:rFonts w:ascii="Cambria" w:hAnsi="Cambria"/>
                <w:color w:val="000000"/>
                <w:lang w:val="fr-CA"/>
              </w:rPr>
              <w:t>) (Smith, 1844-49)</w:t>
            </w:r>
          </w:p>
          <w:p w14:paraId="45515F17" w14:textId="77777777" w:rsidR="00EE61A5" w:rsidRPr="00EE61A5" w:rsidRDefault="00EE61A5" w:rsidP="00EE61A5">
            <w:pPr>
              <w:pStyle w:val="NormalWeb"/>
              <w:numPr>
                <w:ilvl w:val="0"/>
                <w:numId w:val="48"/>
              </w:numPr>
              <w:spacing w:before="0" w:beforeAutospacing="0" w:after="200" w:afterAutospacing="0"/>
              <w:ind w:left="600"/>
              <w:textAlignment w:val="baseline"/>
              <w:rPr>
                <w:rFonts w:ascii="Cambria" w:hAnsi="Cambria"/>
                <w:color w:val="000000"/>
                <w:lang w:val="fr-CA"/>
              </w:rPr>
            </w:pPr>
            <w:r w:rsidRPr="00EE61A5">
              <w:rPr>
                <w:rFonts w:ascii="Cambria" w:hAnsi="Cambria"/>
                <w:color w:val="000000"/>
                <w:lang w:val="fr-CA"/>
              </w:rPr>
              <w:t xml:space="preserve">La </w:t>
            </w:r>
            <w:r w:rsidRPr="00EE61A5">
              <w:rPr>
                <w:rFonts w:ascii="Cambria" w:hAnsi="Cambria"/>
                <w:i/>
                <w:iCs/>
                <w:color w:val="000000"/>
                <w:lang w:val="fr-CA"/>
              </w:rPr>
              <w:t>Monna Lisa</w:t>
            </w:r>
            <w:r w:rsidRPr="00EE61A5">
              <w:rPr>
                <w:rFonts w:ascii="Cambria" w:hAnsi="Cambria"/>
                <w:color w:val="000000"/>
                <w:lang w:val="fr-CA"/>
              </w:rPr>
              <w:t xml:space="preserve"> (</w:t>
            </w:r>
            <w:r w:rsidRPr="00EE61A5">
              <w:rPr>
                <w:rFonts w:ascii="Consolas" w:hAnsi="Consolas"/>
                <w:color w:val="000000"/>
                <w:sz w:val="22"/>
                <w:szCs w:val="22"/>
                <w:shd w:val="clear" w:color="auto" w:fill="EAEEF3"/>
                <w:lang w:val="fr-CA"/>
              </w:rPr>
              <w:t>E22_Objet_élaboré_par_l’humain</w:t>
            </w:r>
            <w:r w:rsidRPr="00EE61A5">
              <w:rPr>
                <w:rFonts w:ascii="Cambria" w:hAnsi="Cambria"/>
                <w:color w:val="000000"/>
                <w:lang w:val="fr-CA"/>
              </w:rPr>
              <w:t>) (Mohem, 2006)</w:t>
            </w:r>
          </w:p>
        </w:tc>
      </w:tr>
      <w:tr w:rsidR="00EE61A5" w14:paraId="2E15C291" w14:textId="77777777" w:rsidTr="00EE61A5">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3EAFE76B" w14:textId="77777777" w:rsidR="00EE61A5" w:rsidRDefault="00EE61A5">
            <w:pPr>
              <w:pStyle w:val="NormalWeb"/>
              <w:spacing w:before="36" w:beforeAutospacing="0" w:after="36" w:afterAutospacing="0"/>
            </w:pPr>
            <w:r>
              <w:rPr>
                <w:rFonts w:ascii="Cambria" w:hAnsi="Cambria"/>
                <w:color w:val="000000"/>
              </w:rPr>
              <w:t>Logique</w:t>
            </w:r>
          </w:p>
        </w:tc>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7D4DD5F3" w14:textId="77777777" w:rsidR="00EE61A5" w:rsidRDefault="00EE61A5">
            <w:pPr>
              <w:pStyle w:val="NormalWeb"/>
              <w:spacing w:before="0" w:beforeAutospacing="0" w:after="200" w:afterAutospacing="0"/>
            </w:pPr>
            <w:r>
              <w:rPr>
                <w:rFonts w:ascii="Cambria" w:hAnsi="Cambria"/>
                <w:color w:val="000000"/>
              </w:rPr>
              <w:t>E18(x) ⇒ E72(x)</w:t>
            </w:r>
          </w:p>
        </w:tc>
      </w:tr>
      <w:tr w:rsidR="00EE61A5" w14:paraId="6A089002" w14:textId="77777777" w:rsidTr="00EE61A5">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13D5EEC0" w14:textId="77777777" w:rsidR="00EE61A5" w:rsidRDefault="00EE61A5">
            <w:pPr>
              <w:pStyle w:val="NormalWeb"/>
              <w:spacing w:before="36" w:beforeAutospacing="0" w:after="36" w:afterAutospacing="0"/>
            </w:pPr>
            <w:r>
              <w:rPr>
                <w:rFonts w:ascii="Cambria" w:hAnsi="Cambria"/>
                <w:color w:val="000000"/>
              </w:rPr>
              <w:t>Propriétés</w:t>
            </w:r>
          </w:p>
        </w:tc>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1134E676" w14:textId="77777777" w:rsidR="00EE61A5" w:rsidRPr="00EE61A5" w:rsidRDefault="00EE61A5">
            <w:pPr>
              <w:pStyle w:val="NormalWeb"/>
              <w:spacing w:before="0" w:beforeAutospacing="0" w:after="200" w:afterAutospacing="0"/>
              <w:rPr>
                <w:lang w:val="fr-CA"/>
              </w:rPr>
            </w:pPr>
            <w:r w:rsidRPr="00EE61A5">
              <w:rPr>
                <w:rFonts w:ascii="Consolas" w:hAnsi="Consolas"/>
                <w:color w:val="000000"/>
                <w:sz w:val="22"/>
                <w:szCs w:val="22"/>
                <w:shd w:val="clear" w:color="auto" w:fill="EAEEF3"/>
                <w:lang w:val="fr-CA"/>
              </w:rPr>
              <w:t>P44_a_pour_état_matériel (est_l'état_matériel_de)</w:t>
            </w:r>
            <w:r w:rsidRPr="00EE61A5">
              <w:rPr>
                <w:rFonts w:ascii="Cambria" w:hAnsi="Cambria"/>
                <w:color w:val="000000"/>
                <w:lang w:val="fr-CA"/>
              </w:rPr>
              <w:t xml:space="preserve"> : </w:t>
            </w:r>
            <w:r w:rsidRPr="00EE61A5">
              <w:rPr>
                <w:rFonts w:ascii="Consolas" w:hAnsi="Consolas"/>
                <w:color w:val="000000"/>
                <w:sz w:val="22"/>
                <w:szCs w:val="22"/>
                <w:shd w:val="clear" w:color="auto" w:fill="EAEEF3"/>
                <w:lang w:val="fr-CA"/>
              </w:rPr>
              <w:t>E3_État_matériel</w:t>
            </w:r>
          </w:p>
          <w:p w14:paraId="2519CE35" w14:textId="42B74EC0" w:rsidR="00EE61A5" w:rsidRPr="00EE61A5" w:rsidRDefault="00EE61A5">
            <w:pPr>
              <w:pStyle w:val="NormalWeb"/>
              <w:spacing w:before="0" w:beforeAutospacing="0" w:after="200" w:afterAutospacing="0"/>
              <w:rPr>
                <w:lang w:val="fr-CA"/>
              </w:rPr>
            </w:pPr>
            <w:r w:rsidRPr="00EE61A5">
              <w:rPr>
                <w:rFonts w:ascii="Consolas" w:hAnsi="Consolas"/>
                <w:color w:val="000000"/>
                <w:sz w:val="22"/>
                <w:szCs w:val="22"/>
                <w:shd w:val="clear" w:color="auto" w:fill="EAEEF3"/>
                <w:lang w:val="fr-CA"/>
              </w:rPr>
              <w:t>P45_comprend (est_inclus_dans)</w:t>
            </w:r>
            <w:r w:rsidRPr="00EE61A5">
              <w:rPr>
                <w:rFonts w:ascii="Cambria" w:hAnsi="Cambria"/>
                <w:color w:val="000000"/>
                <w:lang w:val="fr-CA"/>
              </w:rPr>
              <w:t xml:space="preserve"> : </w:t>
            </w:r>
            <w:r w:rsidRPr="00EE61A5">
              <w:rPr>
                <w:rFonts w:ascii="Consolas" w:hAnsi="Consolas"/>
                <w:color w:val="000000"/>
                <w:sz w:val="22"/>
                <w:szCs w:val="22"/>
                <w:shd w:val="clear" w:color="auto" w:fill="EAEEF3"/>
                <w:lang w:val="fr-CA"/>
              </w:rPr>
              <w:t>E57_Matériau</w:t>
            </w:r>
          </w:p>
        </w:tc>
      </w:tr>
      <w:tr w:rsidR="00EE61A5" w14:paraId="78E3218D" w14:textId="77777777" w:rsidTr="00EE61A5">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658984E0" w14:textId="77777777" w:rsidR="00EE61A5" w:rsidRDefault="00EE61A5">
            <w:pPr>
              <w:pStyle w:val="NormalWeb"/>
              <w:spacing w:before="36" w:beforeAutospacing="0" w:after="36" w:afterAutospacing="0"/>
            </w:pPr>
            <w:r>
              <w:rPr>
                <w:rFonts w:ascii="Cambria" w:hAnsi="Cambria"/>
                <w:b/>
                <w:bCs/>
                <w:i/>
                <w:iCs/>
                <w:color w:val="2E75B5"/>
              </w:rPr>
              <w:t>Note de traduction</w:t>
            </w:r>
          </w:p>
        </w:tc>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31F0AB29" w14:textId="3AAA6727" w:rsidR="00EE61A5" w:rsidRPr="00EE61A5" w:rsidRDefault="00EE61A5">
            <w:pPr>
              <w:pStyle w:val="NormalWeb"/>
              <w:spacing w:before="0" w:beforeAutospacing="0" w:after="200" w:afterAutospacing="0"/>
              <w:rPr>
                <w:lang w:val="fr-CA"/>
              </w:rPr>
            </w:pPr>
            <w:r w:rsidRPr="00EE61A5">
              <w:rPr>
                <w:rFonts w:ascii="Cambria" w:hAnsi="Cambria"/>
                <w:b/>
                <w:bCs/>
                <w:color w:val="2E75B5"/>
                <w:lang w:val="fr-CA"/>
              </w:rPr>
              <w:t>Dans la première phrase de la note d’application, il existe une incertitude à savoir si « human-made » et « natural » font référence aux « items » ou à la « stable form ». Cette incertitude n'empêche pas la compréhension de la phrase, mais la décision a été prise de faire référence aux « items » par l’ajout de « qu’elles soient ».</w:t>
            </w:r>
          </w:p>
        </w:tc>
      </w:tr>
      <w:tr w:rsidR="00EE61A5" w14:paraId="1C028A7C" w14:textId="77777777" w:rsidTr="00EE61A5">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3C8B2060" w14:textId="77777777" w:rsidR="00EE61A5" w:rsidRDefault="00EE61A5">
            <w:pPr>
              <w:pStyle w:val="NormalWeb"/>
              <w:spacing w:before="36" w:beforeAutospacing="0" w:after="36" w:afterAutospacing="0"/>
            </w:pPr>
            <w:r>
              <w:rPr>
                <w:rFonts w:ascii="Cambria" w:hAnsi="Cambria"/>
                <w:b/>
                <w:bCs/>
                <w:i/>
                <w:iCs/>
                <w:color w:val="2E75B5"/>
              </w:rPr>
              <w:t>Références</w:t>
            </w:r>
          </w:p>
        </w:tc>
        <w:tc>
          <w:tcPr>
            <w:tcW w:w="0" w:type="auto"/>
            <w:tcBorders>
              <w:top w:val="single" w:sz="8" w:space="0" w:color="CCCCCC"/>
              <w:left w:val="single" w:sz="8" w:space="0" w:color="CCCCCC"/>
              <w:bottom w:val="single" w:sz="8" w:space="0" w:color="CCCCCC"/>
              <w:right w:val="single" w:sz="8" w:space="0" w:color="CCCCCC"/>
            </w:tcBorders>
            <w:tcMar>
              <w:top w:w="0" w:type="dxa"/>
              <w:left w:w="115" w:type="dxa"/>
              <w:bottom w:w="0" w:type="dxa"/>
              <w:right w:w="115" w:type="dxa"/>
            </w:tcMar>
            <w:hideMark/>
          </w:tcPr>
          <w:p w14:paraId="4065C9FB" w14:textId="77777777" w:rsidR="00EE61A5" w:rsidRDefault="00EE61A5">
            <w:pPr>
              <w:pStyle w:val="NormalWeb"/>
              <w:spacing w:before="0" w:beforeAutospacing="0" w:after="200" w:afterAutospacing="0"/>
            </w:pPr>
            <w:r w:rsidRPr="00EE61A5">
              <w:rPr>
                <w:rFonts w:ascii="Cambria" w:hAnsi="Cambria"/>
                <w:b/>
                <w:bCs/>
                <w:color w:val="2E75B5"/>
                <w:lang w:val="fr-CA"/>
              </w:rPr>
              <w:t xml:space="preserve">De Vinci, Léonard. </w:t>
            </w:r>
            <w:r w:rsidRPr="00EE61A5">
              <w:rPr>
                <w:rFonts w:ascii="Cambria" w:hAnsi="Cambria"/>
                <w:b/>
                <w:bCs/>
                <w:i/>
                <w:iCs/>
                <w:color w:val="2E75B5"/>
                <w:lang w:val="fr-CA"/>
              </w:rPr>
              <w:t>Portrait de Lisa Gherardini, épouse de Francesco del Giocondo, dit La Joconde ou Monna Lisa</w:t>
            </w:r>
            <w:r w:rsidRPr="00EE61A5">
              <w:rPr>
                <w:rFonts w:ascii="Cambria" w:hAnsi="Cambria"/>
                <w:b/>
                <w:bCs/>
                <w:color w:val="2E75B5"/>
                <w:lang w:val="fr-CA"/>
              </w:rPr>
              <w:t>. 1503. Huile sur bois (peuplier), 77 x 53 cm. Salle 711. Musée du Louvre.</w:t>
            </w:r>
            <w:r w:rsidR="000467B7">
              <w:fldChar w:fldCharType="begin"/>
            </w:r>
            <w:r w:rsidR="000467B7" w:rsidRPr="000467B7">
              <w:rPr>
                <w:lang w:val="fr-CA"/>
              </w:rPr>
              <w:instrText>HYPERLINK "https://collections.louvre.fr/en/ark:/53355/cl010062370"</w:instrText>
            </w:r>
            <w:r w:rsidR="000467B7">
              <w:fldChar w:fldCharType="separate"/>
            </w:r>
            <w:r w:rsidRPr="00EE61A5">
              <w:rPr>
                <w:rStyle w:val="Hyperlink"/>
                <w:rFonts w:ascii="Cambria" w:hAnsi="Cambria"/>
                <w:b/>
                <w:bCs/>
                <w:color w:val="2E75B5"/>
                <w:lang w:val="fr-CA"/>
              </w:rPr>
              <w:t xml:space="preserve"> </w:t>
            </w:r>
            <w:r>
              <w:rPr>
                <w:rStyle w:val="Hyperlink"/>
                <w:rFonts w:ascii="Cambria" w:hAnsi="Cambria"/>
                <w:b/>
                <w:bCs/>
                <w:color w:val="2E75B5"/>
              </w:rPr>
              <w:t>https://collections.louvre.fr/en/ark:/53355/cl010062370</w:t>
            </w:r>
            <w:r w:rsidR="000467B7">
              <w:rPr>
                <w:rStyle w:val="Hyperlink"/>
                <w:rFonts w:ascii="Cambria" w:hAnsi="Cambria"/>
                <w:b/>
                <w:bCs/>
                <w:color w:val="2E75B5"/>
              </w:rPr>
              <w:fldChar w:fldCharType="end"/>
            </w:r>
            <w:r>
              <w:rPr>
                <w:rFonts w:ascii="Cambria" w:hAnsi="Cambria"/>
                <w:b/>
                <w:bCs/>
                <w:color w:val="2E75B5"/>
              </w:rPr>
              <w:t>.</w:t>
            </w:r>
          </w:p>
        </w:tc>
      </w:tr>
    </w:tbl>
    <w:p w14:paraId="32CBCC71" w14:textId="77777777" w:rsidR="008D5424" w:rsidRDefault="008D5424" w:rsidP="00EE61A5">
      <w:pPr>
        <w:spacing w:after="240"/>
        <w:sectPr w:rsidR="008D5424" w:rsidSect="008D5424">
          <w:headerReference w:type="default" r:id="rId9"/>
          <w:footerReference w:type="default" r:id="rId10"/>
          <w:pgSz w:w="12240" w:h="15840"/>
          <w:pgMar w:top="765" w:right="765" w:bottom="765" w:left="765" w:header="284" w:footer="284" w:gutter="0"/>
          <w:pgNumType w:fmt="lowerRoman" w:start="1"/>
          <w:cols w:space="720"/>
          <w:titlePg/>
          <w:docGrid w:linePitch="326"/>
        </w:sectPr>
      </w:pPr>
    </w:p>
    <w:p w14:paraId="72E8307B" w14:textId="6806EF3C" w:rsidR="00EE61A5" w:rsidRDefault="00EE61A5" w:rsidP="008D5424">
      <w:pPr>
        <w:pStyle w:val="Heading1"/>
        <w:spacing w:before="0" w:after="200"/>
        <w:jc w:val="both"/>
      </w:pPr>
      <w:bookmarkStart w:id="6" w:name="_Toc144360763"/>
      <w:r>
        <w:rPr>
          <w:b/>
          <w:bCs/>
          <w:color w:val="00193A"/>
        </w:rPr>
        <w:lastRenderedPageBreak/>
        <w:t>Contenus traduits</w:t>
      </w:r>
      <w:bookmarkEnd w:id="6"/>
    </w:p>
    <w:p w14:paraId="4FD9ED9E" w14:textId="5EBB6756" w:rsidR="00BF18CF" w:rsidRDefault="00E51347">
      <w:pPr>
        <w:pStyle w:val="Heading1"/>
      </w:pPr>
      <w:bookmarkStart w:id="7" w:name="_Toc144360764"/>
      <w:r>
        <w:t>Introduction</w:t>
      </w:r>
      <w:bookmarkEnd w:id="7"/>
    </w:p>
    <w:tbl>
      <w:tblPr>
        <w:tblStyle w:val="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4B90404F" w14:textId="77777777" w:rsidTr="00BF18CF">
        <w:tc>
          <w:tcPr>
            <w:tcW w:w="10690" w:type="dxa"/>
          </w:tcPr>
          <w:p w14:paraId="767D9A2A" w14:textId="77777777" w:rsidR="00BF18CF" w:rsidRDefault="00E51347">
            <w:r>
              <w:t xml:space="preserve">Ce document constitue la définition du </w:t>
            </w:r>
            <w:r>
              <w:rPr>
                <w:b/>
              </w:rPr>
              <w:t>Modèle conceptuel de référence du Comité international pour la documentation du Conseil international des musées (« CIDOC CRM »)</w:t>
            </w:r>
            <w:r>
              <w:t>, une ontologie formelle qui a pour objectif de faciliter l’intégration, la médiation et l’échange d’informations patrimoniales hétérogènes. Le CIDOC CRM est le résultat du développement de standards par le Comité pour la documentation (CIDOC) du Conseil international des musées (ICOM), un travail qui a commencé en 1996 sous les auspices du Groupe de travail pour les standards en documentation. En 2000, ICOM-CIDOC a officiellement délégué les tâches de développement du CIDOC CRM au Groupe de travail spécial pour CIDOC CRM (CRM SIG), lequel travaille en collaboration avec le Groupe de travail ISO/TC46/SC4/WG9 afin de veiller à ce que le CIDOC CRM respecte les normes internationales en matière de standards.</w:t>
            </w:r>
          </w:p>
        </w:tc>
      </w:tr>
    </w:tbl>
    <w:p w14:paraId="77FFE4B2" w14:textId="77777777" w:rsidR="00BF18CF" w:rsidRDefault="00BF18CF"/>
    <w:tbl>
      <w:tblPr>
        <w:tblStyle w:val="a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413"/>
        <w:gridCol w:w="9277"/>
      </w:tblGrid>
      <w:tr w:rsidR="00BF18CF" w14:paraId="52BD3E42" w14:textId="77777777" w:rsidTr="00BF18CF">
        <w:tc>
          <w:tcPr>
            <w:tcW w:w="1413" w:type="dxa"/>
          </w:tcPr>
          <w:p w14:paraId="2EF5843D" w14:textId="3792C5A5" w:rsidR="00BF18CF" w:rsidRDefault="00F27208">
            <w:r>
              <w:rPr>
                <w:i/>
              </w:rPr>
              <w:t>Note de traduction</w:t>
            </w:r>
          </w:p>
        </w:tc>
        <w:tc>
          <w:tcPr>
            <w:tcW w:w="9277" w:type="dxa"/>
          </w:tcPr>
          <w:p w14:paraId="1BDEF081" w14:textId="77777777" w:rsidR="00BF18CF" w:rsidRDefault="00E51347">
            <w:r>
              <w:t>L’abréviation la plus utilisée dans le monde francophone pour le modèle demeure son acronyme anglophone (CIDOC CRM) et c’est celle qui est utilisée dans ce document. Les titres francophones des groupes de travail sont tirés des appellations trouvées sur le site francophone de CIDOC.</w:t>
            </w:r>
          </w:p>
        </w:tc>
      </w:tr>
      <w:tr w:rsidR="00BF18CF" w14:paraId="50250D51" w14:textId="77777777" w:rsidTr="00BF18CF">
        <w:tc>
          <w:tcPr>
            <w:tcW w:w="1413" w:type="dxa"/>
          </w:tcPr>
          <w:p w14:paraId="410A4910" w14:textId="77777777" w:rsidR="00BF18CF" w:rsidRDefault="00E51347">
            <w:r>
              <w:rPr>
                <w:i/>
              </w:rPr>
              <w:t>Références</w:t>
            </w:r>
          </w:p>
        </w:tc>
        <w:tc>
          <w:tcPr>
            <w:tcW w:w="9277" w:type="dxa"/>
          </w:tcPr>
          <w:p w14:paraId="42A1B18C" w14:textId="77777777" w:rsidR="00BF18CF" w:rsidRDefault="00E51347">
            <w:r>
              <w:rPr>
                <w:i/>
              </w:rPr>
              <w:t>Comité International pour la Documentation de l’ICOM. 2021. « CIDOC ». ICOM CIDOC. 24 février 2021.</w:t>
            </w:r>
            <w:hyperlink r:id="rId11">
              <w:r>
                <w:rPr>
                  <w:color w:val="4F81BD"/>
                </w:rPr>
                <w:t xml:space="preserve">  </w:t>
              </w:r>
            </w:hyperlink>
            <w:hyperlink r:id="rId12">
              <w:r>
                <w:rPr>
                  <w:i/>
                  <w:color w:val="4F81BD"/>
                </w:rPr>
                <w:t>http://cidoc.mini.icom.museum/fr/</w:t>
              </w:r>
            </w:hyperlink>
            <w:r>
              <w:rPr>
                <w:i/>
              </w:rPr>
              <w:t>.</w:t>
            </w:r>
          </w:p>
        </w:tc>
      </w:tr>
    </w:tbl>
    <w:p w14:paraId="387CC4E0" w14:textId="77777777" w:rsidR="00BF18CF" w:rsidRDefault="00E51347">
      <w:pPr>
        <w:pStyle w:val="Heading1"/>
      </w:pPr>
      <w:bookmarkStart w:id="8" w:name="bookmark=id.30j0zll" w:colFirst="0" w:colLast="0"/>
      <w:bookmarkStart w:id="9" w:name="_Toc144360765"/>
      <w:bookmarkEnd w:id="8"/>
      <w:r>
        <w:t>Objectifs du CIDOC CRM</w:t>
      </w:r>
      <w:bookmarkEnd w:id="9"/>
    </w:p>
    <w:tbl>
      <w:tblPr>
        <w:tblStyle w:val="a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0E78D8BF" w14:textId="77777777" w:rsidTr="00BF18CF">
        <w:tc>
          <w:tcPr>
            <w:tcW w:w="10690" w:type="dxa"/>
          </w:tcPr>
          <w:p w14:paraId="2599A729" w14:textId="77777777" w:rsidR="00BF18CF" w:rsidRDefault="00E51347">
            <w:r>
              <w:t>CIDOC CRM a pour principale fonction de favoriser l’échange d’informations et leur intégration parmi des sources hétérogènes d’informations patrimoniales. Il fournit les définitions sémantiques et clarifications nécessaires à la transformation d’informations localisées et disparates grâce à une ressource globale et cohérente [n.d.t. prenant la forme d’une norme de documentation], que ce soit au sein d’une institution de plus grande envergure, d’intranets ou sur Internet.</w:t>
            </w:r>
          </w:p>
          <w:p w14:paraId="12AE84F2" w14:textId="77777777" w:rsidR="00BF18CF" w:rsidRDefault="00E51347">
            <w:r>
              <w:t>Son approche est supra-institutionnelle et désagrégée de tout contexte local spécifique, ce qui détermine le niveau de détail et les construits du CIDOC CRM.</w:t>
            </w:r>
          </w:p>
          <w:p w14:paraId="4C2F0278" w14:textId="77777777" w:rsidR="00BF18CF" w:rsidRDefault="00E51347">
            <w:r>
              <w:t xml:space="preserve">Plus spécifiquement, ce modèle définit par une ontologie formelle la </w:t>
            </w:r>
            <w:r>
              <w:rPr>
                <w:b/>
              </w:rPr>
              <w:t>sémantique</w:t>
            </w:r>
            <w:r>
              <w:t xml:space="preserve"> qui sous-tend les schèmes de base de données et les </w:t>
            </w:r>
            <w:r>
              <w:rPr>
                <w:b/>
              </w:rPr>
              <w:t>structures</w:t>
            </w:r>
            <w:r>
              <w:t xml:space="preserve"> des documents utilisés dans le milieu patrimonial et muséal. CIDOC CRM ne définit pas la </w:t>
            </w:r>
            <w:r>
              <w:rPr>
                <w:b/>
              </w:rPr>
              <w:t>terminologie</w:t>
            </w:r>
            <w:r>
              <w:t xml:space="preserve"> qui se trouve typiquement dans les structures de données sous forme de valeurs, bien qu’il </w:t>
            </w:r>
            <w:proofErr w:type="gramStart"/>
            <w:r>
              <w:t>entrevoit</w:t>
            </w:r>
            <w:proofErr w:type="gramEnd"/>
            <w:r>
              <w:t xml:space="preserve"> les relations caractéristiques nécessaires à son usage [n.d.t. de sorte que le CIDOC CRM précise comment utiliser une classe, mais pas les valeurs qu’elle comprend lorsqu’elle est implémentée]. Il </w:t>
            </w:r>
            <w:r>
              <w:rPr>
                <w:b/>
              </w:rPr>
              <w:t>n’a pas</w:t>
            </w:r>
            <w:r>
              <w:t xml:space="preserve"> pour objectif d’indiquer ce que les institutions culturelles </w:t>
            </w:r>
            <w:r>
              <w:rPr>
                <w:b/>
              </w:rPr>
              <w:t>devraient</w:t>
            </w:r>
            <w:r>
              <w:t xml:space="preserve"> documenter, mais bien d’expliquer la logique de ce qu’elles documentent afin de favoriser l’</w:t>
            </w:r>
            <w:hyperlink r:id="rId13" w:anchor="interoperabilite-semantique">
              <w:r>
                <w:rPr>
                  <w:b/>
                  <w:color w:val="4F81BD"/>
                </w:rPr>
                <w:t>interopérabilité sémantique</w:t>
              </w:r>
            </w:hyperlink>
            <w:r>
              <w:t>.</w:t>
            </w:r>
          </w:p>
          <w:p w14:paraId="427E852B" w14:textId="77777777" w:rsidR="00BF18CF" w:rsidRDefault="00E51347">
            <w:r>
              <w:t xml:space="preserve">Il propose un modèle des structures intellectuelles de la documentation patrimoniale en termes logiques et n’est donc pas optimisé pour une implémentation spécifique, en particulier en ce qui a trait au stockage et au traitement des données. L’implémentation peut en outre mener à ce que certains éléments des conceptualisations du CIDOC CRM ne soient plus explicites dans le contexte d'une base </w:t>
            </w:r>
            <w:r>
              <w:lastRenderedPageBreak/>
              <w:t>de données ou d'un système de stockage structuré. Par exemple, un évènement de naissance reliant des éléments tels que le père, la mère, la date et le lieu de naissance peut ne pas être apparent dans une base de données afin de préserver l’espace de stockage et le temps de réponse d’un système. Le CIDOC CRM permet d’expliquer en quoi ces entités à première vue disparates sont intellectuellement interconnectées et comment la capacité d’une base de données à fournir des réponses à des questions de nature intellectuelle est limitée par l’omission de tels liens et éléments.</w:t>
            </w:r>
          </w:p>
          <w:p w14:paraId="0AC798B8" w14:textId="77777777" w:rsidR="00BF18CF" w:rsidRDefault="00E51347">
            <w:r>
              <w:t>Le CIDOC CRM a pour objectif de soutenir les fonctionnalités spécifiques suivantes :</w:t>
            </w:r>
          </w:p>
          <w:p w14:paraId="263A7302" w14:textId="77777777" w:rsidR="00BF18CF" w:rsidRDefault="00E51347">
            <w:pPr>
              <w:numPr>
                <w:ilvl w:val="0"/>
                <w:numId w:val="19"/>
              </w:numPr>
            </w:pPr>
            <w:r>
              <w:t>Informer les développeurs de systèmes informatiques grâce à un guide de pratiques exemplaires de la modélisation conceptuelle, et ce, afin de structurer et de lier différents avoirs informationnels de la documentation culturelle.</w:t>
            </w:r>
          </w:p>
          <w:p w14:paraId="2B5AD4FE" w14:textId="77777777" w:rsidR="00BF18CF" w:rsidRDefault="00E51347">
            <w:pPr>
              <w:numPr>
                <w:ilvl w:val="0"/>
                <w:numId w:val="19"/>
              </w:numPr>
            </w:pPr>
            <w:r>
              <w:t>Servir de langage commun entre les experts et les développeurs informatiques afin qu’ils puissent identifier leurs besoins et s’entendre sur les fonctionnalités nécessaires à la bonne gestion des contenus culturels.</w:t>
            </w:r>
          </w:p>
          <w:p w14:paraId="56A9CFC4" w14:textId="77777777" w:rsidR="00BF18CF" w:rsidRDefault="00E51347">
            <w:pPr>
              <w:numPr>
                <w:ilvl w:val="0"/>
                <w:numId w:val="19"/>
              </w:numPr>
            </w:pPr>
            <w:r>
              <w:t>Servir de langage formel pour l’identification de contenus informationnels communs même lorsqu’ils ont initialement des formats de données disparates. Cela s’applique particulièrement à la transformation automatique de données locales en données globales par l’implémentation d’algorithmes permettant ce transfert sans perte de sens ou de savoirs émanant desdites données. De tels algorithmes s’avèrent particulièrement utiles lors de l’échange ou de la migration de données depuis des systèmes (pré)existants, lors de l’intégration de données informationnelles ou lors de la médiation de données issues de sources disparates.</w:t>
            </w:r>
          </w:p>
          <w:p w14:paraId="4B947495" w14:textId="77777777" w:rsidR="00BF18CF" w:rsidRDefault="00E51347">
            <w:pPr>
              <w:numPr>
                <w:ilvl w:val="0"/>
                <w:numId w:val="19"/>
              </w:numPr>
            </w:pPr>
            <w:r>
              <w:t>Faciliter les requêtes d’association dans des ressources intégrées en offrant un modèle global de classes de base et d'associations entre elles qui permettent de formuler de telles requêtes.</w:t>
            </w:r>
          </w:p>
          <w:p w14:paraId="194964ED" w14:textId="77777777" w:rsidR="00BF18CF" w:rsidRDefault="00E51347">
            <w:pPr>
              <w:numPr>
                <w:ilvl w:val="0"/>
                <w:numId w:val="19"/>
              </w:numPr>
            </w:pPr>
            <w:r>
              <w:t>Les algorithmes avancés de traitement automatique du langage naturel ainsi que les méthodes heuristiques (dans des cas spécifiques) peuvent aussi grandement bénéficier de l’usage du CIDOC CRM dans le passage d’une forme textuelle libre à une logique formelle. Le CIDOC CRM n’a cependant pas pour objectif de remplacer des textes experts riches de sens par une logique formelle, mais plutôt d’identifier les données pertinentes liées à de tels textes.</w:t>
            </w:r>
          </w:p>
          <w:p w14:paraId="2FB1A80C" w14:textId="77777777" w:rsidR="00BF18CF" w:rsidRDefault="00E51347">
            <w:r>
              <w:t>Les utilisateurs du CIDOC CRM auront besoin de l’intégration d’une terminologie particulière à leur domaine ainsi que de l’apport de leur communauté de pratique dans la sélection de ce qui doit être documenté, de la séquence dans laquelle ce doit être documenté ainsi que dans l’application de protocoles de contrôle et de validation. Le CIDOC CRM ne documente pas ces aspects.</w:t>
            </w:r>
          </w:p>
          <w:p w14:paraId="4D88A6EE" w14:textId="77777777" w:rsidR="00BF18CF" w:rsidRDefault="00E51347">
            <w:r>
              <w:t>Par sa structure et son formalisme, le CIDOC CRM est extensible et ses utilisateurs sont encouragés à créer des extensions dédiées à des communautés de pratique et des applications spécialisées.</w:t>
            </w:r>
          </w:p>
        </w:tc>
      </w:tr>
    </w:tbl>
    <w:p w14:paraId="4D1FDA86" w14:textId="77777777" w:rsidR="00BF18CF" w:rsidRDefault="00BF18CF"/>
    <w:tbl>
      <w:tblPr>
        <w:tblStyle w:val="a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612"/>
        <w:gridCol w:w="9078"/>
      </w:tblGrid>
      <w:tr w:rsidR="00BF18CF" w14:paraId="4D57AC3E" w14:textId="77777777" w:rsidTr="00BF18CF">
        <w:tc>
          <w:tcPr>
            <w:tcW w:w="1612" w:type="dxa"/>
          </w:tcPr>
          <w:p w14:paraId="5A0F16ED" w14:textId="01430182" w:rsidR="00BF18CF" w:rsidRDefault="00F27208">
            <w:r>
              <w:rPr>
                <w:i/>
              </w:rPr>
              <w:t>Note de traduction</w:t>
            </w:r>
          </w:p>
        </w:tc>
        <w:tc>
          <w:tcPr>
            <w:tcW w:w="9078" w:type="dxa"/>
          </w:tcPr>
          <w:p w14:paraId="0FEF708C" w14:textId="77777777" w:rsidR="00BF18CF" w:rsidRDefault="00E51347">
            <w:r>
              <w:t>Le terme « construct » n’a pas d’équivalent français parfait, mais une recherche sommaire révèle que le terme « construit » (n.m.) semble répandu dans les domaines de la philosophie et de la sociologie et est celui dont le sens se rapproche le plus de la forme originale.</w:t>
            </w:r>
          </w:p>
          <w:p w14:paraId="6FBD544B" w14:textId="77777777" w:rsidR="00BF18CF" w:rsidRDefault="00E51347">
            <w:r>
              <w:t xml:space="preserve">Le terme « use » (« foresees use of ») a été traduit par « usage » en adéquation avec la traduction de </w:t>
            </w:r>
            <w:r>
              <w:rPr>
                <w:rFonts w:ascii="Consolas" w:eastAsia="Consolas" w:hAnsi="Consolas" w:cs="Consolas"/>
                <w:sz w:val="22"/>
                <w:szCs w:val="22"/>
                <w:shd w:val="clear" w:color="auto" w:fill="EAEEF3"/>
              </w:rPr>
              <w:t>P68_foresees_use_of</w:t>
            </w:r>
            <w:r>
              <w:t>.</w:t>
            </w:r>
          </w:p>
        </w:tc>
      </w:tr>
      <w:tr w:rsidR="00BF18CF" w14:paraId="18723177" w14:textId="77777777" w:rsidTr="00BF18CF">
        <w:tc>
          <w:tcPr>
            <w:tcW w:w="1612" w:type="dxa"/>
          </w:tcPr>
          <w:p w14:paraId="3777AF0D" w14:textId="77777777" w:rsidR="00BF18CF" w:rsidRDefault="00E51347">
            <w:r>
              <w:rPr>
                <w:i/>
              </w:rPr>
              <w:lastRenderedPageBreak/>
              <w:t>Références</w:t>
            </w:r>
          </w:p>
        </w:tc>
        <w:tc>
          <w:tcPr>
            <w:tcW w:w="9078" w:type="dxa"/>
          </w:tcPr>
          <w:p w14:paraId="0583481D" w14:textId="77777777" w:rsidR="00BF18CF" w:rsidRDefault="00E51347">
            <w:r>
              <w:t xml:space="preserve">Termium. « </w:t>
            </w:r>
            <w:proofErr w:type="gramStart"/>
            <w:r>
              <w:t>construct</w:t>
            </w:r>
            <w:proofErr w:type="gramEnd"/>
            <w:r>
              <w:t xml:space="preserve"> ». Dans </w:t>
            </w:r>
            <w:r>
              <w:rPr>
                <w:i/>
              </w:rPr>
              <w:t>Termium Plus</w:t>
            </w:r>
            <w:r>
              <w:t>. Ottawa, CA-ON: Gouvernement du Canada, 8 octobre 2009.</w:t>
            </w:r>
            <w:hyperlink r:id="rId14" w:anchor="resultrecs">
              <w:r>
                <w:rPr>
                  <w:color w:val="4F81BD"/>
                </w:rPr>
                <w:t xml:space="preserve"> https://www.btb.termiumplus.gc.ca/tpv2alpha/alpha-fra.html?lang=fra&amp;i=1&amp;srchtxt=construct&amp;index=ent&amp;codom2nd_wet=1#resultrecs</w:t>
              </w:r>
            </w:hyperlink>
            <w:r>
              <w:t>.</w:t>
            </w:r>
          </w:p>
        </w:tc>
      </w:tr>
    </w:tbl>
    <w:p w14:paraId="6FE06D28" w14:textId="77777777" w:rsidR="00BF18CF" w:rsidRDefault="00E51347">
      <w:pPr>
        <w:pStyle w:val="Heading1"/>
      </w:pPr>
      <w:bookmarkStart w:id="10" w:name="bookmark=id.1fob9te" w:colFirst="0" w:colLast="0"/>
      <w:bookmarkStart w:id="11" w:name="_Toc144360766"/>
      <w:bookmarkEnd w:id="10"/>
      <w:r>
        <w:t>Portée du CIDOC CRM</w:t>
      </w:r>
      <w:bookmarkEnd w:id="11"/>
    </w:p>
    <w:tbl>
      <w:tblPr>
        <w:tblStyle w:val="a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47F39836" w14:textId="77777777" w:rsidTr="00BF18CF">
        <w:tc>
          <w:tcPr>
            <w:tcW w:w="10690" w:type="dxa"/>
          </w:tcPr>
          <w:p w14:paraId="0FC889F3" w14:textId="77777777" w:rsidR="00BF18CF" w:rsidRDefault="00E51347">
            <w:r>
              <w:t>Le domaine d’application global du CIDOC CRM peut être résumé, en termes simples, aux connaissances des musées [n.d.t. c.-à-d. les informations recensées dans les bases de données d’institutions patrimoniales].</w:t>
            </w:r>
          </w:p>
          <w:p w14:paraId="1B60F0D8" w14:textId="77777777" w:rsidR="00BF18CF" w:rsidRDefault="00E51347">
            <w:r>
              <w:t>Cependant, une définition plus détaillée et utile peut être articulée en définissant à la fois :</w:t>
            </w:r>
          </w:p>
          <w:p w14:paraId="71043F78" w14:textId="77777777" w:rsidR="00BF18CF" w:rsidRDefault="00E51347">
            <w:pPr>
              <w:numPr>
                <w:ilvl w:val="0"/>
                <w:numId w:val="20"/>
              </w:numPr>
            </w:pPr>
            <w:proofErr w:type="gramStart"/>
            <w:r>
              <w:t>le</w:t>
            </w:r>
            <w:proofErr w:type="gramEnd"/>
            <w:r>
              <w:t xml:space="preserve"> Domaine d’application prévu, une définition large et maximalement inclusive des principes généraux d'application,</w:t>
            </w:r>
          </w:p>
          <w:p w14:paraId="4B03D6DA" w14:textId="77777777" w:rsidR="00BF18CF" w:rsidRDefault="00E51347">
            <w:pPr>
              <w:numPr>
                <w:ilvl w:val="0"/>
                <w:numId w:val="20"/>
              </w:numPr>
            </w:pPr>
            <w:proofErr w:type="gramStart"/>
            <w:r>
              <w:t>et</w:t>
            </w:r>
            <w:proofErr w:type="gramEnd"/>
            <w:r>
              <w:t xml:space="preserve"> le Domaine d’application pratique, qui est exprimé par le domaine d’application d'un ensemble de référence comprenant des normes et des pratiques spécifiques et identifiables en matière de documentation muséale, normes et pratiques que le CIDOC CRM vise à inclure, même si ses détails sont restreints aux contraintes du Domaine d'application prévu.</w:t>
            </w:r>
          </w:p>
          <w:p w14:paraId="6D565790" w14:textId="77777777" w:rsidR="00BF18CF" w:rsidRDefault="00E51347">
            <w:r>
              <w:t>Le Domaine d’application prévu du CIDOC CRM peut être défini comme l’ensemble des informations nécessaires à l'échange et à l'intégration de la documentation scientifique hétérogène des collections muséales. Cette définition requiert une élaboration plus approfondie :</w:t>
            </w:r>
          </w:p>
          <w:p w14:paraId="246A1E82" w14:textId="77777777" w:rsidR="00BF18CF" w:rsidRDefault="00E51347">
            <w:pPr>
              <w:numPr>
                <w:ilvl w:val="0"/>
                <w:numId w:val="1"/>
              </w:numPr>
            </w:pPr>
            <w:r>
              <w:t>Le terme « documentation scientifique » est destiné à exprimer l'exigence selon laquelle la profondeur et la qualité des informations descriptives qui peuvent être traitées par le CIDOC CRM doivent être suffisantes pour une recherche académique sérieuse. Cela ne signifie pas que les informations destinées à être présentées aux membres du grand public sont exclues, mais plutôt que le CIDOC CRM est prévu pour fournir le niveau de détail et de précision attendu et requis par les professionnels des musées et les chercheurs du domaine [n.d.t. patrimonial].</w:t>
            </w:r>
          </w:p>
          <w:p w14:paraId="162129FC" w14:textId="77777777" w:rsidR="00BF18CF" w:rsidRDefault="00E51347">
            <w:pPr>
              <w:numPr>
                <w:ilvl w:val="0"/>
                <w:numId w:val="1"/>
              </w:numPr>
            </w:pPr>
            <w:r>
              <w:t>Le terme « collections muséales » désigne tous les types de matériaux conservés et exposés par les musées et les institutions qui y sont associées, comme l’indique l'ICOM</w:t>
            </w:r>
            <w:r>
              <w:rPr>
                <w:vertAlign w:val="superscript"/>
              </w:rPr>
              <w:t>1</w:t>
            </w:r>
            <w:r>
              <w:t>. Cela comprend les collections, les sites et les monuments liés à des domaines tels que l'histoire sociale, l'ethnographie, l'archéologie, les beaux-arts et les arts appliqués, l’histoire naturelle, ainsi que l’histoire des sciences et de la technologie.</w:t>
            </w:r>
          </w:p>
          <w:p w14:paraId="11546A56" w14:textId="77777777" w:rsidR="00BF18CF" w:rsidRDefault="00E51347">
            <w:pPr>
              <w:numPr>
                <w:ilvl w:val="0"/>
                <w:numId w:val="1"/>
              </w:numPr>
            </w:pPr>
            <w:r>
              <w:t xml:space="preserve">La documentation des collections inclut la description détaillée d’entités individuelles au sein des collections, de groupes d’entités et de collections dans leur ensemble. Le CIDOC CRM est spécifiquement destiné à couvrir les informations contextuelles, à savoir le contexte historique, géographique et théorique qui confère aux collections muséales une grande partie de leur signification et de </w:t>
            </w:r>
            <w:proofErr w:type="gramStart"/>
            <w:r>
              <w:t>leur valeur culturelles</w:t>
            </w:r>
            <w:proofErr w:type="gramEnd"/>
            <w:r>
              <w:t>.</w:t>
            </w:r>
          </w:p>
          <w:p w14:paraId="6E802B26" w14:textId="77777777" w:rsidR="00BF18CF" w:rsidRDefault="00E51347">
            <w:pPr>
              <w:numPr>
                <w:ilvl w:val="0"/>
                <w:numId w:val="1"/>
              </w:numPr>
            </w:pPr>
            <w:r>
              <w:t>L'échange d'informations pertinentes avec les bibliothèques et les archives, et l'harmonisation du CIDOC CRM avec leurs modèles, s'inscrit dans le Domaine d'application prévu du CIDOC CRM.</w:t>
            </w:r>
          </w:p>
          <w:p w14:paraId="46043CB4" w14:textId="77777777" w:rsidR="00BF18CF" w:rsidRDefault="00E51347">
            <w:pPr>
              <w:numPr>
                <w:ilvl w:val="0"/>
                <w:numId w:val="1"/>
              </w:numPr>
            </w:pPr>
            <w:r>
              <w:t>Les informations requises uniquement pour l'administration et la gestion des institutions culturelles, telles que les informations relatives au personnel, à la comptabilité et aux statistiques des visiteurs, n'entrent pas dans le Domaine d'application prévu du CRM CIDOC.</w:t>
            </w:r>
          </w:p>
          <w:p w14:paraId="2B998E73" w14:textId="77777777" w:rsidR="00BF18CF" w:rsidRDefault="00E51347">
            <w:r>
              <w:lastRenderedPageBreak/>
              <w:t>Le Domaine d’application pratique</w:t>
            </w:r>
            <w:r>
              <w:rPr>
                <w:vertAlign w:val="superscript"/>
              </w:rPr>
              <w:t>2</w:t>
            </w:r>
            <w:r>
              <w:t xml:space="preserve"> du CIDOC CRM est exprimé en termes de normes de référence actuelles pour la documentation muséale qui ont été utilisées pour guider et valider le développement du CIDOC CRM. Le CIDOC CRM couvre le même domaine de discours que l'union de ces référentiels; cela signifie que pour les données correctement encodées conformément à ces normes de documentation muséale, il peut y avoir une expression CIDOC CRM compatible qui transmet la même signification. Des discussions sur les types de biais présents dans le CIDOC CRM sont en cours au sein de la communauté CIDOC CRM.</w:t>
            </w:r>
          </w:p>
          <w:p w14:paraId="3CFA8913" w14:textId="77777777" w:rsidR="00BF18CF" w:rsidRDefault="000467B7">
            <w:r>
              <w:pict w14:anchorId="43B499C2">
                <v:rect id="_x0000_i1025" style="width:0;height:1.5pt" o:hralign="center" o:hrstd="t" o:hr="t" fillcolor="#a0a0a0" stroked="f"/>
              </w:pict>
            </w:r>
          </w:p>
          <w:p w14:paraId="726979B0" w14:textId="77777777" w:rsidR="00BF18CF" w:rsidRDefault="00E51347">
            <w:r>
              <w:rPr>
                <w:vertAlign w:val="superscript"/>
              </w:rPr>
              <w:t>1</w:t>
            </w:r>
            <w:r>
              <w:t xml:space="preserve"> Les statuts de l'ICOM fournissent une définition du terme « musée » à l'adresse </w:t>
            </w:r>
            <w:hyperlink r:id="rId15" w:anchor="2">
              <w:r>
                <w:rPr>
                  <w:color w:val="4F81BD"/>
                </w:rPr>
                <w:t>http://icom.museum/statutes.html#2</w:t>
              </w:r>
            </w:hyperlink>
            <w:r>
              <w:t>(page non accessible).</w:t>
            </w:r>
          </w:p>
          <w:p w14:paraId="536E4255" w14:textId="77777777" w:rsidR="00BF18CF" w:rsidRDefault="00E51347">
            <w:r>
              <w:rPr>
                <w:vertAlign w:val="superscript"/>
              </w:rPr>
              <w:t>2</w:t>
            </w:r>
            <w:r>
              <w:t xml:space="preserve"> Le Domaine d'application pratique du CIDOC CRM, y compris une liste des normes de documentation muséales pertinentes, est discuté plus en détail sur le site Web du CIDOC CRM à l'adresse </w:t>
            </w:r>
            <w:hyperlink r:id="rId16">
              <w:r>
                <w:rPr>
                  <w:color w:val="4F81BD"/>
                </w:rPr>
                <w:t>http://cidoc.ics.forth.gr/scope.html</w:t>
              </w:r>
            </w:hyperlink>
            <w:r>
              <w:t>(page non accessible).</w:t>
            </w:r>
          </w:p>
        </w:tc>
      </w:tr>
    </w:tbl>
    <w:p w14:paraId="67232795" w14:textId="77777777" w:rsidR="00BF18CF" w:rsidRDefault="00BF18CF"/>
    <w:tbl>
      <w:tblPr>
        <w:tblStyle w:val="a4"/>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273B9DD1" w14:textId="77777777" w:rsidTr="00BF18CF">
        <w:tc>
          <w:tcPr>
            <w:tcW w:w="1828" w:type="dxa"/>
          </w:tcPr>
          <w:p w14:paraId="4AB26269" w14:textId="7235FC5A" w:rsidR="00BF18CF" w:rsidRDefault="00F27208">
            <w:r>
              <w:rPr>
                <w:i/>
              </w:rPr>
              <w:t>Note de traduction</w:t>
            </w:r>
          </w:p>
        </w:tc>
        <w:tc>
          <w:tcPr>
            <w:tcW w:w="8867" w:type="dxa"/>
          </w:tcPr>
          <w:p w14:paraId="38762379" w14:textId="77777777" w:rsidR="00BF18CF" w:rsidRDefault="00BF18CF">
            <w:pPr>
              <w:pBdr>
                <w:top w:val="nil"/>
                <w:left w:val="nil"/>
                <w:bottom w:val="nil"/>
                <w:right w:val="nil"/>
                <w:between w:val="nil"/>
              </w:pBdr>
              <w:spacing w:before="36" w:after="36"/>
              <w:rPr>
                <w:color w:val="000000"/>
              </w:rPr>
            </w:pPr>
          </w:p>
        </w:tc>
      </w:tr>
      <w:tr w:rsidR="00BF18CF" w14:paraId="10B360D0" w14:textId="77777777" w:rsidTr="00BF18CF">
        <w:tc>
          <w:tcPr>
            <w:tcW w:w="1828" w:type="dxa"/>
          </w:tcPr>
          <w:p w14:paraId="352231FE" w14:textId="77777777" w:rsidR="00BF18CF" w:rsidRDefault="00E51347">
            <w:r>
              <w:rPr>
                <w:i/>
              </w:rPr>
              <w:t>Références</w:t>
            </w:r>
          </w:p>
        </w:tc>
        <w:tc>
          <w:tcPr>
            <w:tcW w:w="8867" w:type="dxa"/>
          </w:tcPr>
          <w:p w14:paraId="7BE4B9A8" w14:textId="77777777" w:rsidR="00BF18CF" w:rsidRDefault="00BF18CF">
            <w:pPr>
              <w:pBdr>
                <w:top w:val="nil"/>
                <w:left w:val="nil"/>
                <w:bottom w:val="nil"/>
                <w:right w:val="nil"/>
                <w:between w:val="nil"/>
              </w:pBdr>
              <w:spacing w:before="36" w:after="36"/>
              <w:rPr>
                <w:color w:val="000000"/>
              </w:rPr>
            </w:pPr>
          </w:p>
        </w:tc>
      </w:tr>
    </w:tbl>
    <w:p w14:paraId="4C95CBED" w14:textId="77777777" w:rsidR="00BF18CF" w:rsidRDefault="00E51347">
      <w:pPr>
        <w:pStyle w:val="Heading1"/>
      </w:pPr>
      <w:bookmarkStart w:id="12" w:name="bookmark=id.3znysh7" w:colFirst="0" w:colLast="0"/>
      <w:bookmarkStart w:id="13" w:name="_Toc144360767"/>
      <w:bookmarkEnd w:id="12"/>
      <w:r>
        <w:t>Terminologie</w:t>
      </w:r>
      <w:bookmarkEnd w:id="13"/>
    </w:p>
    <w:tbl>
      <w:tblPr>
        <w:tblStyle w:val="a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30C2FF55" w14:textId="77777777" w:rsidTr="00BF18CF">
        <w:tc>
          <w:tcPr>
            <w:tcW w:w="10690" w:type="dxa"/>
          </w:tcPr>
          <w:p w14:paraId="29BD1E10" w14:textId="77777777" w:rsidR="00BF18CF" w:rsidRDefault="00E51347">
            <w:r>
              <w:t>Les définitions suivantes ont pour objectif d’aider le lecteur qui ne serait pas familier avec la terminologie de la modélisation orientée-objet ainsi que de préciser l’usage de termes qui ne sont parfois pas utilisés de manière uniforme par cette communauté de modélisation. Les éditeurs ont tenté d’utiliser une terminologie compatible avec les recommandations du World Wide Web Consortium quant au Resource Description Framework (RDF)</w:t>
            </w:r>
            <w:r>
              <w:rPr>
                <w:vertAlign w:val="superscript"/>
              </w:rPr>
              <w:t>3</w:t>
            </w:r>
            <w:r>
              <w:t xml:space="preserve">. Les éditeurs ont utilisé un langage compréhensible pour le lecteur qui ne serait pas un expert informatique tout en préconisant une précision suffisante pour servir les besoins d’un tel expert </w:t>
            </w:r>
            <w:proofErr w:type="gramStart"/>
            <w:r>
              <w:t>de manière à ce</w:t>
            </w:r>
            <w:proofErr w:type="gramEnd"/>
            <w:r>
              <w:t xml:space="preserve"> que l’un comme l’autre comprenne le sens du CIDOC CRM.</w:t>
            </w:r>
          </w:p>
          <w:p w14:paraId="573712EB" w14:textId="77777777" w:rsidR="00BF18CF" w:rsidRDefault="000467B7">
            <w:r>
              <w:pict w14:anchorId="027B9207">
                <v:rect id="_x0000_i1026" style="width:0;height:1.5pt" o:hralign="center" o:hrstd="t" o:hr="t" fillcolor="#a0a0a0" stroked="f"/>
              </w:pict>
            </w:r>
          </w:p>
          <w:p w14:paraId="76DDA9AB" w14:textId="77777777" w:rsidR="00BF18CF" w:rsidRDefault="00E51347">
            <w:r>
              <w:rPr>
                <w:vertAlign w:val="superscript"/>
              </w:rPr>
              <w:t>3</w:t>
            </w:r>
            <w:r>
              <w:t xml:space="preserve"> Plus d'informations au sujet du Resource Description Framework (RDF) sont disponibles au </w:t>
            </w:r>
            <w:hyperlink r:id="rId17">
              <w:r>
                <w:rPr>
                  <w:color w:val="4F81BD"/>
                </w:rPr>
                <w:t>http://www.w3.org/RDF/</w:t>
              </w:r>
            </w:hyperlink>
            <w:r>
              <w:t>.</w:t>
            </w:r>
          </w:p>
        </w:tc>
      </w:tr>
    </w:tbl>
    <w:p w14:paraId="43CA1D3F" w14:textId="77777777" w:rsidR="00BF18CF" w:rsidRDefault="00BF18CF"/>
    <w:tbl>
      <w:tblPr>
        <w:tblStyle w:val="a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389"/>
        <w:gridCol w:w="9301"/>
      </w:tblGrid>
      <w:tr w:rsidR="00BF18CF" w14:paraId="73990F24" w14:textId="77777777" w:rsidTr="00BF18CF">
        <w:tc>
          <w:tcPr>
            <w:tcW w:w="1389" w:type="dxa"/>
          </w:tcPr>
          <w:p w14:paraId="3BD0CAA9" w14:textId="6D13F0CA" w:rsidR="00BF18CF" w:rsidRDefault="00F27208">
            <w:r>
              <w:rPr>
                <w:i/>
              </w:rPr>
              <w:t>Note de traduction</w:t>
            </w:r>
          </w:p>
        </w:tc>
        <w:tc>
          <w:tcPr>
            <w:tcW w:w="9301" w:type="dxa"/>
          </w:tcPr>
          <w:p w14:paraId="53FB87E4" w14:textId="77777777" w:rsidR="00BF18CF" w:rsidRDefault="00E51347">
            <w:r>
              <w:t>Une recherche sommaire de la documentation technique traduite sur le site du World Wide Web Consortium ne révèle pas de traduction francophone de « Resource Description Framework (RDF) », de sorte que l’appellation anglophone est préconisée dans la présente traduction.</w:t>
            </w:r>
          </w:p>
        </w:tc>
      </w:tr>
      <w:tr w:rsidR="00BF18CF" w:rsidRPr="000467B7" w14:paraId="634B862C" w14:textId="77777777" w:rsidTr="00BF18CF">
        <w:tc>
          <w:tcPr>
            <w:tcW w:w="1389" w:type="dxa"/>
          </w:tcPr>
          <w:p w14:paraId="51E6C5B3" w14:textId="77777777" w:rsidR="00BF18CF" w:rsidRDefault="00E51347">
            <w:r>
              <w:rPr>
                <w:i/>
              </w:rPr>
              <w:t>Références</w:t>
            </w:r>
          </w:p>
        </w:tc>
        <w:tc>
          <w:tcPr>
            <w:tcW w:w="9301" w:type="dxa"/>
          </w:tcPr>
          <w:p w14:paraId="1D3B33FA" w14:textId="77777777" w:rsidR="00BF18CF" w:rsidRDefault="00E51347">
            <w:r w:rsidRPr="00EE61A5">
              <w:rPr>
                <w:lang w:val="en-CA"/>
              </w:rPr>
              <w:t>Berners-Lee, Tim, Tim Bray, Dan Connolly, Paul Cotton, Roy Fielding, Mario Jeckle, Chris Lilley, et al. « Architecture du World Wide Web: Volume Un ». Recommandation. 2005. Reprint, Cambridge, USA-MA: World Wide Web Consortium (W3C), 2006.</w:t>
            </w:r>
            <w:r w:rsidR="000467B7">
              <w:fldChar w:fldCharType="begin"/>
            </w:r>
            <w:r w:rsidR="000467B7" w:rsidRPr="000467B7">
              <w:rPr>
                <w:lang w:val="en-CA"/>
              </w:rPr>
              <w:instrText>HYPERLINK "http://www.opikanoba.org/tr/w3c/webarch/" \h</w:instrText>
            </w:r>
            <w:r w:rsidR="000467B7">
              <w:fldChar w:fldCharType="separate"/>
            </w:r>
            <w:r w:rsidRPr="00EE61A5">
              <w:rPr>
                <w:color w:val="4F81BD"/>
                <w:lang w:val="en-CA"/>
              </w:rPr>
              <w:t xml:space="preserve"> </w:t>
            </w:r>
            <w:r>
              <w:rPr>
                <w:color w:val="4F81BD"/>
              </w:rPr>
              <w:t>http://www.opikanoba.org/tr/w3c/webarch/</w:t>
            </w:r>
            <w:r w:rsidR="000467B7">
              <w:rPr>
                <w:color w:val="4F81BD"/>
              </w:rPr>
              <w:fldChar w:fldCharType="end"/>
            </w:r>
            <w:r>
              <w:t>.</w:t>
            </w:r>
          </w:p>
          <w:p w14:paraId="0345D065" w14:textId="77777777" w:rsidR="00BF18CF" w:rsidRPr="00EE61A5" w:rsidRDefault="00E51347">
            <w:pPr>
              <w:rPr>
                <w:lang w:val="en-CA"/>
              </w:rPr>
            </w:pPr>
            <w:r>
              <w:lastRenderedPageBreak/>
              <w:t>Berrueta, Diego, et Jon Phipps. « Méthodes exemplaires pour la publication des vocabulaires RDF ». Meilleures pratiques. Cambridge, USA-MA: World Wide Web Consortium (W3C), 28 août 2008.</w:t>
            </w:r>
            <w:hyperlink r:id="rId18">
              <w:r>
                <w:rPr>
                  <w:color w:val="4F81BD"/>
                </w:rPr>
                <w:t xml:space="preserve"> </w:t>
              </w:r>
              <w:r w:rsidRPr="00EE61A5">
                <w:rPr>
                  <w:color w:val="4F81BD"/>
                  <w:lang w:val="en-CA"/>
                </w:rPr>
                <w:t>http://www.yoyodesign.org/doc/w3c/swbp-vocab-pub/</w:t>
              </w:r>
            </w:hyperlink>
            <w:r w:rsidRPr="00EE61A5">
              <w:rPr>
                <w:lang w:val="en-CA"/>
              </w:rPr>
              <w:t>.</w:t>
            </w:r>
          </w:p>
          <w:p w14:paraId="28586C9D" w14:textId="77777777" w:rsidR="00BF18CF" w:rsidRPr="00EE61A5" w:rsidRDefault="00E51347">
            <w:pPr>
              <w:rPr>
                <w:lang w:val="en-CA"/>
              </w:rPr>
            </w:pPr>
            <w:r w:rsidRPr="00EE61A5">
              <w:rPr>
                <w:lang w:val="en-CA"/>
              </w:rPr>
              <w:t>World Wide Web Consortium (W3C). « Translations of W3C Technical Reports ». World Wide Web Consortium (W3C), 8 mars 2021.</w:t>
            </w:r>
            <w:r w:rsidR="000467B7">
              <w:fldChar w:fldCharType="begin"/>
            </w:r>
            <w:r w:rsidR="000467B7" w:rsidRPr="000467B7">
              <w:rPr>
                <w:lang w:val="en-CA"/>
              </w:rPr>
              <w:instrText>HYPERLINK "https://www.w3.org/Translations/" \h</w:instrText>
            </w:r>
            <w:r w:rsidR="000467B7">
              <w:fldChar w:fldCharType="separate"/>
            </w:r>
            <w:r w:rsidRPr="00EE61A5">
              <w:rPr>
                <w:color w:val="4F81BD"/>
                <w:lang w:val="en-CA"/>
              </w:rPr>
              <w:t xml:space="preserve"> https://www.w3.org/Translations/</w:t>
            </w:r>
            <w:r w:rsidR="000467B7">
              <w:rPr>
                <w:color w:val="4F81BD"/>
                <w:lang w:val="en-CA"/>
              </w:rPr>
              <w:fldChar w:fldCharType="end"/>
            </w:r>
            <w:r w:rsidRPr="00EE61A5">
              <w:rPr>
                <w:lang w:val="en-CA"/>
              </w:rPr>
              <w:t>.</w:t>
            </w:r>
          </w:p>
        </w:tc>
      </w:tr>
    </w:tbl>
    <w:p w14:paraId="63672D3C" w14:textId="77777777" w:rsidR="00BF18CF" w:rsidRPr="00EE61A5" w:rsidRDefault="00BF18CF">
      <w:pPr>
        <w:rPr>
          <w:lang w:val="en-CA"/>
        </w:rPr>
      </w:pPr>
    </w:p>
    <w:tbl>
      <w:tblPr>
        <w:tblStyle w:val="a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75"/>
        <w:gridCol w:w="8715"/>
      </w:tblGrid>
      <w:tr w:rsidR="00BF18CF" w14:paraId="21B3352D" w14:textId="77777777" w:rsidTr="005675C3">
        <w:tc>
          <w:tcPr>
            <w:tcW w:w="1975" w:type="dxa"/>
          </w:tcPr>
          <w:p w14:paraId="083F3C2E" w14:textId="77777777" w:rsidR="00BF18CF" w:rsidRPr="00EE61A5" w:rsidRDefault="00BF18CF">
            <w:pPr>
              <w:pBdr>
                <w:top w:val="nil"/>
                <w:left w:val="nil"/>
                <w:bottom w:val="nil"/>
                <w:right w:val="nil"/>
                <w:between w:val="nil"/>
              </w:pBdr>
              <w:spacing w:before="36" w:after="36"/>
              <w:rPr>
                <w:color w:val="000000"/>
                <w:lang w:val="en-CA"/>
              </w:rPr>
            </w:pPr>
            <w:bookmarkStart w:id="14" w:name="bookmark=id.2et92p0" w:colFirst="0" w:colLast="0"/>
            <w:bookmarkEnd w:id="14"/>
          </w:p>
          <w:p w14:paraId="7CF45AF8" w14:textId="77777777" w:rsidR="00BF18CF" w:rsidRDefault="00E51347">
            <w:r>
              <w:t>Classe</w:t>
            </w:r>
          </w:p>
        </w:tc>
        <w:tc>
          <w:tcPr>
            <w:tcW w:w="8715" w:type="dxa"/>
          </w:tcPr>
          <w:p w14:paraId="4552C704" w14:textId="77777777" w:rsidR="00BF18CF" w:rsidRDefault="00E51347">
            <w:r>
              <w:t>Une classe est une catégorie d'éléments qui partagent un ou plusieurs traits communs servant de critères pour identifier les éléments appartenant à cette classe. Ces traits communs n'ont pas besoin d'être explicitement formulés en termes logiques (appelés ici</w:t>
            </w:r>
            <w:hyperlink r:id="rId19" w:anchor="propriete">
              <w:r>
                <w:rPr>
                  <w:color w:val="4F81BD"/>
                </w:rPr>
                <w:t xml:space="preserve"> </w:t>
              </w:r>
            </w:hyperlink>
            <w:hyperlink r:id="rId20" w:anchor="propriete">
              <w:r>
                <w:rPr>
                  <w:b/>
                  <w:color w:val="4F81BD"/>
                </w:rPr>
                <w:t>propriétés</w:t>
              </w:r>
            </w:hyperlink>
            <w:r>
              <w:t>), mais peuvent être décrits dans un texte faisant référence à une conceptualisation commune des experts du domaine (texte appelé ici</w:t>
            </w:r>
            <w:hyperlink r:id="rId21" w:anchor="note-dapplication">
              <w:r>
                <w:rPr>
                  <w:color w:val="4F81BD"/>
                </w:rPr>
                <w:t xml:space="preserve"> </w:t>
              </w:r>
            </w:hyperlink>
            <w:hyperlink r:id="rId22" w:anchor="note-dapplication">
              <w:r>
                <w:rPr>
                  <w:b/>
                  <w:color w:val="4F81BD"/>
                </w:rPr>
                <w:t>note d'application</w:t>
              </w:r>
            </w:hyperlink>
            <w:r>
              <w:t>). La somme de ces traits s'appelle l'</w:t>
            </w:r>
            <w:hyperlink r:id="rId23" w:anchor="intension">
              <w:r>
                <w:rPr>
                  <w:b/>
                  <w:color w:val="4F81BD"/>
                </w:rPr>
                <w:t>intension</w:t>
              </w:r>
            </w:hyperlink>
            <w:r>
              <w:t xml:space="preserve"> de la classe. Une classe peut être le </w:t>
            </w:r>
            <w:hyperlink r:id="rId24" w:anchor="domaine">
              <w:r>
                <w:rPr>
                  <w:b/>
                  <w:color w:val="4F81BD"/>
                </w:rPr>
                <w:t>domaine</w:t>
              </w:r>
            </w:hyperlink>
            <w:r>
              <w:t xml:space="preserve"> ou la </w:t>
            </w:r>
            <w:hyperlink r:id="rId25" w:anchor="portee">
              <w:r>
                <w:rPr>
                  <w:b/>
                  <w:color w:val="4F81BD"/>
                </w:rPr>
                <w:t>portée</w:t>
              </w:r>
            </w:hyperlink>
            <w:r>
              <w:t xml:space="preserve"> d’aucune, d’une ou de plusieurs propriétés formellement définies dans un modèle. Les propriétés formellement définies n'ont pas besoin de faire partie de l'intension de leurs domaines ou portées : ces propriétés sont facultatives. Un élément qui appartient à une classe est appelé une </w:t>
            </w:r>
            <w:hyperlink r:id="rId26" w:anchor="instance">
              <w:r>
                <w:rPr>
                  <w:b/>
                  <w:color w:val="4F81BD"/>
                </w:rPr>
                <w:t>instance</w:t>
              </w:r>
            </w:hyperlink>
            <w:r>
              <w:t xml:space="preserve"> de cette classe. Une classe est associée à un ensemble ouvert d'instances réelles (l'</w:t>
            </w:r>
            <w:hyperlink r:id="rId27" w:anchor="extension">
              <w:r>
                <w:rPr>
                  <w:b/>
                  <w:color w:val="4F81BD"/>
                </w:rPr>
                <w:t>extension</w:t>
              </w:r>
            </w:hyperlink>
            <w:r>
              <w:t xml:space="preserve"> de la classe), ce qui veut dire qu’une capacité humaine normale ne permet pas de connaître toutes les instances d’une classe existant dans le « monde » à un moment donné, ni de prendre en compte les instances qui pourraient émerger dans le futur (voir </w:t>
            </w:r>
            <w:hyperlink r:id="rId28" w:anchor="monde-ouvert">
              <w:r>
                <w:rPr>
                  <w:b/>
                  <w:color w:val="4F81BD"/>
                </w:rPr>
                <w:t>Monde Ouvert</w:t>
              </w:r>
            </w:hyperlink>
            <w:r>
              <w:t>). Par conséquent, une classe ne peut pas être définie en énumérant ses instances.</w:t>
            </w:r>
          </w:p>
          <w:p w14:paraId="13A9C616" w14:textId="77777777" w:rsidR="00BF18CF" w:rsidRDefault="00E51347">
            <w:r>
              <w:t>Une classe joue un rôle analogue à un nom grammatical [n.d.t. dans le contexte d’une langue SVO, c.-à-d. une langue comme le français dont les phrases suivent généralement l’ordre sujet-verbe-objet] et peut être complètement définie sans référence à aucun autre construit (contrairement aux propriétés, qui doivent avoir un domaine et une portée définis sans ambiguïté).</w:t>
            </w:r>
          </w:p>
          <w:p w14:paraId="73210777" w14:textId="77777777" w:rsidR="00BF18CF" w:rsidRDefault="00E51347">
            <w:r>
              <w:t>Dans certains contextes, les termes classe individuelle, entité ou nœud sont utilisés comme synonymes de classe.</w:t>
            </w:r>
          </w:p>
          <w:p w14:paraId="55285963" w14:textId="77777777" w:rsidR="00BF18CF" w:rsidRDefault="00E51347">
            <w:r>
              <w:t>Par exemple :</w:t>
            </w:r>
          </w:p>
          <w:p w14:paraId="07FA203B" w14:textId="77777777" w:rsidR="00BF18CF" w:rsidRDefault="00E51347">
            <w:r>
              <w:rPr>
                <w:rFonts w:ascii="Consolas" w:eastAsia="Consolas" w:hAnsi="Consolas" w:cs="Consolas"/>
                <w:sz w:val="22"/>
                <w:szCs w:val="22"/>
                <w:shd w:val="clear" w:color="auto" w:fill="EAEEF3"/>
              </w:rPr>
              <w:t>E21_Personne</w:t>
            </w:r>
            <w:r>
              <w:t xml:space="preserve"> est une classe [n.d.t. désignant] ce que « nous » comprenons collectivement être une « personne », laquelle peut être déterminée par des caractéristiques de l’ADN par exemple. Une instance de </w:t>
            </w:r>
            <w:r>
              <w:rPr>
                <w:rFonts w:ascii="Consolas" w:eastAsia="Consolas" w:hAnsi="Consolas" w:cs="Consolas"/>
                <w:sz w:val="22"/>
                <w:szCs w:val="22"/>
                <w:shd w:val="clear" w:color="auto" w:fill="EAEEF3"/>
              </w:rPr>
              <w:t>E21_Personne</w:t>
            </w:r>
            <w:r>
              <w:t xml:space="preserve"> peut avoir la propriété d'être membre d'un groupe (</w:t>
            </w:r>
            <w:r>
              <w:rPr>
                <w:rFonts w:ascii="Consolas" w:eastAsia="Consolas" w:hAnsi="Consolas" w:cs="Consolas"/>
                <w:sz w:val="22"/>
                <w:szCs w:val="22"/>
                <w:shd w:val="clear" w:color="auto" w:fill="EAEEF3"/>
              </w:rPr>
              <w:t>E74_Groupe</w:t>
            </w:r>
            <w:r>
              <w:t xml:space="preserve">), mais il n'est pas nécessaire d'être membre d'une </w:t>
            </w:r>
            <w:r>
              <w:rPr>
                <w:rFonts w:ascii="Consolas" w:eastAsia="Consolas" w:hAnsi="Consolas" w:cs="Consolas"/>
                <w:sz w:val="22"/>
                <w:szCs w:val="22"/>
                <w:shd w:val="clear" w:color="auto" w:fill="EAEEF3"/>
              </w:rPr>
              <w:t>E74_Groupe</w:t>
            </w:r>
            <w:r>
              <w:t xml:space="preserve"> pour être une </w:t>
            </w:r>
            <w:r>
              <w:rPr>
                <w:rFonts w:ascii="Consolas" w:eastAsia="Consolas" w:hAnsi="Consolas" w:cs="Consolas"/>
                <w:sz w:val="22"/>
                <w:szCs w:val="22"/>
                <w:shd w:val="clear" w:color="auto" w:fill="EAEEF3"/>
              </w:rPr>
              <w:t>E21_Personne</w:t>
            </w:r>
            <w:r>
              <w:t xml:space="preserve"> et il n’est pas possible de connaître toutes les personnes du passé tout comme il y aura plus de personnes dans le futur.</w:t>
            </w:r>
          </w:p>
        </w:tc>
      </w:tr>
      <w:tr w:rsidR="00BF18CF" w14:paraId="06150615" w14:textId="77777777" w:rsidTr="005675C3">
        <w:tc>
          <w:tcPr>
            <w:tcW w:w="1975" w:type="dxa"/>
          </w:tcPr>
          <w:p w14:paraId="730BCC99" w14:textId="51727E83" w:rsidR="00BF18CF" w:rsidRDefault="00F27208">
            <w:r>
              <w:rPr>
                <w:i/>
              </w:rPr>
              <w:t>Note de traduction</w:t>
            </w:r>
          </w:p>
        </w:tc>
        <w:tc>
          <w:tcPr>
            <w:tcW w:w="8715" w:type="dxa"/>
          </w:tcPr>
          <w:p w14:paraId="26B4EDD7" w14:textId="77777777" w:rsidR="00BF18CF" w:rsidRDefault="00BF18CF">
            <w:pPr>
              <w:pBdr>
                <w:top w:val="nil"/>
                <w:left w:val="nil"/>
                <w:bottom w:val="nil"/>
                <w:right w:val="nil"/>
                <w:between w:val="nil"/>
              </w:pBdr>
              <w:spacing w:before="36" w:after="36"/>
              <w:rPr>
                <w:color w:val="000000"/>
              </w:rPr>
            </w:pPr>
          </w:p>
        </w:tc>
      </w:tr>
      <w:tr w:rsidR="00BF18CF" w:rsidRPr="000467B7" w14:paraId="64EFFEA3" w14:textId="77777777" w:rsidTr="005675C3">
        <w:tc>
          <w:tcPr>
            <w:tcW w:w="1975" w:type="dxa"/>
          </w:tcPr>
          <w:p w14:paraId="6F971736" w14:textId="77777777" w:rsidR="00BF18CF" w:rsidRDefault="00E51347">
            <w:r>
              <w:rPr>
                <w:i/>
              </w:rPr>
              <w:lastRenderedPageBreak/>
              <w:t>Références</w:t>
            </w:r>
          </w:p>
        </w:tc>
        <w:tc>
          <w:tcPr>
            <w:tcW w:w="8715" w:type="dxa"/>
          </w:tcPr>
          <w:p w14:paraId="12626CAE" w14:textId="77777777" w:rsidR="00BF18CF" w:rsidRPr="00EE61A5" w:rsidRDefault="00E51347">
            <w:pPr>
              <w:rPr>
                <w:lang w:val="en-CA"/>
              </w:rPr>
            </w:pPr>
            <w:r>
              <w:t xml:space="preserve">Wikipédia. « Langue SVO ». Dans </w:t>
            </w:r>
            <w:r>
              <w:rPr>
                <w:i/>
              </w:rPr>
              <w:t>Wikipédia</w:t>
            </w:r>
            <w:r>
              <w:t xml:space="preserve">. </w:t>
            </w:r>
            <w:r w:rsidRPr="00EE61A5">
              <w:rPr>
                <w:lang w:val="en-CA"/>
              </w:rPr>
              <w:t>San Francisco, US-CA: Wikipédia, 31 octobre 2020.</w:t>
            </w:r>
            <w:r w:rsidR="000467B7">
              <w:fldChar w:fldCharType="begin"/>
            </w:r>
            <w:r w:rsidR="000467B7" w:rsidRPr="000467B7">
              <w:rPr>
                <w:lang w:val="en-CA"/>
              </w:rPr>
              <w:instrText>HYPERLINK "https://fr.wikipedia.org/w/index.php?title=Langue_SVO&amp;oldid=176099662" \h</w:instrText>
            </w:r>
            <w:r w:rsidR="000467B7">
              <w:fldChar w:fldCharType="separate"/>
            </w:r>
            <w:r w:rsidRPr="00EE61A5">
              <w:rPr>
                <w:color w:val="4F81BD"/>
                <w:lang w:val="en-CA"/>
              </w:rPr>
              <w:t xml:space="preserve"> https://fr.wikipedia.org/w/index.php?title=Langue_SVO&amp;oldid=176099662</w:t>
            </w:r>
            <w:r w:rsidR="000467B7">
              <w:rPr>
                <w:color w:val="4F81BD"/>
                <w:lang w:val="en-CA"/>
              </w:rPr>
              <w:fldChar w:fldCharType="end"/>
            </w:r>
            <w:r w:rsidRPr="00EE61A5">
              <w:rPr>
                <w:lang w:val="en-CA"/>
              </w:rPr>
              <w:t>.</w:t>
            </w:r>
          </w:p>
        </w:tc>
      </w:tr>
      <w:tr w:rsidR="00BF18CF" w14:paraId="71BDE01F" w14:textId="77777777" w:rsidTr="005675C3">
        <w:tc>
          <w:tcPr>
            <w:tcW w:w="1975" w:type="dxa"/>
          </w:tcPr>
          <w:p w14:paraId="6608B297" w14:textId="77777777" w:rsidR="00BF18CF" w:rsidRPr="00EE61A5" w:rsidRDefault="00BF18CF">
            <w:pPr>
              <w:pBdr>
                <w:top w:val="nil"/>
                <w:left w:val="nil"/>
                <w:bottom w:val="nil"/>
                <w:right w:val="nil"/>
                <w:between w:val="nil"/>
              </w:pBdr>
              <w:spacing w:before="36" w:after="36"/>
              <w:rPr>
                <w:color w:val="000000"/>
                <w:lang w:val="en-CA"/>
              </w:rPr>
            </w:pPr>
            <w:bookmarkStart w:id="15" w:name="bookmark=id.tyjcwt" w:colFirst="0" w:colLast="0"/>
            <w:bookmarkEnd w:id="15"/>
          </w:p>
          <w:p w14:paraId="76B842F6" w14:textId="77777777" w:rsidR="00BF18CF" w:rsidRDefault="00E51347">
            <w:r>
              <w:t>Sous-classe</w:t>
            </w:r>
          </w:p>
        </w:tc>
        <w:tc>
          <w:tcPr>
            <w:tcW w:w="8715" w:type="dxa"/>
          </w:tcPr>
          <w:p w14:paraId="15EDDE17" w14:textId="77777777" w:rsidR="00BF18CF" w:rsidRDefault="00E51347">
            <w:r>
              <w:t xml:space="preserve">Une sous-classe est une </w:t>
            </w:r>
            <w:hyperlink r:id="rId29" w:anchor="classe">
              <w:r>
                <w:rPr>
                  <w:color w:val="4F81BD"/>
                </w:rPr>
                <w:t>classe</w:t>
              </w:r>
            </w:hyperlink>
            <w:r>
              <w:t xml:space="preserve"> qui est une spécialisation d'une autre classe (sa </w:t>
            </w:r>
            <w:hyperlink r:id="rId30" w:anchor="super-classe">
              <w:r>
                <w:rPr>
                  <w:color w:val="4F81BD"/>
                </w:rPr>
                <w:t>super-classe</w:t>
              </w:r>
            </w:hyperlink>
            <w:r>
              <w:t xml:space="preserve">). La spécialisation ou la relation </w:t>
            </w:r>
            <w:r>
              <w:rPr>
                <w:rFonts w:ascii="Consolas" w:eastAsia="Consolas" w:hAnsi="Consolas" w:cs="Consolas"/>
                <w:sz w:val="22"/>
                <w:szCs w:val="22"/>
                <w:shd w:val="clear" w:color="auto" w:fill="EAEEF3"/>
              </w:rPr>
              <w:t>estUn</w:t>
            </w:r>
            <w:r>
              <w:t xml:space="preserve"> signifie que :</w:t>
            </w:r>
          </w:p>
          <w:p w14:paraId="616DE29C" w14:textId="77777777" w:rsidR="00BF18CF" w:rsidRDefault="00E51347">
            <w:pPr>
              <w:numPr>
                <w:ilvl w:val="0"/>
                <w:numId w:val="2"/>
              </w:numPr>
            </w:pPr>
            <w:proofErr w:type="gramStart"/>
            <w:r>
              <w:t>toutes</w:t>
            </w:r>
            <w:proofErr w:type="gramEnd"/>
            <w:r>
              <w:t xml:space="preserve"> les instances de la sous-classe sont également des instances de sa superclasse;</w:t>
            </w:r>
          </w:p>
          <w:p w14:paraId="4F9B54BC" w14:textId="77777777" w:rsidR="00BF18CF" w:rsidRDefault="00E51347">
            <w:pPr>
              <w:numPr>
                <w:ilvl w:val="0"/>
                <w:numId w:val="2"/>
              </w:numPr>
            </w:pPr>
            <w:proofErr w:type="gramStart"/>
            <w:r>
              <w:t>l</w:t>
            </w:r>
            <w:proofErr w:type="gramEnd"/>
            <w:r w:rsidR="00BC239A">
              <w:fldChar w:fldCharType="begin"/>
            </w:r>
            <w:r w:rsidR="00BC239A">
              <w:instrText>HYPERLINK "https://chin-rcip.github.io/cidoc_crm_fr/v7.1/information/terminologie" \l "intension" \h</w:instrText>
            </w:r>
            <w:r w:rsidR="00BC239A">
              <w:fldChar w:fldCharType="separate"/>
            </w:r>
            <w:r>
              <w:rPr>
                <w:color w:val="4F81BD"/>
              </w:rPr>
              <w:t>'intension</w:t>
            </w:r>
            <w:r w:rsidR="00BC239A">
              <w:rPr>
                <w:color w:val="4F81BD"/>
              </w:rPr>
              <w:fldChar w:fldCharType="end"/>
            </w:r>
            <w:r>
              <w:t xml:space="preserve"> de la sous-classe étend l'intension de sa super-classe, c'est-à-dire que ses traits sont plus restrictifs que celui de sa super-classe;</w:t>
            </w:r>
          </w:p>
          <w:p w14:paraId="150E96E0" w14:textId="77777777" w:rsidR="00BF18CF" w:rsidRDefault="00E51347">
            <w:pPr>
              <w:numPr>
                <w:ilvl w:val="0"/>
                <w:numId w:val="2"/>
              </w:numPr>
            </w:pPr>
            <w:r>
              <w:t xml:space="preserve">la sous-classe </w:t>
            </w:r>
            <w:hyperlink r:id="rId31" w:anchor="heritage">
              <w:r>
                <w:rPr>
                  <w:color w:val="4F81BD"/>
                </w:rPr>
                <w:t>hérite</w:t>
              </w:r>
            </w:hyperlink>
            <w:r>
              <w:t xml:space="preserve"> de la définition de toutes les propriétés déclarées pour sa super-classe, et ce sans exception (</w:t>
            </w:r>
            <w:hyperlink r:id="rId32" w:anchor="heritage-strict">
              <w:r>
                <w:rPr>
                  <w:color w:val="4F81BD"/>
                </w:rPr>
                <w:t>héritage strict</w:t>
              </w:r>
            </w:hyperlink>
            <w:r>
              <w:t>), en plus de n'avoir aucune, une ou plusieurs propriétés qui lui sont propres.</w:t>
            </w:r>
          </w:p>
          <w:p w14:paraId="6BBEDC66" w14:textId="77777777" w:rsidR="00BF18CF" w:rsidRDefault="00E51347">
            <w:r>
              <w:t>Une sous-classe peut relever directement de plus d'une super-classe et hériter par conséquent des propriétés de toutes ses super-classes (</w:t>
            </w:r>
            <w:hyperlink r:id="rId33" w:anchor="heritage-multiple">
              <w:r>
                <w:rPr>
                  <w:b/>
                  <w:color w:val="4F81BD"/>
                </w:rPr>
                <w:t>héritage multiple</w:t>
              </w:r>
            </w:hyperlink>
            <w:r>
              <w:t xml:space="preserve">). La relation </w:t>
            </w:r>
            <w:r>
              <w:rPr>
                <w:rFonts w:ascii="Consolas" w:eastAsia="Consolas" w:hAnsi="Consolas" w:cs="Consolas"/>
                <w:sz w:val="22"/>
                <w:szCs w:val="22"/>
                <w:shd w:val="clear" w:color="auto" w:fill="EAEEF3"/>
              </w:rPr>
              <w:t>estUn</w:t>
            </w:r>
            <w:r>
              <w:t xml:space="preserve"> (ou la spécialisation entre deux ou plusieurs classes) résulte en une hiérarchie de classes. C’est une relation transitive qui peut ne pas être cyclique. Dans certains contextes (p. ex. le langage de programmation C ++), le terme « classe dérivée » est utilisé comme synonyme de sous-classe.</w:t>
            </w:r>
          </w:p>
          <w:p w14:paraId="141A2AC5" w14:textId="77777777" w:rsidR="00BF18CF" w:rsidRDefault="00E51347">
            <w:r>
              <w:t>Par exemple :</w:t>
            </w:r>
          </w:p>
          <w:p w14:paraId="4AE788D4" w14:textId="77777777" w:rsidR="00BF18CF" w:rsidRDefault="00E51347">
            <w:r>
              <w:t xml:space="preserve">Chaque </w:t>
            </w:r>
            <w:r>
              <w:rPr>
                <w:rFonts w:ascii="Consolas" w:eastAsia="Consolas" w:hAnsi="Consolas" w:cs="Consolas"/>
                <w:sz w:val="22"/>
                <w:szCs w:val="22"/>
                <w:shd w:val="clear" w:color="auto" w:fill="EAEEF3"/>
              </w:rPr>
              <w:t>E21_Personne</w:t>
            </w:r>
            <w:r>
              <w:t xml:space="preserve"> </w:t>
            </w:r>
            <w:r>
              <w:rPr>
                <w:rFonts w:ascii="Consolas" w:eastAsia="Consolas" w:hAnsi="Consolas" w:cs="Consolas"/>
                <w:sz w:val="22"/>
                <w:szCs w:val="22"/>
                <w:shd w:val="clear" w:color="auto" w:fill="EAEEF3"/>
              </w:rPr>
              <w:t>estUn</w:t>
            </w:r>
            <w:r>
              <w:t xml:space="preserve"> </w:t>
            </w:r>
            <w:r>
              <w:rPr>
                <w:rFonts w:ascii="Consolas" w:eastAsia="Consolas" w:hAnsi="Consolas" w:cs="Consolas"/>
                <w:sz w:val="22"/>
                <w:szCs w:val="22"/>
                <w:shd w:val="clear" w:color="auto" w:fill="EAEEF3"/>
              </w:rPr>
              <w:t>E20_Objet_biologique</w:t>
            </w:r>
            <w:r>
              <w:t xml:space="preserve">, où </w:t>
            </w:r>
            <w:r>
              <w:rPr>
                <w:rFonts w:ascii="Consolas" w:eastAsia="Consolas" w:hAnsi="Consolas" w:cs="Consolas"/>
                <w:sz w:val="22"/>
                <w:szCs w:val="22"/>
                <w:shd w:val="clear" w:color="auto" w:fill="EAEEF3"/>
              </w:rPr>
              <w:t>E21_Personne</w:t>
            </w:r>
            <w:r>
              <w:t xml:space="preserve"> est une sous-classe de </w:t>
            </w:r>
            <w:r>
              <w:rPr>
                <w:rFonts w:ascii="Consolas" w:eastAsia="Consolas" w:hAnsi="Consolas" w:cs="Consolas"/>
                <w:sz w:val="22"/>
                <w:szCs w:val="22"/>
                <w:shd w:val="clear" w:color="auto" w:fill="EAEEF3"/>
              </w:rPr>
              <w:t>E20_Objet_biologique</w:t>
            </w:r>
            <w:r>
              <w:t>.</w:t>
            </w:r>
          </w:p>
          <w:p w14:paraId="2F790EE0" w14:textId="77777777" w:rsidR="00BF18CF" w:rsidRDefault="00E51347">
            <w:r>
              <w:t xml:space="preserve">De plus, chaque </w:t>
            </w:r>
            <w:r>
              <w:rPr>
                <w:rFonts w:ascii="Consolas" w:eastAsia="Consolas" w:hAnsi="Consolas" w:cs="Consolas"/>
                <w:sz w:val="22"/>
                <w:szCs w:val="22"/>
                <w:shd w:val="clear" w:color="auto" w:fill="EAEEF3"/>
              </w:rPr>
              <w:t>E21_Personne</w:t>
            </w:r>
            <w:r>
              <w:t xml:space="preserve"> </w:t>
            </w:r>
            <w:r>
              <w:rPr>
                <w:rFonts w:ascii="Consolas" w:eastAsia="Consolas" w:hAnsi="Consolas" w:cs="Consolas"/>
                <w:sz w:val="22"/>
                <w:szCs w:val="22"/>
                <w:shd w:val="clear" w:color="auto" w:fill="EAEEF3"/>
              </w:rPr>
              <w:t>estUn</w:t>
            </w:r>
            <w:r>
              <w:t xml:space="preserve"> </w:t>
            </w:r>
            <w:r>
              <w:rPr>
                <w:rFonts w:ascii="Consolas" w:eastAsia="Consolas" w:hAnsi="Consolas" w:cs="Consolas"/>
                <w:sz w:val="22"/>
                <w:szCs w:val="22"/>
                <w:shd w:val="clear" w:color="auto" w:fill="EAEEF3"/>
              </w:rPr>
              <w:t>E39_Actant</w:t>
            </w:r>
            <w:r>
              <w:t xml:space="preserve">. Une </w:t>
            </w:r>
            <w:r>
              <w:rPr>
                <w:rFonts w:ascii="Consolas" w:eastAsia="Consolas" w:hAnsi="Consolas" w:cs="Consolas"/>
                <w:sz w:val="22"/>
                <w:szCs w:val="22"/>
                <w:shd w:val="clear" w:color="auto" w:fill="EAEEF3"/>
              </w:rPr>
              <w:t>E21_Personne</w:t>
            </w:r>
            <w:r>
              <w:t xml:space="preserve"> peut mourir, bien que d’autres types [n.d.t. d’instances] de </w:t>
            </w:r>
            <w:r>
              <w:rPr>
                <w:rFonts w:ascii="Consolas" w:eastAsia="Consolas" w:hAnsi="Consolas" w:cs="Consolas"/>
                <w:sz w:val="22"/>
                <w:szCs w:val="22"/>
                <w:shd w:val="clear" w:color="auto" w:fill="EAEEF3"/>
              </w:rPr>
              <w:t>E39_Actant</w:t>
            </w:r>
            <w:r>
              <w:t>, comme les entreprises, ne meurent pas (cf. 2).</w:t>
            </w:r>
          </w:p>
          <w:p w14:paraId="523C6364" w14:textId="77777777" w:rsidR="00BF18CF" w:rsidRDefault="00E51347">
            <w:r>
              <w:t xml:space="preserve">Chaque </w:t>
            </w:r>
            <w:r>
              <w:rPr>
                <w:rFonts w:ascii="Consolas" w:eastAsia="Consolas" w:hAnsi="Consolas" w:cs="Consolas"/>
                <w:sz w:val="22"/>
                <w:szCs w:val="22"/>
                <w:shd w:val="clear" w:color="auto" w:fill="EAEEF3"/>
              </w:rPr>
              <w:t>E20_Objet_biologique</w:t>
            </w:r>
            <w:r>
              <w:t xml:space="preserve"> </w:t>
            </w:r>
            <w:r>
              <w:rPr>
                <w:rFonts w:ascii="Consolas" w:eastAsia="Consolas" w:hAnsi="Consolas" w:cs="Consolas"/>
                <w:sz w:val="22"/>
                <w:szCs w:val="22"/>
                <w:shd w:val="clear" w:color="auto" w:fill="EAEEF3"/>
              </w:rPr>
              <w:t>estUn</w:t>
            </w:r>
            <w:r>
              <w:t xml:space="preserve"> </w:t>
            </w:r>
            <w:r>
              <w:rPr>
                <w:rFonts w:ascii="Consolas" w:eastAsia="Consolas" w:hAnsi="Consolas" w:cs="Consolas"/>
                <w:sz w:val="22"/>
                <w:szCs w:val="22"/>
                <w:shd w:val="clear" w:color="auto" w:fill="EAEEF3"/>
              </w:rPr>
              <w:t>E19_Objet_matériel</w:t>
            </w:r>
            <w:r>
              <w:t xml:space="preserve">. Un </w:t>
            </w:r>
            <w:r>
              <w:rPr>
                <w:rFonts w:ascii="Consolas" w:eastAsia="Consolas" w:hAnsi="Consolas" w:cs="Consolas"/>
                <w:sz w:val="22"/>
                <w:szCs w:val="22"/>
                <w:shd w:val="clear" w:color="auto" w:fill="EAEEF3"/>
              </w:rPr>
              <w:t>E19_Objet_matériel</w:t>
            </w:r>
            <w:r>
              <w:t xml:space="preserve"> peut être déplacé, ce qui implique qu’une </w:t>
            </w:r>
            <w:r>
              <w:rPr>
                <w:rFonts w:ascii="Consolas" w:eastAsia="Consolas" w:hAnsi="Consolas" w:cs="Consolas"/>
                <w:sz w:val="22"/>
                <w:szCs w:val="22"/>
                <w:shd w:val="clear" w:color="auto" w:fill="EAEEF3"/>
              </w:rPr>
              <w:t>E21_Personne</w:t>
            </w:r>
            <w:r>
              <w:t xml:space="preserve"> peut également être déplacée (c.f. 3).</w:t>
            </w:r>
          </w:p>
        </w:tc>
      </w:tr>
      <w:tr w:rsidR="00BF18CF" w14:paraId="380AF89D" w14:textId="77777777" w:rsidTr="005675C3">
        <w:tc>
          <w:tcPr>
            <w:tcW w:w="1975" w:type="dxa"/>
          </w:tcPr>
          <w:p w14:paraId="1C4BFB93" w14:textId="47C2E058" w:rsidR="00BF18CF" w:rsidRDefault="00F27208">
            <w:r>
              <w:rPr>
                <w:i/>
              </w:rPr>
              <w:t>Note de traduction</w:t>
            </w:r>
          </w:p>
        </w:tc>
        <w:tc>
          <w:tcPr>
            <w:tcW w:w="8715" w:type="dxa"/>
          </w:tcPr>
          <w:p w14:paraId="29FF090D" w14:textId="77777777" w:rsidR="00BF18CF" w:rsidRDefault="00BF18CF">
            <w:pPr>
              <w:pBdr>
                <w:top w:val="nil"/>
                <w:left w:val="nil"/>
                <w:bottom w:val="nil"/>
                <w:right w:val="nil"/>
                <w:between w:val="nil"/>
              </w:pBdr>
              <w:spacing w:before="36" w:after="36"/>
              <w:rPr>
                <w:color w:val="000000"/>
              </w:rPr>
            </w:pPr>
          </w:p>
        </w:tc>
      </w:tr>
      <w:tr w:rsidR="00BF18CF" w14:paraId="0388BFE5" w14:textId="77777777" w:rsidTr="005675C3">
        <w:tc>
          <w:tcPr>
            <w:tcW w:w="1975" w:type="dxa"/>
          </w:tcPr>
          <w:p w14:paraId="17F05E0D" w14:textId="77777777" w:rsidR="00BF18CF" w:rsidRDefault="00E51347">
            <w:r>
              <w:rPr>
                <w:i/>
              </w:rPr>
              <w:t>Références</w:t>
            </w:r>
          </w:p>
        </w:tc>
        <w:tc>
          <w:tcPr>
            <w:tcW w:w="8715" w:type="dxa"/>
          </w:tcPr>
          <w:p w14:paraId="7B54E958" w14:textId="77777777" w:rsidR="00BF18CF" w:rsidRDefault="00BF18CF">
            <w:pPr>
              <w:pBdr>
                <w:top w:val="nil"/>
                <w:left w:val="nil"/>
                <w:bottom w:val="nil"/>
                <w:right w:val="nil"/>
                <w:between w:val="nil"/>
              </w:pBdr>
              <w:spacing w:before="36" w:after="36"/>
              <w:rPr>
                <w:color w:val="000000"/>
              </w:rPr>
            </w:pPr>
          </w:p>
        </w:tc>
      </w:tr>
      <w:tr w:rsidR="00BF18CF" w14:paraId="35A32802" w14:textId="77777777" w:rsidTr="005675C3">
        <w:tc>
          <w:tcPr>
            <w:tcW w:w="1975" w:type="dxa"/>
          </w:tcPr>
          <w:p w14:paraId="30366F76" w14:textId="77777777" w:rsidR="00BF18CF" w:rsidRDefault="00BF18CF">
            <w:pPr>
              <w:pBdr>
                <w:top w:val="nil"/>
                <w:left w:val="nil"/>
                <w:bottom w:val="nil"/>
                <w:right w:val="nil"/>
                <w:between w:val="nil"/>
              </w:pBdr>
              <w:spacing w:before="36" w:after="36"/>
              <w:rPr>
                <w:color w:val="000000"/>
              </w:rPr>
            </w:pPr>
            <w:bookmarkStart w:id="16" w:name="bookmark=id.3dy6vkm" w:colFirst="0" w:colLast="0"/>
            <w:bookmarkEnd w:id="16"/>
          </w:p>
          <w:p w14:paraId="335ECF58" w14:textId="77777777" w:rsidR="00BF18CF" w:rsidRDefault="00E51347">
            <w:r>
              <w:t>Super-classe</w:t>
            </w:r>
          </w:p>
        </w:tc>
        <w:tc>
          <w:tcPr>
            <w:tcW w:w="8715" w:type="dxa"/>
          </w:tcPr>
          <w:p w14:paraId="574535C3" w14:textId="77777777" w:rsidR="00BF18CF" w:rsidRDefault="00E51347">
            <w:r>
              <w:t xml:space="preserve">Une super-classe est une </w:t>
            </w:r>
            <w:hyperlink r:id="rId34" w:anchor="classe">
              <w:r>
                <w:rPr>
                  <w:b/>
                  <w:color w:val="4F81BD"/>
                </w:rPr>
                <w:t>classe</w:t>
              </w:r>
            </w:hyperlink>
            <w:r>
              <w:t xml:space="preserve"> qui est une généralisation d'une ou de plusieurs autres classes (ses </w:t>
            </w:r>
            <w:hyperlink r:id="rId35" w:anchor="sous-classe">
              <w:r>
                <w:rPr>
                  <w:b/>
                  <w:color w:val="4F81BD"/>
                </w:rPr>
                <w:t>sous-classes</w:t>
              </w:r>
            </w:hyperlink>
            <w:r>
              <w:t xml:space="preserve">), ce qui signifie qu'elle englobe toutes les </w:t>
            </w:r>
            <w:hyperlink r:id="rId36" w:anchor="instance">
              <w:r>
                <w:rPr>
                  <w:b/>
                  <w:color w:val="4F81BD"/>
                </w:rPr>
                <w:t>instances</w:t>
              </w:r>
            </w:hyperlink>
            <w:r>
              <w:t xml:space="preserve"> de ses sous-classes et qu'elle peut également avoir des instances supplémentaires qui n'appartiennent à aucune de ses sous-classes. L'</w:t>
            </w:r>
            <w:hyperlink r:id="rId37" w:anchor="intension">
              <w:r>
                <w:rPr>
                  <w:b/>
                  <w:color w:val="4F81BD"/>
                </w:rPr>
                <w:t>intension</w:t>
              </w:r>
            </w:hyperlink>
            <w:r>
              <w:t xml:space="preserve"> de la super-classe est moins restrictive que n'importe laquelle de ses sous-classes. Cette relation de subsomption ou de généralisation est l’inverse de la relation ou de la spécialisation </w:t>
            </w:r>
            <w:r>
              <w:rPr>
                <w:rFonts w:ascii="Consolas" w:eastAsia="Consolas" w:hAnsi="Consolas" w:cs="Consolas"/>
                <w:sz w:val="22"/>
                <w:szCs w:val="22"/>
                <w:shd w:val="clear" w:color="auto" w:fill="EAEEF3"/>
              </w:rPr>
              <w:t>estUn</w:t>
            </w:r>
            <w:r>
              <w:t>.</w:t>
            </w:r>
          </w:p>
          <w:p w14:paraId="152C6F08" w14:textId="77777777" w:rsidR="00BF18CF" w:rsidRDefault="00E51347">
            <w:r>
              <w:t>Dans certains contextes (p. ex. le langage de programmation C ++), le terme « classe parent » est utilisé comme synonyme de super-classe.</w:t>
            </w:r>
          </w:p>
          <w:p w14:paraId="64AC3CAD" w14:textId="77777777" w:rsidR="00BF18CF" w:rsidRDefault="00E51347">
            <w:r>
              <w:lastRenderedPageBreak/>
              <w:t>Par exemple :</w:t>
            </w:r>
          </w:p>
          <w:p w14:paraId="3EA0B095" w14:textId="77777777" w:rsidR="00BF18CF" w:rsidRDefault="00E51347">
            <w:r>
              <w:t>« </w:t>
            </w:r>
            <w:r>
              <w:rPr>
                <w:rFonts w:ascii="Consolas" w:eastAsia="Consolas" w:hAnsi="Consolas" w:cs="Consolas"/>
                <w:sz w:val="22"/>
                <w:szCs w:val="22"/>
                <w:shd w:val="clear" w:color="auto" w:fill="EAEEF3"/>
              </w:rPr>
              <w:t>E20_Objet_biologique</w:t>
            </w:r>
            <w:r>
              <w:t xml:space="preserve"> subsume </w:t>
            </w:r>
            <w:r>
              <w:rPr>
                <w:rFonts w:ascii="Consolas" w:eastAsia="Consolas" w:hAnsi="Consolas" w:cs="Consolas"/>
                <w:sz w:val="22"/>
                <w:szCs w:val="22"/>
                <w:shd w:val="clear" w:color="auto" w:fill="EAEEF3"/>
              </w:rPr>
              <w:t>E21_Personne</w:t>
            </w:r>
            <w:r>
              <w:t> » est synonyme de « </w:t>
            </w:r>
            <w:r>
              <w:rPr>
                <w:rFonts w:ascii="Consolas" w:eastAsia="Consolas" w:hAnsi="Consolas" w:cs="Consolas"/>
                <w:sz w:val="22"/>
                <w:szCs w:val="22"/>
                <w:shd w:val="clear" w:color="auto" w:fill="EAEEF3"/>
              </w:rPr>
              <w:t>E20_Objet_biologique</w:t>
            </w:r>
            <w:r>
              <w:t xml:space="preserve"> est une super-classe de </w:t>
            </w:r>
            <w:r>
              <w:rPr>
                <w:rFonts w:ascii="Consolas" w:eastAsia="Consolas" w:hAnsi="Consolas" w:cs="Consolas"/>
                <w:sz w:val="22"/>
                <w:szCs w:val="22"/>
                <w:shd w:val="clear" w:color="auto" w:fill="EAEEF3"/>
              </w:rPr>
              <w:t>E21_Personne</w:t>
            </w:r>
            <w:r>
              <w:t xml:space="preserve"> ». Il faut en effet moins de traits [n.d.t. tels qu’ils sont définis dans la </w:t>
            </w:r>
            <w:hyperlink r:id="rId38" w:anchor="note-dapplication">
              <w:r>
                <w:rPr>
                  <w:color w:val="4F81BD"/>
                </w:rPr>
                <w:t>note d’application</w:t>
              </w:r>
            </w:hyperlink>
            <w:r>
              <w:t xml:space="preserve">] pour identifier un élément en tant que </w:t>
            </w:r>
            <w:r>
              <w:rPr>
                <w:rFonts w:ascii="Consolas" w:eastAsia="Consolas" w:hAnsi="Consolas" w:cs="Consolas"/>
                <w:sz w:val="22"/>
                <w:szCs w:val="22"/>
                <w:shd w:val="clear" w:color="auto" w:fill="EAEEF3"/>
              </w:rPr>
              <w:t>E20_Objet_biologique</w:t>
            </w:r>
            <w:r>
              <w:t xml:space="preserve"> que pour l'identifier en tant que </w:t>
            </w:r>
            <w:r>
              <w:rPr>
                <w:rFonts w:ascii="Consolas" w:eastAsia="Consolas" w:hAnsi="Consolas" w:cs="Consolas"/>
                <w:sz w:val="22"/>
                <w:szCs w:val="22"/>
                <w:shd w:val="clear" w:color="auto" w:fill="EAEEF3"/>
              </w:rPr>
              <w:t>E21_Personne</w:t>
            </w:r>
            <w:r>
              <w:t>.</w:t>
            </w:r>
          </w:p>
        </w:tc>
      </w:tr>
      <w:tr w:rsidR="00BF18CF" w14:paraId="5F208C9D" w14:textId="77777777" w:rsidTr="005675C3">
        <w:tc>
          <w:tcPr>
            <w:tcW w:w="1975" w:type="dxa"/>
          </w:tcPr>
          <w:p w14:paraId="4F42B36F" w14:textId="278CE50E" w:rsidR="00BF18CF" w:rsidRDefault="00F27208">
            <w:r>
              <w:rPr>
                <w:i/>
              </w:rPr>
              <w:lastRenderedPageBreak/>
              <w:t>Note de traduction</w:t>
            </w:r>
          </w:p>
        </w:tc>
        <w:tc>
          <w:tcPr>
            <w:tcW w:w="8715" w:type="dxa"/>
          </w:tcPr>
          <w:p w14:paraId="4CEA99F1" w14:textId="77777777" w:rsidR="00BF18CF" w:rsidRDefault="00BF18CF">
            <w:pPr>
              <w:pBdr>
                <w:top w:val="nil"/>
                <w:left w:val="nil"/>
                <w:bottom w:val="nil"/>
                <w:right w:val="nil"/>
                <w:between w:val="nil"/>
              </w:pBdr>
              <w:spacing w:before="36" w:after="36"/>
              <w:rPr>
                <w:color w:val="000000"/>
              </w:rPr>
            </w:pPr>
          </w:p>
        </w:tc>
      </w:tr>
      <w:tr w:rsidR="00BF18CF" w14:paraId="0FCF0A2A" w14:textId="77777777" w:rsidTr="005675C3">
        <w:tc>
          <w:tcPr>
            <w:tcW w:w="1975" w:type="dxa"/>
          </w:tcPr>
          <w:p w14:paraId="7EBF499C" w14:textId="77777777" w:rsidR="00BF18CF" w:rsidRDefault="00E51347">
            <w:r>
              <w:rPr>
                <w:i/>
              </w:rPr>
              <w:t>Références</w:t>
            </w:r>
          </w:p>
        </w:tc>
        <w:tc>
          <w:tcPr>
            <w:tcW w:w="8715" w:type="dxa"/>
          </w:tcPr>
          <w:p w14:paraId="0B77D911" w14:textId="77777777" w:rsidR="00BF18CF" w:rsidRDefault="00BF18CF">
            <w:pPr>
              <w:pBdr>
                <w:top w:val="nil"/>
                <w:left w:val="nil"/>
                <w:bottom w:val="nil"/>
                <w:right w:val="nil"/>
                <w:between w:val="nil"/>
              </w:pBdr>
              <w:spacing w:before="36" w:after="36"/>
              <w:rPr>
                <w:color w:val="000000"/>
              </w:rPr>
            </w:pPr>
          </w:p>
        </w:tc>
      </w:tr>
      <w:tr w:rsidR="00BF18CF" w14:paraId="4A1D9461" w14:textId="77777777" w:rsidTr="005675C3">
        <w:tc>
          <w:tcPr>
            <w:tcW w:w="1975" w:type="dxa"/>
          </w:tcPr>
          <w:p w14:paraId="14C5AE73" w14:textId="77777777" w:rsidR="00BF18CF" w:rsidRDefault="00BF18CF">
            <w:pPr>
              <w:pBdr>
                <w:top w:val="nil"/>
                <w:left w:val="nil"/>
                <w:bottom w:val="nil"/>
                <w:right w:val="nil"/>
                <w:between w:val="nil"/>
              </w:pBdr>
              <w:spacing w:before="36" w:after="36"/>
              <w:rPr>
                <w:color w:val="000000"/>
              </w:rPr>
            </w:pPr>
            <w:bookmarkStart w:id="17" w:name="bookmark=id.1t3h5sf" w:colFirst="0" w:colLast="0"/>
            <w:bookmarkEnd w:id="17"/>
          </w:p>
          <w:p w14:paraId="7EC2264C" w14:textId="77777777" w:rsidR="00BF18CF" w:rsidRDefault="00E51347">
            <w:r>
              <w:t>Intension</w:t>
            </w:r>
          </w:p>
        </w:tc>
        <w:tc>
          <w:tcPr>
            <w:tcW w:w="8715" w:type="dxa"/>
          </w:tcPr>
          <w:p w14:paraId="79443E79" w14:textId="77777777" w:rsidR="00BF18CF" w:rsidRDefault="00E51347">
            <w:r>
              <w:t xml:space="preserve">L'intension d'une </w:t>
            </w:r>
            <w:hyperlink r:id="rId39" w:anchor="classe">
              <w:r>
                <w:rPr>
                  <w:b/>
                  <w:color w:val="4F81BD"/>
                </w:rPr>
                <w:t>classe</w:t>
              </w:r>
            </w:hyperlink>
            <w:r>
              <w:t xml:space="preserve"> ou d'une </w:t>
            </w:r>
            <w:hyperlink r:id="rId40" w:anchor="propriete">
              <w:r>
                <w:rPr>
                  <w:b/>
                  <w:color w:val="4F81BD"/>
                </w:rPr>
                <w:t>propriété</w:t>
              </w:r>
            </w:hyperlink>
            <w:r>
              <w:t xml:space="preserve"> est sa signification prévue. Elle est composée d'un ou de plusieurs traits communs partagés par toutes les </w:t>
            </w:r>
            <w:hyperlink r:id="rId41" w:anchor="instance">
              <w:r>
                <w:rPr>
                  <w:b/>
                  <w:color w:val="4F81BD"/>
                </w:rPr>
                <w:t>instances</w:t>
              </w:r>
            </w:hyperlink>
            <w:r>
              <w:t xml:space="preserve"> de la classe ou de la propriété. Ces traits n'ont pas besoin d'être explicitement formulés en termes logiques, mais peuvent simplement être décrits dans un texte (appelé ici </w:t>
            </w:r>
            <w:hyperlink r:id="rId42" w:anchor="note-dapplication">
              <w:r>
                <w:rPr>
                  <w:b/>
                  <w:color w:val="4F81BD"/>
                </w:rPr>
                <w:t>note d'application</w:t>
              </w:r>
            </w:hyperlink>
            <w:r>
              <w:t xml:space="preserve">) qui réfère à une conceptualisation commune aux experts du domaine. En particulier, les concepts dits </w:t>
            </w:r>
            <w:hyperlink r:id="rId43" w:anchor="primitive">
              <w:r>
                <w:rPr>
                  <w:b/>
                  <w:color w:val="4F81BD"/>
                </w:rPr>
                <w:t>primitifs</w:t>
              </w:r>
            </w:hyperlink>
            <w:r>
              <w:t>, qui constituent l'essentiel du CIDOC CRM, ne peuvent être davantage réduits à d'autres concepts par des termes logiques.</w:t>
            </w:r>
          </w:p>
        </w:tc>
      </w:tr>
      <w:tr w:rsidR="00BF18CF" w14:paraId="018040EA" w14:textId="77777777" w:rsidTr="005675C3">
        <w:tc>
          <w:tcPr>
            <w:tcW w:w="1975" w:type="dxa"/>
          </w:tcPr>
          <w:p w14:paraId="6BD220C8" w14:textId="1304C640" w:rsidR="00BF18CF" w:rsidRDefault="00F27208">
            <w:r>
              <w:rPr>
                <w:i/>
              </w:rPr>
              <w:t>Note de traduction</w:t>
            </w:r>
          </w:p>
        </w:tc>
        <w:tc>
          <w:tcPr>
            <w:tcW w:w="8715" w:type="dxa"/>
          </w:tcPr>
          <w:p w14:paraId="774086CC" w14:textId="77777777" w:rsidR="00BF18CF" w:rsidRDefault="00BF18CF">
            <w:pPr>
              <w:pBdr>
                <w:top w:val="nil"/>
                <w:left w:val="nil"/>
                <w:bottom w:val="nil"/>
                <w:right w:val="nil"/>
                <w:between w:val="nil"/>
              </w:pBdr>
              <w:spacing w:before="36" w:after="36"/>
              <w:rPr>
                <w:color w:val="000000"/>
              </w:rPr>
            </w:pPr>
          </w:p>
        </w:tc>
      </w:tr>
      <w:tr w:rsidR="00BF18CF" w14:paraId="5A85F42D" w14:textId="77777777" w:rsidTr="005675C3">
        <w:tc>
          <w:tcPr>
            <w:tcW w:w="1975" w:type="dxa"/>
          </w:tcPr>
          <w:p w14:paraId="30470DC7" w14:textId="77777777" w:rsidR="00BF18CF" w:rsidRDefault="00E51347">
            <w:r>
              <w:rPr>
                <w:i/>
              </w:rPr>
              <w:t>Références</w:t>
            </w:r>
          </w:p>
        </w:tc>
        <w:tc>
          <w:tcPr>
            <w:tcW w:w="8715" w:type="dxa"/>
          </w:tcPr>
          <w:p w14:paraId="30E84AAF" w14:textId="77777777" w:rsidR="00BF18CF" w:rsidRDefault="00BF18CF">
            <w:pPr>
              <w:pBdr>
                <w:top w:val="nil"/>
                <w:left w:val="nil"/>
                <w:bottom w:val="nil"/>
                <w:right w:val="nil"/>
                <w:between w:val="nil"/>
              </w:pBdr>
              <w:spacing w:before="36" w:after="36"/>
              <w:rPr>
                <w:color w:val="000000"/>
              </w:rPr>
            </w:pPr>
          </w:p>
        </w:tc>
      </w:tr>
      <w:tr w:rsidR="00BF18CF" w14:paraId="1B2E39B5" w14:textId="77777777" w:rsidTr="005675C3">
        <w:tc>
          <w:tcPr>
            <w:tcW w:w="1975" w:type="dxa"/>
          </w:tcPr>
          <w:p w14:paraId="5FF54750" w14:textId="77777777" w:rsidR="00BF18CF" w:rsidRDefault="00BF18CF">
            <w:pPr>
              <w:pBdr>
                <w:top w:val="nil"/>
                <w:left w:val="nil"/>
                <w:bottom w:val="nil"/>
                <w:right w:val="nil"/>
                <w:between w:val="nil"/>
              </w:pBdr>
              <w:spacing w:before="36" w:after="36"/>
              <w:rPr>
                <w:color w:val="000000"/>
              </w:rPr>
            </w:pPr>
            <w:bookmarkStart w:id="18" w:name="bookmark=id.4d34og8" w:colFirst="0" w:colLast="0"/>
            <w:bookmarkEnd w:id="18"/>
          </w:p>
          <w:p w14:paraId="5FBDABDE" w14:textId="77777777" w:rsidR="00BF18CF" w:rsidRDefault="00E51347">
            <w:r>
              <w:t>Extension</w:t>
            </w:r>
          </w:p>
        </w:tc>
        <w:tc>
          <w:tcPr>
            <w:tcW w:w="8715" w:type="dxa"/>
          </w:tcPr>
          <w:p w14:paraId="0A773B65" w14:textId="77777777" w:rsidR="00BF18CF" w:rsidRDefault="00E51347">
            <w:r>
              <w:t xml:space="preserve">L'extension d'une </w:t>
            </w:r>
            <w:hyperlink r:id="rId44" w:anchor="classe">
              <w:r>
                <w:rPr>
                  <w:b/>
                  <w:color w:val="4F81BD"/>
                </w:rPr>
                <w:t>classe</w:t>
              </w:r>
            </w:hyperlink>
            <w:r>
              <w:t xml:space="preserve"> est l'ensemble de toutes les </w:t>
            </w:r>
            <w:hyperlink r:id="rId45" w:anchor="instance">
              <w:r>
                <w:rPr>
                  <w:b/>
                  <w:color w:val="4F81BD"/>
                </w:rPr>
                <w:t>instances</w:t>
              </w:r>
            </w:hyperlink>
            <w:r>
              <w:t xml:space="preserve"> « réelles » appartenant à la classe [n.d.t. du fait qu’elles] remplissent les critères de son </w:t>
            </w:r>
            <w:hyperlink r:id="rId46" w:anchor="intension">
              <w:r>
                <w:rPr>
                  <w:b/>
                  <w:color w:val="4F81BD"/>
                </w:rPr>
                <w:t>intension</w:t>
              </w:r>
            </w:hyperlink>
            <w:r>
              <w:t xml:space="preserve">. Cet ensemble est « ouvert », ce qui veut dire qu’une capacité humaine normale ne permet pas de connaître toutes les instances d’une classe existant dans le « monde » à un moment donné, ni de prendre en compte les instances qui pourraient émerger dans le futur (voir </w:t>
            </w:r>
            <w:hyperlink r:id="rId47" w:anchor="monde-ouvert">
              <w:r>
                <w:rPr>
                  <w:b/>
                  <w:color w:val="4F81BD"/>
                </w:rPr>
                <w:t>Monde Ouvert</w:t>
              </w:r>
            </w:hyperlink>
            <w:r>
              <w:t>). Un système d'information peut à n’importe quel moment faire référence à certaines instances d'une classe, lesquelles forment un sous-ensemble de son extension.</w:t>
            </w:r>
          </w:p>
        </w:tc>
      </w:tr>
      <w:tr w:rsidR="00BF18CF" w14:paraId="11F33E6B" w14:textId="77777777" w:rsidTr="005675C3">
        <w:tc>
          <w:tcPr>
            <w:tcW w:w="1975" w:type="dxa"/>
          </w:tcPr>
          <w:p w14:paraId="57688814" w14:textId="71085F48" w:rsidR="00BF18CF" w:rsidRDefault="00F27208">
            <w:r>
              <w:rPr>
                <w:i/>
              </w:rPr>
              <w:t>Note de traduction</w:t>
            </w:r>
          </w:p>
        </w:tc>
        <w:tc>
          <w:tcPr>
            <w:tcW w:w="8715" w:type="dxa"/>
          </w:tcPr>
          <w:p w14:paraId="6039515D" w14:textId="77777777" w:rsidR="00BF18CF" w:rsidRDefault="00BF18CF">
            <w:pPr>
              <w:pBdr>
                <w:top w:val="nil"/>
                <w:left w:val="nil"/>
                <w:bottom w:val="nil"/>
                <w:right w:val="nil"/>
                <w:between w:val="nil"/>
              </w:pBdr>
              <w:spacing w:before="36" w:after="36"/>
              <w:rPr>
                <w:color w:val="000000"/>
              </w:rPr>
            </w:pPr>
          </w:p>
        </w:tc>
      </w:tr>
      <w:tr w:rsidR="00BF18CF" w14:paraId="0F7AE1D1" w14:textId="77777777" w:rsidTr="005675C3">
        <w:tc>
          <w:tcPr>
            <w:tcW w:w="1975" w:type="dxa"/>
          </w:tcPr>
          <w:p w14:paraId="3BAE5C59" w14:textId="77777777" w:rsidR="00BF18CF" w:rsidRDefault="00E51347">
            <w:r>
              <w:rPr>
                <w:i/>
              </w:rPr>
              <w:t>Références</w:t>
            </w:r>
          </w:p>
        </w:tc>
        <w:tc>
          <w:tcPr>
            <w:tcW w:w="8715" w:type="dxa"/>
          </w:tcPr>
          <w:p w14:paraId="2B199521" w14:textId="77777777" w:rsidR="00BF18CF" w:rsidRDefault="00BF18CF">
            <w:pPr>
              <w:pBdr>
                <w:top w:val="nil"/>
                <w:left w:val="nil"/>
                <w:bottom w:val="nil"/>
                <w:right w:val="nil"/>
                <w:between w:val="nil"/>
              </w:pBdr>
              <w:spacing w:before="36" w:after="36"/>
              <w:rPr>
                <w:color w:val="000000"/>
              </w:rPr>
            </w:pPr>
          </w:p>
        </w:tc>
      </w:tr>
      <w:tr w:rsidR="00BF18CF" w14:paraId="0E014DCF" w14:textId="77777777" w:rsidTr="005675C3">
        <w:tc>
          <w:tcPr>
            <w:tcW w:w="1975" w:type="dxa"/>
          </w:tcPr>
          <w:p w14:paraId="7835C5B2" w14:textId="77777777" w:rsidR="00BF18CF" w:rsidRDefault="00BF18CF">
            <w:pPr>
              <w:pBdr>
                <w:top w:val="nil"/>
                <w:left w:val="nil"/>
                <w:bottom w:val="nil"/>
                <w:right w:val="nil"/>
                <w:between w:val="nil"/>
              </w:pBdr>
              <w:spacing w:before="36" w:after="36"/>
              <w:rPr>
                <w:color w:val="000000"/>
              </w:rPr>
            </w:pPr>
            <w:bookmarkStart w:id="19" w:name="bookmark=id.2s8eyo1" w:colFirst="0" w:colLast="0"/>
            <w:bookmarkEnd w:id="19"/>
          </w:p>
          <w:p w14:paraId="41EE3566" w14:textId="77777777" w:rsidR="00BF18CF" w:rsidRDefault="00E51347">
            <w:r>
              <w:t>Note d’application</w:t>
            </w:r>
          </w:p>
        </w:tc>
        <w:tc>
          <w:tcPr>
            <w:tcW w:w="8715" w:type="dxa"/>
          </w:tcPr>
          <w:p w14:paraId="6A836E15" w14:textId="77777777" w:rsidR="00BF18CF" w:rsidRDefault="00E51347">
            <w:r>
              <w:t>Une note d'application est une description textuelle de l'</w:t>
            </w:r>
            <w:hyperlink r:id="rId48" w:anchor="intension">
              <w:r>
                <w:rPr>
                  <w:b/>
                  <w:color w:val="4F81BD"/>
                </w:rPr>
                <w:t>intension</w:t>
              </w:r>
            </w:hyperlink>
            <w:r>
              <w:t xml:space="preserve"> d'une </w:t>
            </w:r>
            <w:hyperlink r:id="rId49" w:anchor="classe">
              <w:r>
                <w:rPr>
                  <w:b/>
                  <w:color w:val="4F81BD"/>
                </w:rPr>
                <w:t>classe</w:t>
              </w:r>
            </w:hyperlink>
            <w:r>
              <w:t xml:space="preserve"> ou d'une </w:t>
            </w:r>
            <w:hyperlink r:id="rId50" w:anchor="propriete">
              <w:r>
                <w:rPr>
                  <w:b/>
                  <w:color w:val="4F81BD"/>
                </w:rPr>
                <w:t>propriété</w:t>
              </w:r>
            </w:hyperlink>
            <w:r>
              <w:t>.</w:t>
            </w:r>
          </w:p>
          <w:p w14:paraId="4F230846" w14:textId="77777777" w:rsidR="00BF18CF" w:rsidRDefault="00E51347">
            <w:r>
              <w:t>Les notes d’application ne sont pas des construits de modélisation formels, elles sont plutôt fournies pour expliquer la signification et l’application prévues des classes et des propriétés du CIDOC CRM. Fondamentalement, elles renvoient à une conceptualisation commune aux experts du domaine [n.d.t. qu’elles concernent] et clarifient les différentes interprétations possibles. Des exemples d’</w:t>
            </w:r>
            <w:hyperlink r:id="rId51" w:anchor="instance">
              <w:r>
                <w:rPr>
                  <w:b/>
                  <w:color w:val="4F81BD"/>
                </w:rPr>
                <w:t>instances</w:t>
              </w:r>
            </w:hyperlink>
            <w:r>
              <w:t xml:space="preserve"> de classes et de propriétés sont régulièrement fournis dans les notes d'application à des fins d'explication.</w:t>
            </w:r>
          </w:p>
        </w:tc>
      </w:tr>
      <w:tr w:rsidR="00BF18CF" w14:paraId="77552748" w14:textId="77777777" w:rsidTr="005675C3">
        <w:tc>
          <w:tcPr>
            <w:tcW w:w="1975" w:type="dxa"/>
          </w:tcPr>
          <w:p w14:paraId="6312B2A6" w14:textId="47CFC6FF" w:rsidR="00BF18CF" w:rsidRDefault="00F27208">
            <w:r>
              <w:rPr>
                <w:i/>
              </w:rPr>
              <w:lastRenderedPageBreak/>
              <w:t>Note de traduction</w:t>
            </w:r>
          </w:p>
        </w:tc>
        <w:tc>
          <w:tcPr>
            <w:tcW w:w="8715" w:type="dxa"/>
          </w:tcPr>
          <w:p w14:paraId="5F5C69D6" w14:textId="77777777" w:rsidR="00BF18CF" w:rsidRDefault="00BF18CF">
            <w:pPr>
              <w:pBdr>
                <w:top w:val="nil"/>
                <w:left w:val="nil"/>
                <w:bottom w:val="nil"/>
                <w:right w:val="nil"/>
                <w:between w:val="nil"/>
              </w:pBdr>
              <w:spacing w:before="36" w:after="36"/>
              <w:rPr>
                <w:color w:val="000000"/>
              </w:rPr>
            </w:pPr>
          </w:p>
        </w:tc>
      </w:tr>
      <w:tr w:rsidR="00BF18CF" w14:paraId="2DEFC3D2" w14:textId="77777777" w:rsidTr="005675C3">
        <w:tc>
          <w:tcPr>
            <w:tcW w:w="1975" w:type="dxa"/>
          </w:tcPr>
          <w:p w14:paraId="18D0EE9E" w14:textId="77777777" w:rsidR="00BF18CF" w:rsidRDefault="00E51347">
            <w:r>
              <w:rPr>
                <w:i/>
              </w:rPr>
              <w:t>Références</w:t>
            </w:r>
          </w:p>
        </w:tc>
        <w:tc>
          <w:tcPr>
            <w:tcW w:w="8715" w:type="dxa"/>
          </w:tcPr>
          <w:p w14:paraId="225EE7CF" w14:textId="77777777" w:rsidR="00BF18CF" w:rsidRDefault="00BF18CF">
            <w:pPr>
              <w:pBdr>
                <w:top w:val="nil"/>
                <w:left w:val="nil"/>
                <w:bottom w:val="nil"/>
                <w:right w:val="nil"/>
                <w:between w:val="nil"/>
              </w:pBdr>
              <w:spacing w:before="36" w:after="36"/>
              <w:rPr>
                <w:color w:val="000000"/>
              </w:rPr>
            </w:pPr>
          </w:p>
        </w:tc>
      </w:tr>
      <w:tr w:rsidR="00BF18CF" w14:paraId="4BD4A019" w14:textId="77777777" w:rsidTr="005675C3">
        <w:tc>
          <w:tcPr>
            <w:tcW w:w="1975" w:type="dxa"/>
          </w:tcPr>
          <w:p w14:paraId="62381E09" w14:textId="77777777" w:rsidR="00BF18CF" w:rsidRDefault="00BF18CF">
            <w:pPr>
              <w:pBdr>
                <w:top w:val="nil"/>
                <w:left w:val="nil"/>
                <w:bottom w:val="nil"/>
                <w:right w:val="nil"/>
                <w:between w:val="nil"/>
              </w:pBdr>
              <w:spacing w:before="36" w:after="36"/>
              <w:rPr>
                <w:color w:val="000000"/>
              </w:rPr>
            </w:pPr>
            <w:bookmarkStart w:id="20" w:name="bookmark=id.17dp8vu" w:colFirst="0" w:colLast="0"/>
            <w:bookmarkEnd w:id="20"/>
          </w:p>
          <w:p w14:paraId="1DE53BCE" w14:textId="77777777" w:rsidR="00BF18CF" w:rsidRDefault="00E51347">
            <w:r>
              <w:t>Instance</w:t>
            </w:r>
          </w:p>
        </w:tc>
        <w:tc>
          <w:tcPr>
            <w:tcW w:w="8715" w:type="dxa"/>
          </w:tcPr>
          <w:p w14:paraId="7E33FCF6" w14:textId="77777777" w:rsidR="00BF18CF" w:rsidRDefault="00E51347">
            <w:r>
              <w:t xml:space="preserve">L’instance d’une </w:t>
            </w:r>
            <w:hyperlink r:id="rId52" w:anchor="classe">
              <w:r>
                <w:rPr>
                  <w:color w:val="4F81BD"/>
                </w:rPr>
                <w:t>classe</w:t>
              </w:r>
            </w:hyperlink>
            <w:r>
              <w:t xml:space="preserve"> est un élément du monde réel [n.d.t. voir </w:t>
            </w:r>
            <w:hyperlink r:id="rId53" w:anchor="de-la-realite-des-bases-de-connaissance-et-du-cidoc-crm">
              <w:r>
                <w:rPr>
                  <w:color w:val="4F81BD"/>
                </w:rPr>
                <w:t>De la réalité, des bases de connaissance et du CIDOC CRM</w:t>
              </w:r>
            </w:hyperlink>
            <w:r>
              <w:t>] qui correspond à l’</w:t>
            </w:r>
            <w:hyperlink r:id="rId54" w:anchor="intension">
              <w:r>
                <w:rPr>
                  <w:color w:val="4F81BD"/>
                </w:rPr>
                <w:t>intension</w:t>
              </w:r>
            </w:hyperlink>
            <w:r>
              <w:t xml:space="preserve"> d’une classe [n.d.t. telle qu’elle est exprimée dans sa </w:t>
            </w:r>
            <w:hyperlink r:id="rId55" w:anchor="note-dapplication">
              <w:r>
                <w:rPr>
                  <w:color w:val="4F81BD"/>
                </w:rPr>
                <w:t>note d’application</w:t>
              </w:r>
            </w:hyperlink>
            <w:r>
              <w:t xml:space="preserve">]. Le nombre d’instances déclarées pour une classe dans un système d’information est typiquement moins que la totalité [n.d.t. qui existe] dans le monde réel. Par exemple, un individu est une instance de </w:t>
            </w:r>
            <w:r>
              <w:rPr>
                <w:rFonts w:ascii="Consolas" w:eastAsia="Consolas" w:hAnsi="Consolas" w:cs="Consolas"/>
                <w:sz w:val="22"/>
                <w:szCs w:val="22"/>
                <w:shd w:val="clear" w:color="auto" w:fill="EAEEF3"/>
              </w:rPr>
              <w:t>E21_Personne</w:t>
            </w:r>
            <w:r>
              <w:t xml:space="preserve">, mais cet individu n’est pas mentionné dans tous les systèmes d’information décrivant des </w:t>
            </w:r>
            <w:r>
              <w:rPr>
                <w:rFonts w:ascii="Consolas" w:eastAsia="Consolas" w:hAnsi="Consolas" w:cs="Consolas"/>
                <w:sz w:val="22"/>
                <w:szCs w:val="22"/>
                <w:shd w:val="clear" w:color="auto" w:fill="EAEEF3"/>
              </w:rPr>
              <w:t>E21_Personne</w:t>
            </w:r>
            <w:r>
              <w:t>.</w:t>
            </w:r>
          </w:p>
          <w:p w14:paraId="2B7C733D" w14:textId="77777777" w:rsidR="00BF18CF" w:rsidRDefault="00E51347">
            <w:r>
              <w:t>Par exemple :</w:t>
            </w:r>
          </w:p>
          <w:p w14:paraId="605DA707" w14:textId="77777777" w:rsidR="00BF18CF" w:rsidRDefault="00E51347">
            <w:r>
              <w:t xml:space="preserve">La peinture connue sous le nom de « Mona Lisa » est une instance de la classe </w:t>
            </w:r>
            <w:r>
              <w:rPr>
                <w:rFonts w:ascii="Consolas" w:eastAsia="Consolas" w:hAnsi="Consolas" w:cs="Consolas"/>
                <w:sz w:val="22"/>
                <w:szCs w:val="22"/>
                <w:shd w:val="clear" w:color="auto" w:fill="EAEEF3"/>
              </w:rPr>
              <w:t>E22_Objet_élaboré_par_l'humain</w:t>
            </w:r>
            <w:r>
              <w:t>.</w:t>
            </w:r>
          </w:p>
          <w:p w14:paraId="03DD9668" w14:textId="77777777" w:rsidR="00BF18CF" w:rsidRDefault="00E51347">
            <w:r>
              <w:t>L’instance d’une propriété est une relation factuelle entre une instance de son domaine et une instance de sa portée, relation qui correspond à l’intension de cette propriété [n.d.t. telle qu’elle est exprimée dans sa note d’application].</w:t>
            </w:r>
          </w:p>
          <w:p w14:paraId="66DFC59B" w14:textId="77777777" w:rsidR="00BF18CF" w:rsidRDefault="00E51347">
            <w:r>
              <w:t>Par exemple :</w:t>
            </w:r>
          </w:p>
          <w:p w14:paraId="31ACC37F" w14:textId="77777777" w:rsidR="00BF18CF" w:rsidRDefault="00E51347">
            <w:r>
              <w:t>[</w:t>
            </w:r>
            <w:proofErr w:type="gramStart"/>
            <w:r>
              <w:t>n.d.t.</w:t>
            </w:r>
            <w:proofErr w:type="gramEnd"/>
            <w:r>
              <w:t xml:space="preserve"> Dans l’affirmation] « La </w:t>
            </w:r>
            <w:r>
              <w:rPr>
                <w:i/>
              </w:rPr>
              <w:t>Mona Lisa</w:t>
            </w:r>
            <w:r>
              <w:t xml:space="preserve"> a pour propriétaire actuel ou antérieur le Louvre » « a pour propriétaire actuel ou antérieur » est une instance de la propriété </w:t>
            </w:r>
            <w:r>
              <w:rPr>
                <w:rFonts w:ascii="Consolas" w:eastAsia="Consolas" w:hAnsi="Consolas" w:cs="Consolas"/>
                <w:sz w:val="22"/>
                <w:szCs w:val="22"/>
                <w:shd w:val="clear" w:color="auto" w:fill="EAEEF3"/>
              </w:rPr>
              <w:t>P51_a_pour_propriétaire_actuel_ou_antérieur (est_l'actant_propriétaire_actuel_ou_antérieur_de)</w:t>
            </w:r>
            <w:r>
              <w:t>.</w:t>
            </w:r>
          </w:p>
        </w:tc>
      </w:tr>
      <w:tr w:rsidR="00BF18CF" w14:paraId="68EE252A" w14:textId="77777777" w:rsidTr="005675C3">
        <w:tc>
          <w:tcPr>
            <w:tcW w:w="1975" w:type="dxa"/>
          </w:tcPr>
          <w:p w14:paraId="370ECB6E" w14:textId="11F204C8" w:rsidR="00BF18CF" w:rsidRDefault="00F27208">
            <w:r>
              <w:rPr>
                <w:i/>
              </w:rPr>
              <w:t>Note de traduction</w:t>
            </w:r>
          </w:p>
        </w:tc>
        <w:tc>
          <w:tcPr>
            <w:tcW w:w="8715" w:type="dxa"/>
          </w:tcPr>
          <w:p w14:paraId="4D9F0776" w14:textId="77777777" w:rsidR="00BF18CF" w:rsidRDefault="00BF18CF">
            <w:pPr>
              <w:pBdr>
                <w:top w:val="nil"/>
                <w:left w:val="nil"/>
                <w:bottom w:val="nil"/>
                <w:right w:val="nil"/>
                <w:between w:val="nil"/>
              </w:pBdr>
              <w:spacing w:before="36" w:after="36"/>
              <w:rPr>
                <w:color w:val="000000"/>
              </w:rPr>
            </w:pPr>
          </w:p>
        </w:tc>
      </w:tr>
      <w:tr w:rsidR="00BF18CF" w14:paraId="1CDD0562" w14:textId="77777777" w:rsidTr="005675C3">
        <w:tc>
          <w:tcPr>
            <w:tcW w:w="1975" w:type="dxa"/>
          </w:tcPr>
          <w:p w14:paraId="13149A4C" w14:textId="77777777" w:rsidR="00BF18CF" w:rsidRDefault="00E51347">
            <w:r>
              <w:rPr>
                <w:i/>
              </w:rPr>
              <w:t>Références</w:t>
            </w:r>
          </w:p>
        </w:tc>
        <w:tc>
          <w:tcPr>
            <w:tcW w:w="8715" w:type="dxa"/>
          </w:tcPr>
          <w:p w14:paraId="18700784" w14:textId="77777777" w:rsidR="00BF18CF" w:rsidRDefault="00BF18CF">
            <w:pPr>
              <w:pBdr>
                <w:top w:val="nil"/>
                <w:left w:val="nil"/>
                <w:bottom w:val="nil"/>
                <w:right w:val="nil"/>
                <w:between w:val="nil"/>
              </w:pBdr>
              <w:spacing w:before="36" w:after="36"/>
              <w:rPr>
                <w:color w:val="000000"/>
              </w:rPr>
            </w:pPr>
          </w:p>
        </w:tc>
      </w:tr>
      <w:tr w:rsidR="00BF18CF" w14:paraId="231099BC" w14:textId="77777777" w:rsidTr="005675C3">
        <w:tc>
          <w:tcPr>
            <w:tcW w:w="1975" w:type="dxa"/>
          </w:tcPr>
          <w:p w14:paraId="66243D71" w14:textId="77777777" w:rsidR="00BF18CF" w:rsidRDefault="00BF18CF">
            <w:pPr>
              <w:pBdr>
                <w:top w:val="nil"/>
                <w:left w:val="nil"/>
                <w:bottom w:val="nil"/>
                <w:right w:val="nil"/>
                <w:between w:val="nil"/>
              </w:pBdr>
              <w:spacing w:before="36" w:after="36"/>
              <w:rPr>
                <w:color w:val="000000"/>
              </w:rPr>
            </w:pPr>
            <w:bookmarkStart w:id="21" w:name="bookmark=id.3rdcrjn" w:colFirst="0" w:colLast="0"/>
            <w:bookmarkEnd w:id="21"/>
          </w:p>
          <w:p w14:paraId="175604C6" w14:textId="77777777" w:rsidR="00BF18CF" w:rsidRDefault="00E51347">
            <w:r>
              <w:t>Propriété</w:t>
            </w:r>
          </w:p>
        </w:tc>
        <w:tc>
          <w:tcPr>
            <w:tcW w:w="8715" w:type="dxa"/>
          </w:tcPr>
          <w:p w14:paraId="5A01E8E9" w14:textId="77777777" w:rsidR="00BF18CF" w:rsidRDefault="00E51347">
            <w:r>
              <w:t xml:space="preserve">Une propriété définit une relation spécifique entre deux </w:t>
            </w:r>
            <w:hyperlink r:id="rId56" w:anchor="classe">
              <w:r>
                <w:rPr>
                  <w:color w:val="4F81BD"/>
                </w:rPr>
                <w:t>classes</w:t>
              </w:r>
            </w:hyperlink>
            <w:r>
              <w:t xml:space="preserve"> et est caractérisée par son </w:t>
            </w:r>
            <w:hyperlink r:id="rId57" w:anchor="intension">
              <w:r>
                <w:rPr>
                  <w:color w:val="4F81BD"/>
                </w:rPr>
                <w:t>intension</w:t>
              </w:r>
            </w:hyperlink>
            <w:r>
              <w:t xml:space="preserve"> (laquelle est exprimée par la </w:t>
            </w:r>
            <w:hyperlink r:id="rId58" w:anchor="note-dapplication">
              <w:r>
                <w:rPr>
                  <w:color w:val="4F81BD"/>
                </w:rPr>
                <w:t xml:space="preserve">note d’application </w:t>
              </w:r>
            </w:hyperlink>
            <w:r>
              <w:t xml:space="preserve">de la propriété). Une propriété est l’équivalent grammatical d’un verbe dans la mesure où elle est définie par son renvoi à son </w:t>
            </w:r>
            <w:hyperlink r:id="rId59" w:anchor="domaine">
              <w:r>
                <w:rPr>
                  <w:color w:val="4F81BD"/>
                </w:rPr>
                <w:t>domaine</w:t>
              </w:r>
            </w:hyperlink>
            <w:r>
              <w:t xml:space="preserve"> et à sa </w:t>
            </w:r>
            <w:hyperlink r:id="rId60" w:anchor="portee">
              <w:r>
                <w:rPr>
                  <w:color w:val="4F81BD"/>
                </w:rPr>
                <w:t>portée</w:t>
              </w:r>
            </w:hyperlink>
            <w:r>
              <w:t>, lesquels sont comparables au sujet et à l’objet d’une phrase [n.d.t. dans le contexte d’une langue SVO, c.-à-d. une langue comme le français dont les phrases suivent généralement l’ordre sujet-verbe-objet], et ce contrairement aux classes qui peuvent être définies de manière indépendante. De même que le choix qu’une forme grammaticale active ou passive est arbitraire, le choix de la classe sélectionnée pour le domaine et pour la portée l’est aussi. En d’autres termes, l’interprétation d’une propriété serait distincte selon le sens dans lequel elle est lue [n.d.t. c.-à-d. depuis le domaine vers la portée ou depuis la portée vers le domaine].</w:t>
            </w:r>
          </w:p>
          <w:p w14:paraId="16510957" w14:textId="77777777" w:rsidR="00BF18CF" w:rsidRDefault="00E51347">
            <w:r>
              <w:t xml:space="preserve">Certaines propriétés s’appliquent sur d’autres propriétés [n.d.t. et peuvent donc avoir comme portée des instances] d’autres classes, une fonctionnalité qui est mobilisée par le CIDOC CRM afin de décrire le sous-typage dynamique de propriétés [n.d.t. voir </w:t>
            </w:r>
            <w:hyperlink r:id="rId61" w:anchor="des-types">
              <w:r>
                <w:rPr>
                  <w:color w:val="4F81BD"/>
                </w:rPr>
                <w:t>Des types</w:t>
              </w:r>
            </w:hyperlink>
            <w:r>
              <w:t xml:space="preserve">; ces propriétés sont signalées par l’usage d’un </w:t>
            </w:r>
            <w:r>
              <w:rPr>
                <w:rFonts w:ascii="Consolas" w:eastAsia="Consolas" w:hAnsi="Consolas" w:cs="Consolas"/>
                <w:sz w:val="22"/>
                <w:szCs w:val="22"/>
                <w:shd w:val="clear" w:color="auto" w:fill="EAEEF3"/>
              </w:rPr>
              <w:t>.1</w:t>
            </w:r>
            <w:r>
              <w:t xml:space="preserve">, par exemple </w:t>
            </w:r>
            <w:r>
              <w:rPr>
                <w:rFonts w:ascii="Consolas" w:eastAsia="Consolas" w:hAnsi="Consolas" w:cs="Consolas"/>
                <w:sz w:val="22"/>
                <w:szCs w:val="22"/>
                <w:shd w:val="clear" w:color="auto" w:fill="EAEEF3"/>
              </w:rPr>
              <w:t>P14.1_dans_le_rôle_de</w:t>
            </w:r>
            <w:r>
              <w:t xml:space="preserve"> qui est associée à </w:t>
            </w:r>
            <w:r>
              <w:rPr>
                <w:rFonts w:ascii="Consolas" w:eastAsia="Consolas" w:hAnsi="Consolas" w:cs="Consolas"/>
                <w:sz w:val="22"/>
                <w:szCs w:val="22"/>
                <w:shd w:val="clear" w:color="auto" w:fill="EAEEF3"/>
              </w:rPr>
              <w:t xml:space="preserve">P14_a_été_effectué_par </w:t>
            </w:r>
            <w:r>
              <w:rPr>
                <w:rFonts w:ascii="Consolas" w:eastAsia="Consolas" w:hAnsi="Consolas" w:cs="Consolas"/>
                <w:sz w:val="22"/>
                <w:szCs w:val="22"/>
                <w:shd w:val="clear" w:color="auto" w:fill="EAEEF3"/>
              </w:rPr>
              <w:lastRenderedPageBreak/>
              <w:t>(a_effectué)</w:t>
            </w:r>
            <w:r>
              <w:t xml:space="preserve"> et qui a pour objet </w:t>
            </w:r>
            <w:r>
              <w:rPr>
                <w:rFonts w:ascii="Consolas" w:eastAsia="Consolas" w:hAnsi="Consolas" w:cs="Consolas"/>
                <w:sz w:val="22"/>
                <w:szCs w:val="22"/>
                <w:shd w:val="clear" w:color="auto" w:fill="EAEEF3"/>
              </w:rPr>
              <w:t>E55_Type</w:t>
            </w:r>
            <w:r>
              <w:t xml:space="preserve"> plutôt que </w:t>
            </w:r>
            <w:r>
              <w:rPr>
                <w:rFonts w:ascii="Consolas" w:eastAsia="Consolas" w:hAnsi="Consolas" w:cs="Consolas"/>
                <w:sz w:val="22"/>
                <w:szCs w:val="22"/>
                <w:shd w:val="clear" w:color="auto" w:fill="EAEEF3"/>
              </w:rPr>
              <w:t>E21_Personne</w:t>
            </w:r>
            <w:r>
              <w:t xml:space="preserve"> comme portée].</w:t>
            </w:r>
          </w:p>
          <w:p w14:paraId="3DE00827" w14:textId="77777777" w:rsidR="00BF18CF" w:rsidRDefault="00E51347">
            <w:r>
              <w:t xml:space="preserve">Les propriétés peuvent aussi être spécialisées (comme c’est le cas des classes) par des relations </w:t>
            </w:r>
            <w:r>
              <w:rPr>
                <w:rFonts w:ascii="Consolas" w:eastAsia="Consolas" w:hAnsi="Consolas" w:cs="Consolas"/>
                <w:sz w:val="22"/>
                <w:szCs w:val="22"/>
                <w:shd w:val="clear" w:color="auto" w:fill="EAEEF3"/>
              </w:rPr>
              <w:t>estUn</w:t>
            </w:r>
            <w:r>
              <w:t xml:space="preserve"> entre des sous-propriétés et leurs super-propriétés.</w:t>
            </w:r>
          </w:p>
          <w:p w14:paraId="56A586D3" w14:textId="77777777" w:rsidR="00BF18CF" w:rsidRDefault="00E51347">
            <w:r>
              <w:t>Dans certains contextes, les termes attribut, référence, lien, rôle ou créneau peuvent être synonymes de propriété.</w:t>
            </w:r>
          </w:p>
          <w:p w14:paraId="27323182" w14:textId="77777777" w:rsidR="00BF18CF" w:rsidRDefault="00E51347">
            <w:r>
              <w:t>Par exemple :</w:t>
            </w:r>
          </w:p>
          <w:p w14:paraId="4BA20E6F" w14:textId="77777777" w:rsidR="00BF18CF" w:rsidRDefault="00E51347">
            <w:r>
              <w:rPr>
                <w:rFonts w:ascii="Consolas" w:eastAsia="Consolas" w:hAnsi="Consolas" w:cs="Consolas"/>
                <w:sz w:val="22"/>
                <w:szCs w:val="22"/>
                <w:shd w:val="clear" w:color="auto" w:fill="EAEEF3"/>
              </w:rPr>
              <w:t>E24_Chose_matérielle_élaborée_par_l'humain</w:t>
            </w:r>
            <w:r>
              <w:t xml:space="preserve"> </w:t>
            </w:r>
            <w:r>
              <w:rPr>
                <w:rFonts w:ascii="Consolas" w:eastAsia="Consolas" w:hAnsi="Consolas" w:cs="Consolas"/>
                <w:sz w:val="22"/>
                <w:szCs w:val="22"/>
                <w:shd w:val="clear" w:color="auto" w:fill="EAEEF3"/>
              </w:rPr>
              <w:t>P62_illustre</w:t>
            </w:r>
            <w:r>
              <w:t xml:space="preserve"> </w:t>
            </w:r>
            <w:r>
              <w:rPr>
                <w:rFonts w:ascii="Consolas" w:eastAsia="Consolas" w:hAnsi="Consolas" w:cs="Consolas"/>
                <w:sz w:val="22"/>
                <w:szCs w:val="22"/>
                <w:shd w:val="clear" w:color="auto" w:fill="EAEEF3"/>
              </w:rPr>
              <w:t>E1_Entité_CRM</w:t>
            </w:r>
            <w:r>
              <w:t xml:space="preserve"> est l’équivalent de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P62i_est_illustré_par</w:t>
            </w:r>
            <w:r>
              <w:t xml:space="preserve"> </w:t>
            </w:r>
            <w:r>
              <w:rPr>
                <w:rFonts w:ascii="Consolas" w:eastAsia="Consolas" w:hAnsi="Consolas" w:cs="Consolas"/>
                <w:sz w:val="22"/>
                <w:szCs w:val="22"/>
                <w:shd w:val="clear" w:color="auto" w:fill="EAEEF3"/>
              </w:rPr>
              <w:t>E24_Chose_matérielle_élaborée_par_l'humain</w:t>
            </w:r>
            <w:r>
              <w:t>.</w:t>
            </w:r>
          </w:p>
        </w:tc>
      </w:tr>
      <w:tr w:rsidR="00BF18CF" w14:paraId="356A8AE7" w14:textId="77777777" w:rsidTr="005675C3">
        <w:tc>
          <w:tcPr>
            <w:tcW w:w="1975" w:type="dxa"/>
          </w:tcPr>
          <w:p w14:paraId="4EE679DE" w14:textId="0EDCEC7C" w:rsidR="00BF18CF" w:rsidRDefault="00F27208">
            <w:r>
              <w:rPr>
                <w:i/>
              </w:rPr>
              <w:lastRenderedPageBreak/>
              <w:t>Note de traduction</w:t>
            </w:r>
          </w:p>
        </w:tc>
        <w:tc>
          <w:tcPr>
            <w:tcW w:w="8715" w:type="dxa"/>
          </w:tcPr>
          <w:p w14:paraId="7ADE18CE" w14:textId="77777777" w:rsidR="00BF18CF" w:rsidRDefault="00BF18CF">
            <w:pPr>
              <w:pBdr>
                <w:top w:val="nil"/>
                <w:left w:val="nil"/>
                <w:bottom w:val="nil"/>
                <w:right w:val="nil"/>
                <w:between w:val="nil"/>
              </w:pBdr>
              <w:spacing w:before="36" w:after="36"/>
              <w:rPr>
                <w:color w:val="000000"/>
              </w:rPr>
            </w:pPr>
          </w:p>
        </w:tc>
      </w:tr>
      <w:tr w:rsidR="00BF18CF" w:rsidRPr="000467B7" w14:paraId="747BA7D6" w14:textId="77777777" w:rsidTr="005675C3">
        <w:tc>
          <w:tcPr>
            <w:tcW w:w="1975" w:type="dxa"/>
          </w:tcPr>
          <w:p w14:paraId="535F8154" w14:textId="77777777" w:rsidR="00BF18CF" w:rsidRDefault="00E51347">
            <w:r>
              <w:rPr>
                <w:i/>
              </w:rPr>
              <w:t>Références</w:t>
            </w:r>
          </w:p>
        </w:tc>
        <w:tc>
          <w:tcPr>
            <w:tcW w:w="8715" w:type="dxa"/>
          </w:tcPr>
          <w:p w14:paraId="11F16350" w14:textId="77777777" w:rsidR="00BF18CF" w:rsidRPr="00EE61A5" w:rsidRDefault="00E51347">
            <w:pPr>
              <w:rPr>
                <w:lang w:val="en-CA"/>
              </w:rPr>
            </w:pPr>
            <w:r>
              <w:t xml:space="preserve">Wikipédia. « Langue SVO ». Dans </w:t>
            </w:r>
            <w:r>
              <w:rPr>
                <w:i/>
              </w:rPr>
              <w:t>Wikipédia</w:t>
            </w:r>
            <w:r>
              <w:t xml:space="preserve">. </w:t>
            </w:r>
            <w:r w:rsidRPr="00EE61A5">
              <w:rPr>
                <w:lang w:val="en-CA"/>
              </w:rPr>
              <w:t>San Francisco, US-CA: Wikipédia, 31 octobre 2020.</w:t>
            </w:r>
            <w:r w:rsidR="000467B7">
              <w:fldChar w:fldCharType="begin"/>
            </w:r>
            <w:r w:rsidR="000467B7" w:rsidRPr="000467B7">
              <w:rPr>
                <w:lang w:val="en-CA"/>
              </w:rPr>
              <w:instrText>HYPERLINK "https://fr.wikipedia.org/w/index.php?title=Langue_SVO&amp;oldid=176099662" \h</w:instrText>
            </w:r>
            <w:r w:rsidR="000467B7">
              <w:fldChar w:fldCharType="separate"/>
            </w:r>
            <w:r w:rsidRPr="00EE61A5">
              <w:rPr>
                <w:color w:val="4F81BD"/>
                <w:lang w:val="en-CA"/>
              </w:rPr>
              <w:t xml:space="preserve"> https://fr.wikipedia.org/w/index.php?title=Langue_SVO&amp;oldid=176099662</w:t>
            </w:r>
            <w:r w:rsidR="000467B7">
              <w:rPr>
                <w:color w:val="4F81BD"/>
                <w:lang w:val="en-CA"/>
              </w:rPr>
              <w:fldChar w:fldCharType="end"/>
            </w:r>
            <w:r w:rsidRPr="00EE61A5">
              <w:rPr>
                <w:lang w:val="en-CA"/>
              </w:rPr>
              <w:t>.</w:t>
            </w:r>
          </w:p>
        </w:tc>
      </w:tr>
      <w:tr w:rsidR="00BF18CF" w14:paraId="0205004C" w14:textId="77777777" w:rsidTr="005675C3">
        <w:tc>
          <w:tcPr>
            <w:tcW w:w="1975" w:type="dxa"/>
          </w:tcPr>
          <w:p w14:paraId="46E2AA4A" w14:textId="77777777" w:rsidR="00BF18CF" w:rsidRPr="00EE61A5" w:rsidRDefault="00BF18CF">
            <w:pPr>
              <w:pBdr>
                <w:top w:val="nil"/>
                <w:left w:val="nil"/>
                <w:bottom w:val="nil"/>
                <w:right w:val="nil"/>
                <w:between w:val="nil"/>
              </w:pBdr>
              <w:spacing w:before="36" w:after="36"/>
              <w:rPr>
                <w:color w:val="000000"/>
                <w:lang w:val="en-CA"/>
              </w:rPr>
            </w:pPr>
            <w:bookmarkStart w:id="22" w:name="bookmark=id.26in1rg" w:colFirst="0" w:colLast="0"/>
            <w:bookmarkEnd w:id="22"/>
          </w:p>
          <w:p w14:paraId="00ABA1F1" w14:textId="77777777" w:rsidR="00BF18CF" w:rsidRDefault="00E51347">
            <w:r>
              <w:t>Inverse de</w:t>
            </w:r>
          </w:p>
        </w:tc>
        <w:tc>
          <w:tcPr>
            <w:tcW w:w="8715" w:type="dxa"/>
          </w:tcPr>
          <w:p w14:paraId="537051D9" w14:textId="77777777" w:rsidR="00BF18CF" w:rsidRDefault="00E51347">
            <w:r>
              <w:t xml:space="preserve">L’inverse d’une </w:t>
            </w:r>
            <w:hyperlink r:id="rId62" w:anchor="propriete">
              <w:r>
                <w:rPr>
                  <w:color w:val="4F81BD"/>
                </w:rPr>
                <w:t>propriété</w:t>
              </w:r>
            </w:hyperlink>
            <w:r>
              <w:t xml:space="preserve"> est la réinterprétation de cette propriété depuis sa </w:t>
            </w:r>
            <w:hyperlink r:id="rId63" w:anchor="portee">
              <w:r>
                <w:rPr>
                  <w:color w:val="4F81BD"/>
                </w:rPr>
                <w:t>portée</w:t>
              </w:r>
            </w:hyperlink>
            <w:r>
              <w:t xml:space="preserve"> vers son </w:t>
            </w:r>
            <w:hyperlink r:id="rId64" w:anchor="domaine">
              <w:r>
                <w:rPr>
                  <w:color w:val="4F81BD"/>
                </w:rPr>
                <w:t>domaine</w:t>
              </w:r>
            </w:hyperlink>
            <w:r>
              <w:t xml:space="preserve"> sans généralisation ou spécialisation de sa signification supplémentaire. De même que le choix d’une forme grammaticale active ou passive est arbitraire [n.d.t. le choix de la classe sélectionnée pour le domaine et pour la portée l’est aussi]. Contrairement à certains langages de représentation tels que </w:t>
            </w:r>
            <w:hyperlink r:id="rId65">
              <w:r>
                <w:rPr>
                  <w:color w:val="4F81BD"/>
                </w:rPr>
                <w:t>RDF</w:t>
              </w:r>
            </w:hyperlink>
            <w:r>
              <w:t xml:space="preserve"> et OWL, le CIDOC CRM considère que l’inverse d’une propriété n’est pas une propriété en soi qui nécessiterait la déclaration explicite du fait qu’elle en inverse une autre; il s’agit plutôt d’une interprétation implicite à chaque propriété. L’inverse de l’inverse d’une propriété est identique à la propriété elle-même, à savoir identique à sa direction primaire.</w:t>
            </w:r>
          </w:p>
          <w:p w14:paraId="1700CDA0" w14:textId="77777777" w:rsidR="00BF18CF" w:rsidRDefault="00E51347">
            <w:r>
              <w:t>Par exemple :</w:t>
            </w:r>
          </w:p>
          <w:p w14:paraId="14DD1F43"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P62.i_est_illustré_par</w:t>
            </w:r>
            <w:r>
              <w:t xml:space="preserve"> </w:t>
            </w:r>
            <w:r>
              <w:rPr>
                <w:rFonts w:ascii="Consolas" w:eastAsia="Consolas" w:hAnsi="Consolas" w:cs="Consolas"/>
                <w:sz w:val="22"/>
                <w:szCs w:val="22"/>
                <w:shd w:val="clear" w:color="auto" w:fill="EAEEF3"/>
              </w:rPr>
              <w:t>E24_Chose_matérielle_élaborée_par_l'humain</w:t>
            </w:r>
            <w:r>
              <w:t xml:space="preserve"> est l’inverse de </w:t>
            </w:r>
            <w:r>
              <w:rPr>
                <w:rFonts w:ascii="Consolas" w:eastAsia="Consolas" w:hAnsi="Consolas" w:cs="Consolas"/>
                <w:sz w:val="22"/>
                <w:szCs w:val="22"/>
                <w:shd w:val="clear" w:color="auto" w:fill="EAEEF3"/>
              </w:rPr>
              <w:t>E24_Chose_matérielle_élaborée_par_l'humain</w:t>
            </w:r>
            <w:r>
              <w:t xml:space="preserve"> </w:t>
            </w:r>
            <w:r>
              <w:rPr>
                <w:rFonts w:ascii="Consolas" w:eastAsia="Consolas" w:hAnsi="Consolas" w:cs="Consolas"/>
                <w:sz w:val="22"/>
                <w:szCs w:val="22"/>
                <w:shd w:val="clear" w:color="auto" w:fill="EAEEF3"/>
              </w:rPr>
              <w:t>P62_illustre</w:t>
            </w:r>
            <w:r>
              <w:t xml:space="preserve"> </w:t>
            </w:r>
            <w:r>
              <w:rPr>
                <w:rFonts w:ascii="Consolas" w:eastAsia="Consolas" w:hAnsi="Consolas" w:cs="Consolas"/>
                <w:sz w:val="22"/>
                <w:szCs w:val="22"/>
                <w:shd w:val="clear" w:color="auto" w:fill="EAEEF3"/>
              </w:rPr>
              <w:t>E1_Entité_CRM</w:t>
            </w:r>
            <w:r>
              <w:t>.</w:t>
            </w:r>
          </w:p>
        </w:tc>
      </w:tr>
      <w:tr w:rsidR="00BF18CF" w14:paraId="2A166D44" w14:textId="77777777" w:rsidTr="005675C3">
        <w:tc>
          <w:tcPr>
            <w:tcW w:w="1975" w:type="dxa"/>
          </w:tcPr>
          <w:p w14:paraId="14E90481" w14:textId="740A7869" w:rsidR="00BF18CF" w:rsidRDefault="00F27208">
            <w:r>
              <w:rPr>
                <w:i/>
              </w:rPr>
              <w:t>Note de traduction</w:t>
            </w:r>
          </w:p>
        </w:tc>
        <w:tc>
          <w:tcPr>
            <w:tcW w:w="8715" w:type="dxa"/>
          </w:tcPr>
          <w:p w14:paraId="4A5E98BD" w14:textId="77777777" w:rsidR="00BF18CF" w:rsidRDefault="00BF18CF">
            <w:pPr>
              <w:pBdr>
                <w:top w:val="nil"/>
                <w:left w:val="nil"/>
                <w:bottom w:val="nil"/>
                <w:right w:val="nil"/>
                <w:between w:val="nil"/>
              </w:pBdr>
              <w:spacing w:before="36" w:after="36"/>
              <w:rPr>
                <w:color w:val="000000"/>
              </w:rPr>
            </w:pPr>
          </w:p>
        </w:tc>
      </w:tr>
      <w:tr w:rsidR="00BF18CF" w14:paraId="7E81D9D2" w14:textId="77777777" w:rsidTr="005675C3">
        <w:tc>
          <w:tcPr>
            <w:tcW w:w="1975" w:type="dxa"/>
          </w:tcPr>
          <w:p w14:paraId="396AA50B" w14:textId="77777777" w:rsidR="00BF18CF" w:rsidRDefault="00E51347">
            <w:r>
              <w:rPr>
                <w:i/>
              </w:rPr>
              <w:t>Références</w:t>
            </w:r>
          </w:p>
        </w:tc>
        <w:tc>
          <w:tcPr>
            <w:tcW w:w="8715" w:type="dxa"/>
          </w:tcPr>
          <w:p w14:paraId="4B4A5A95" w14:textId="77777777" w:rsidR="00BF18CF" w:rsidRDefault="00BF18CF">
            <w:pPr>
              <w:pBdr>
                <w:top w:val="nil"/>
                <w:left w:val="nil"/>
                <w:bottom w:val="nil"/>
                <w:right w:val="nil"/>
                <w:between w:val="nil"/>
              </w:pBdr>
              <w:spacing w:before="36" w:after="36"/>
              <w:rPr>
                <w:color w:val="000000"/>
              </w:rPr>
            </w:pPr>
          </w:p>
        </w:tc>
      </w:tr>
      <w:tr w:rsidR="00BF18CF" w14:paraId="50163DF6" w14:textId="77777777" w:rsidTr="005675C3">
        <w:tc>
          <w:tcPr>
            <w:tcW w:w="1975" w:type="dxa"/>
          </w:tcPr>
          <w:p w14:paraId="568E495F" w14:textId="77777777" w:rsidR="00BF18CF" w:rsidRDefault="00BF18CF">
            <w:pPr>
              <w:pBdr>
                <w:top w:val="nil"/>
                <w:left w:val="nil"/>
                <w:bottom w:val="nil"/>
                <w:right w:val="nil"/>
                <w:between w:val="nil"/>
              </w:pBdr>
              <w:spacing w:before="36" w:after="36"/>
              <w:rPr>
                <w:color w:val="000000"/>
              </w:rPr>
            </w:pPr>
            <w:bookmarkStart w:id="23" w:name="bookmark=id.lnxbz9" w:colFirst="0" w:colLast="0"/>
            <w:bookmarkEnd w:id="23"/>
          </w:p>
          <w:p w14:paraId="2BA1938F" w14:textId="77777777" w:rsidR="00BF18CF" w:rsidRDefault="00E51347">
            <w:r>
              <w:t>Sous-propriété</w:t>
            </w:r>
          </w:p>
        </w:tc>
        <w:tc>
          <w:tcPr>
            <w:tcW w:w="8715" w:type="dxa"/>
          </w:tcPr>
          <w:p w14:paraId="70A6AAD0" w14:textId="77777777" w:rsidR="00BF18CF" w:rsidRDefault="00E51347">
            <w:r>
              <w:t xml:space="preserve">Une sous-propriété est une </w:t>
            </w:r>
            <w:hyperlink r:id="rId66" w:anchor="propriete">
              <w:r>
                <w:rPr>
                  <w:color w:val="4F81BD"/>
                </w:rPr>
                <w:t>propriété</w:t>
              </w:r>
            </w:hyperlink>
            <w:r>
              <w:t xml:space="preserve"> spécialisant une autre propriété (sa </w:t>
            </w:r>
            <w:hyperlink r:id="rId67" w:anchor="super-propriete">
              <w:r>
                <w:rPr>
                  <w:color w:val="4F81BD"/>
                </w:rPr>
                <w:t>super-propriété</w:t>
              </w:r>
            </w:hyperlink>
            <w:r>
              <w:t xml:space="preserve">); une spécialisation (ou relation </w:t>
            </w:r>
            <w:r>
              <w:rPr>
                <w:rFonts w:ascii="Consolas" w:eastAsia="Consolas" w:hAnsi="Consolas" w:cs="Consolas"/>
                <w:sz w:val="22"/>
                <w:szCs w:val="22"/>
                <w:shd w:val="clear" w:color="auto" w:fill="EAEEF3"/>
              </w:rPr>
              <w:t>estUn</w:t>
            </w:r>
            <w:r>
              <w:t>) implique que :</w:t>
            </w:r>
          </w:p>
          <w:p w14:paraId="44F3F3E9" w14:textId="77777777" w:rsidR="00BF18CF" w:rsidRDefault="00E51347">
            <w:pPr>
              <w:numPr>
                <w:ilvl w:val="0"/>
                <w:numId w:val="4"/>
              </w:numPr>
            </w:pPr>
            <w:proofErr w:type="gramStart"/>
            <w:r>
              <w:t>toutes</w:t>
            </w:r>
            <w:proofErr w:type="gramEnd"/>
            <w:r>
              <w:t xml:space="preserve"> les </w:t>
            </w:r>
            <w:hyperlink r:id="rId68" w:anchor="instance">
              <w:r>
                <w:rPr>
                  <w:b/>
                  <w:color w:val="4F81BD"/>
                </w:rPr>
                <w:t>instances</w:t>
              </w:r>
            </w:hyperlink>
            <w:r>
              <w:t xml:space="preserve"> d’une sous-propriété sont aussi des instances de sa super-propriété;</w:t>
            </w:r>
          </w:p>
          <w:p w14:paraId="5DE0FF58" w14:textId="77777777" w:rsidR="00BF18CF" w:rsidRDefault="00E51347">
            <w:pPr>
              <w:numPr>
                <w:ilvl w:val="0"/>
                <w:numId w:val="4"/>
              </w:numPr>
            </w:pPr>
            <w:r>
              <w:t>l’</w:t>
            </w:r>
            <w:hyperlink r:id="rId69" w:anchor="intension">
              <w:r>
                <w:rPr>
                  <w:b/>
                  <w:color w:val="4F81BD"/>
                </w:rPr>
                <w:t>intension</w:t>
              </w:r>
            </w:hyperlink>
            <w:r>
              <w:t xml:space="preserve"> d’une sous-propriété extensionne l’intension de sa super-propriété, c.-à-d. que les traits [n.d.t. décrits dans la </w:t>
            </w:r>
            <w:hyperlink r:id="rId70" w:anchor="note-dapplication">
              <w:r>
                <w:rPr>
                  <w:color w:val="4F81BD"/>
                </w:rPr>
                <w:t>note d’application</w:t>
              </w:r>
            </w:hyperlink>
            <w:r>
              <w:t xml:space="preserve"> de la sous-propriété] sont plus restrictifs que ceux de sa super-propriété;</w:t>
            </w:r>
          </w:p>
          <w:p w14:paraId="1BB0BAAC" w14:textId="77777777" w:rsidR="00BF18CF" w:rsidRDefault="00E51347">
            <w:pPr>
              <w:numPr>
                <w:ilvl w:val="0"/>
                <w:numId w:val="4"/>
              </w:numPr>
            </w:pPr>
            <w:r>
              <w:lastRenderedPageBreak/>
              <w:t xml:space="preserve">le </w:t>
            </w:r>
            <w:hyperlink r:id="rId71" w:anchor="domaine">
              <w:r>
                <w:rPr>
                  <w:b/>
                  <w:color w:val="4F81BD"/>
                </w:rPr>
                <w:t>domaine</w:t>
              </w:r>
            </w:hyperlink>
            <w:r>
              <w:t xml:space="preserve"> de la sous-propriété est le même que le domaine de sa super-propriété ou d’une </w:t>
            </w:r>
            <w:hyperlink r:id="rId72" w:anchor="sous-classe">
              <w:r>
                <w:rPr>
                  <w:color w:val="4F81BD"/>
                </w:rPr>
                <w:t>sous-classe</w:t>
              </w:r>
            </w:hyperlink>
            <w:r>
              <w:t xml:space="preserve"> de ce domaine;</w:t>
            </w:r>
          </w:p>
          <w:p w14:paraId="65F61AF2" w14:textId="77777777" w:rsidR="00BF18CF" w:rsidRDefault="00E51347">
            <w:pPr>
              <w:numPr>
                <w:ilvl w:val="0"/>
                <w:numId w:val="4"/>
              </w:numPr>
            </w:pPr>
            <w:proofErr w:type="gramStart"/>
            <w:r>
              <w:t>la</w:t>
            </w:r>
            <w:proofErr w:type="gramEnd"/>
            <w:r>
              <w:t xml:space="preserve"> </w:t>
            </w:r>
            <w:hyperlink r:id="rId73" w:anchor="portee">
              <w:r>
                <w:rPr>
                  <w:b/>
                  <w:color w:val="4F81BD"/>
                </w:rPr>
                <w:t>portée</w:t>
              </w:r>
            </w:hyperlink>
            <w:r>
              <w:t xml:space="preserve"> de la sous-propriété est la même que la portée de sa super-propriété ou d’une sous-classe de cette portée;</w:t>
            </w:r>
          </w:p>
          <w:p w14:paraId="2D74942D" w14:textId="77777777" w:rsidR="00BF18CF" w:rsidRDefault="00E51347">
            <w:pPr>
              <w:numPr>
                <w:ilvl w:val="0"/>
                <w:numId w:val="4"/>
              </w:numPr>
            </w:pPr>
            <w:r>
              <w:t xml:space="preserve">la sous-propriété </w:t>
            </w:r>
            <w:hyperlink r:id="rId74" w:anchor="heritage">
              <w:r>
                <w:rPr>
                  <w:color w:val="4F81BD"/>
                </w:rPr>
                <w:t>hérite</w:t>
              </w:r>
            </w:hyperlink>
            <w:r>
              <w:t xml:space="preserve"> la définition de toutes les propriétés déclarées pour sa super-propriété, et ce sans exception (</w:t>
            </w:r>
            <w:hyperlink r:id="rId75" w:anchor="heritage-strict">
              <w:r>
                <w:rPr>
                  <w:color w:val="4F81BD"/>
                </w:rPr>
                <w:t>héritage strict</w:t>
              </w:r>
            </w:hyperlink>
            <w:r>
              <w:t>) en plus de n’avoir aucune, une seule ou plusieurs propriétés qui lui est/sont propre(s).</w:t>
            </w:r>
          </w:p>
          <w:p w14:paraId="6C654927" w14:textId="77777777" w:rsidR="00BF18CF" w:rsidRDefault="00E51347">
            <w:r>
              <w:t>Une sous-propriété peut relever directement de plus d’une super-propriété et ainsi hériter les propriétés de toutes ces super-propriétés (</w:t>
            </w:r>
            <w:hyperlink r:id="rId76" w:anchor="heritage-multiple">
              <w:r>
                <w:rPr>
                  <w:color w:val="4F81BD"/>
                </w:rPr>
                <w:t>héritage multiple</w:t>
              </w:r>
            </w:hyperlink>
            <w:r>
              <w:t xml:space="preserve">). La relation </w:t>
            </w:r>
            <w:r>
              <w:rPr>
                <w:rFonts w:ascii="Consolas" w:eastAsia="Consolas" w:hAnsi="Consolas" w:cs="Consolas"/>
                <w:sz w:val="22"/>
                <w:szCs w:val="22"/>
                <w:shd w:val="clear" w:color="auto" w:fill="EAEEF3"/>
              </w:rPr>
              <w:t>estUn</w:t>
            </w:r>
            <w:r>
              <w:t xml:space="preserve"> (spécialisation) entre deux propriétés ou plus établit une hiérarchie des propriétés; c’est une relation </w:t>
            </w:r>
            <w:hyperlink r:id="rId77" w:anchor="transitivite">
              <w:r>
                <w:rPr>
                  <w:color w:val="4F81BD"/>
                </w:rPr>
                <w:t>transitive</w:t>
              </w:r>
            </w:hyperlink>
            <w:r>
              <w:t xml:space="preserve"> qui peut ne pas être cyclique. Certains langages de programmation comme C++ n’ont pas de construits qui expriment la spécialisation de propriétés en sous-propriétés.</w:t>
            </w:r>
          </w:p>
          <w:p w14:paraId="04B44FF6" w14:textId="77777777" w:rsidR="00BF18CF" w:rsidRDefault="00E51347">
            <w:r>
              <w:t>Une propriété peut aussi être une sous-propriété de l’</w:t>
            </w:r>
            <w:hyperlink r:id="rId78" w:anchor="inverse-de">
              <w:r>
                <w:rPr>
                  <w:color w:val="4F81BD"/>
                </w:rPr>
                <w:t>inverse</w:t>
              </w:r>
            </w:hyperlink>
            <w:r>
              <w:t xml:space="preserve"> d’une autre propriété [n.d.t. (la propriété initiale non-inversée)], c.-à-d. que lire la propriété depuis la portée vers le domaine implique que :</w:t>
            </w:r>
          </w:p>
          <w:p w14:paraId="146C4E56" w14:textId="77777777" w:rsidR="00BF18CF" w:rsidRDefault="00E51347">
            <w:pPr>
              <w:numPr>
                <w:ilvl w:val="0"/>
                <w:numId w:val="6"/>
              </w:numPr>
            </w:pPr>
            <w:proofErr w:type="gramStart"/>
            <w:r>
              <w:t>toutes</w:t>
            </w:r>
            <w:proofErr w:type="gramEnd"/>
            <w:r>
              <w:t xml:space="preserve"> les instances d’une sous-propriété sont aussi des instances de l’inverse de l’autre propriété;</w:t>
            </w:r>
          </w:p>
          <w:p w14:paraId="1A05F50A" w14:textId="77777777" w:rsidR="00BF18CF" w:rsidRDefault="00E51347">
            <w:pPr>
              <w:numPr>
                <w:ilvl w:val="0"/>
                <w:numId w:val="6"/>
              </w:numPr>
            </w:pPr>
            <w:proofErr w:type="gramStart"/>
            <w:r>
              <w:t>l’intension</w:t>
            </w:r>
            <w:proofErr w:type="gramEnd"/>
            <w:r>
              <w:t xml:space="preserve"> d’une sous-propriété extensionne l’intension de l’inverse de l’autre propriété, c.-à-d. que les traits [n.d.t. décrits dans la note d’application de la sous-propriété] sont plus restrictifs que ceux de l’inverse de l’autre propriété;</w:t>
            </w:r>
          </w:p>
          <w:p w14:paraId="71963228" w14:textId="77777777" w:rsidR="00BF18CF" w:rsidRDefault="00E51347">
            <w:pPr>
              <w:numPr>
                <w:ilvl w:val="0"/>
                <w:numId w:val="6"/>
              </w:numPr>
            </w:pPr>
            <w:proofErr w:type="gramStart"/>
            <w:r>
              <w:t>le</w:t>
            </w:r>
            <w:proofErr w:type="gramEnd"/>
            <w:r>
              <w:t xml:space="preserve"> domaine de la sous-propriété est le même que la portée de l’autre propriété ou d’une sous-classe de cette portée;</w:t>
            </w:r>
          </w:p>
          <w:p w14:paraId="2A0F2B35" w14:textId="77777777" w:rsidR="00BF18CF" w:rsidRDefault="00E51347">
            <w:pPr>
              <w:numPr>
                <w:ilvl w:val="0"/>
                <w:numId w:val="6"/>
              </w:numPr>
            </w:pPr>
            <w:proofErr w:type="gramStart"/>
            <w:r>
              <w:t>la</w:t>
            </w:r>
            <w:proofErr w:type="gramEnd"/>
            <w:r>
              <w:t xml:space="preserve"> portée de la sous-propriété est la même que le domaine de l'autre propriété ou une sous-classe de ce domaine</w:t>
            </w:r>
          </w:p>
          <w:p w14:paraId="22F961B4" w14:textId="77777777" w:rsidR="00BF18CF" w:rsidRDefault="00E51347">
            <w:pPr>
              <w:numPr>
                <w:ilvl w:val="0"/>
                <w:numId w:val="6"/>
              </w:numPr>
            </w:pPr>
            <w:proofErr w:type="gramStart"/>
            <w:r>
              <w:t>la</w:t>
            </w:r>
            <w:proofErr w:type="gramEnd"/>
            <w:r>
              <w:t xml:space="preserve"> sous-propriété hérite la définition de toutes les propriétés déclarées pour l’autre propriété, et ce sans exception (héritage strict) en plus de n’avoir aucune, une seule ou plusieurs propriétés qui lui est/sont propre(s). Les définitions des propriétés héritées doivent être interprétées dans le sens inverse de la direction de la sous-propriété, à savoir depuis la portée vers le domaine.</w:t>
            </w:r>
          </w:p>
          <w:p w14:paraId="5425FAE0" w14:textId="77777777" w:rsidR="00BF18CF" w:rsidRDefault="00E51347">
            <w:r>
              <w:t>[</w:t>
            </w:r>
            <w:proofErr w:type="gramStart"/>
            <w:r>
              <w:t>n.d.t.</w:t>
            </w:r>
            <w:proofErr w:type="gramEnd"/>
            <w:r>
              <w:t xml:space="preserve"> voir </w:t>
            </w:r>
            <w:hyperlink r:id="rId79">
              <w:r>
                <w:rPr>
                  <w:color w:val="4F81BD"/>
                </w:rPr>
                <w:t>Déclaration des propriétés du CIDOC CRM</w:t>
              </w:r>
            </w:hyperlink>
            <w:r>
              <w:t>].</w:t>
            </w:r>
          </w:p>
        </w:tc>
      </w:tr>
      <w:tr w:rsidR="00BF18CF" w14:paraId="6FBF87B3" w14:textId="77777777" w:rsidTr="005675C3">
        <w:tc>
          <w:tcPr>
            <w:tcW w:w="1975" w:type="dxa"/>
          </w:tcPr>
          <w:p w14:paraId="0053F75D" w14:textId="13ADB543" w:rsidR="00BF18CF" w:rsidRDefault="00F27208">
            <w:r>
              <w:rPr>
                <w:i/>
              </w:rPr>
              <w:lastRenderedPageBreak/>
              <w:t>Note de traduction</w:t>
            </w:r>
          </w:p>
        </w:tc>
        <w:tc>
          <w:tcPr>
            <w:tcW w:w="8715" w:type="dxa"/>
          </w:tcPr>
          <w:p w14:paraId="30455AF7" w14:textId="77777777" w:rsidR="00BF18CF" w:rsidRDefault="00E51347">
            <w:r>
              <w:t>Le terme « construct » n’a pas d’équivalent français parfait, mais une recherche sommaire révèle que le terme « construit » (n.m.) semble répandu dans les domaines de la philosophie et de la sociologie et est celui dont le sens se rapproche le plus de la forme originale.</w:t>
            </w:r>
          </w:p>
        </w:tc>
      </w:tr>
      <w:tr w:rsidR="00BF18CF" w14:paraId="34F07F0A" w14:textId="77777777" w:rsidTr="005675C3">
        <w:tc>
          <w:tcPr>
            <w:tcW w:w="1975" w:type="dxa"/>
          </w:tcPr>
          <w:p w14:paraId="21C5E1AE" w14:textId="77777777" w:rsidR="00BF18CF" w:rsidRDefault="00E51347">
            <w:r>
              <w:rPr>
                <w:i/>
              </w:rPr>
              <w:t>Références</w:t>
            </w:r>
          </w:p>
        </w:tc>
        <w:tc>
          <w:tcPr>
            <w:tcW w:w="8715" w:type="dxa"/>
          </w:tcPr>
          <w:p w14:paraId="3F6F893B" w14:textId="77777777" w:rsidR="00BF18CF" w:rsidRDefault="00E51347">
            <w:r>
              <w:t xml:space="preserve">Termium. « </w:t>
            </w:r>
            <w:proofErr w:type="gramStart"/>
            <w:r>
              <w:t>construct</w:t>
            </w:r>
            <w:proofErr w:type="gramEnd"/>
            <w:r>
              <w:t xml:space="preserve"> ». Dans </w:t>
            </w:r>
            <w:r>
              <w:rPr>
                <w:i/>
              </w:rPr>
              <w:t>Termium Plus</w:t>
            </w:r>
            <w:r>
              <w:t>. Ottawa, CA-ON: Gouvernement du Canada, 8 octobre 2009.</w:t>
            </w:r>
            <w:hyperlink r:id="rId80" w:anchor="resultrecs">
              <w:r>
                <w:rPr>
                  <w:color w:val="4F81BD"/>
                </w:rPr>
                <w:t xml:space="preserve"> https://www.btb.termiumplus.gc.ca/tpv2alpha/alpha-</w:t>
              </w:r>
              <w:r>
                <w:rPr>
                  <w:color w:val="4F81BD"/>
                </w:rPr>
                <w:lastRenderedPageBreak/>
                <w:t>fra.html?lang=fra&amp;i=1&amp;srchtxt=construct&amp;index=ent&amp;codom2nd_wet=1#resultrecs</w:t>
              </w:r>
            </w:hyperlink>
            <w:r>
              <w:t>.</w:t>
            </w:r>
          </w:p>
        </w:tc>
      </w:tr>
      <w:tr w:rsidR="00BF18CF" w14:paraId="37284FBC" w14:textId="77777777" w:rsidTr="005675C3">
        <w:tc>
          <w:tcPr>
            <w:tcW w:w="1975" w:type="dxa"/>
          </w:tcPr>
          <w:p w14:paraId="09467DF9" w14:textId="77777777" w:rsidR="00BF18CF" w:rsidRDefault="00BF18CF">
            <w:pPr>
              <w:pBdr>
                <w:top w:val="nil"/>
                <w:left w:val="nil"/>
                <w:bottom w:val="nil"/>
                <w:right w:val="nil"/>
                <w:between w:val="nil"/>
              </w:pBdr>
              <w:spacing w:before="36" w:after="36"/>
              <w:rPr>
                <w:color w:val="000000"/>
              </w:rPr>
            </w:pPr>
            <w:bookmarkStart w:id="24" w:name="bookmark=id.35nkun2" w:colFirst="0" w:colLast="0"/>
            <w:bookmarkEnd w:id="24"/>
          </w:p>
          <w:p w14:paraId="705B7D0A" w14:textId="77777777" w:rsidR="00BF18CF" w:rsidRDefault="00E51347">
            <w:r>
              <w:t>Super-propriété</w:t>
            </w:r>
          </w:p>
        </w:tc>
        <w:tc>
          <w:tcPr>
            <w:tcW w:w="8715" w:type="dxa"/>
          </w:tcPr>
          <w:p w14:paraId="00D8E2B2" w14:textId="77777777" w:rsidR="00BF18CF" w:rsidRDefault="00E51347">
            <w:r>
              <w:t xml:space="preserve">Une super-propriété est une </w:t>
            </w:r>
            <w:hyperlink r:id="rId81" w:anchor="propriete">
              <w:r>
                <w:rPr>
                  <w:b/>
                  <w:color w:val="4F81BD"/>
                </w:rPr>
                <w:t>propriété</w:t>
              </w:r>
            </w:hyperlink>
            <w:r>
              <w:t xml:space="preserve"> qui est une généralisation de l’une ou plusieurs autres propriétés (ses </w:t>
            </w:r>
            <w:hyperlink r:id="rId82" w:anchor="sous-propriete">
              <w:r>
                <w:rPr>
                  <w:b/>
                  <w:color w:val="4F81BD"/>
                </w:rPr>
                <w:t>sous-propriétés</w:t>
              </w:r>
            </w:hyperlink>
            <w:r>
              <w:t xml:space="preserve">) : elle subsume toutes les </w:t>
            </w:r>
            <w:hyperlink r:id="rId83" w:anchor="instance">
              <w:r>
                <w:rPr>
                  <w:b/>
                  <w:color w:val="4F81BD"/>
                </w:rPr>
                <w:t>instances</w:t>
              </w:r>
            </w:hyperlink>
            <w:r>
              <w:t xml:space="preserve"> de toutes ses sous-propriétés et peut de surcroît avoir des instances qui ne relèvent d'aucune de ces sous-propriétés. L’</w:t>
            </w:r>
            <w:hyperlink r:id="rId84" w:anchor="intension">
              <w:r>
                <w:rPr>
                  <w:b/>
                  <w:color w:val="4F81BD"/>
                </w:rPr>
                <w:t>intension</w:t>
              </w:r>
            </w:hyperlink>
            <w:r>
              <w:t xml:space="preserve"> d’une super-propriété est moins restrictive que celle de n’importe laquelle de ses sous-propriétés. La relation de subsomption (généralisation) est l’inverse d’une relation </w:t>
            </w:r>
            <w:r>
              <w:rPr>
                <w:rFonts w:ascii="Consolas" w:eastAsia="Consolas" w:hAnsi="Consolas" w:cs="Consolas"/>
                <w:sz w:val="22"/>
                <w:szCs w:val="22"/>
                <w:shd w:val="clear" w:color="auto" w:fill="EAEEF3"/>
              </w:rPr>
              <w:t>estUn</w:t>
            </w:r>
            <w:r>
              <w:t xml:space="preserve"> (spécialisation). Une super-propriété peut être une généralisation de l’</w:t>
            </w:r>
            <w:hyperlink r:id="rId85" w:anchor="inverse-de">
              <w:r>
                <w:rPr>
                  <w:b/>
                  <w:color w:val="4F81BD"/>
                </w:rPr>
                <w:t>inverse</w:t>
              </w:r>
            </w:hyperlink>
            <w:r>
              <w:t xml:space="preserve"> d’une autre propriété.</w:t>
            </w:r>
          </w:p>
          <w:p w14:paraId="1B7D7619" w14:textId="77777777" w:rsidR="00BF18CF" w:rsidRDefault="00E51347">
            <w:r>
              <w:t>[</w:t>
            </w:r>
            <w:proofErr w:type="gramStart"/>
            <w:r>
              <w:t>n.d.t.</w:t>
            </w:r>
            <w:proofErr w:type="gramEnd"/>
            <w:r>
              <w:t xml:space="preserve"> voir </w:t>
            </w:r>
            <w:hyperlink r:id="rId86">
              <w:r>
                <w:rPr>
                  <w:color w:val="4F81BD"/>
                </w:rPr>
                <w:t>Déclaration des propriétés du CIDOC CRM</w:t>
              </w:r>
            </w:hyperlink>
            <w:r>
              <w:t>].</w:t>
            </w:r>
          </w:p>
        </w:tc>
      </w:tr>
      <w:tr w:rsidR="00BF18CF" w14:paraId="7DB60250" w14:textId="77777777" w:rsidTr="005675C3">
        <w:tc>
          <w:tcPr>
            <w:tcW w:w="1975" w:type="dxa"/>
          </w:tcPr>
          <w:p w14:paraId="2087BC8C" w14:textId="10F978A9" w:rsidR="00BF18CF" w:rsidRDefault="00F27208">
            <w:r>
              <w:rPr>
                <w:i/>
              </w:rPr>
              <w:t>Note de traduction</w:t>
            </w:r>
          </w:p>
        </w:tc>
        <w:tc>
          <w:tcPr>
            <w:tcW w:w="8715" w:type="dxa"/>
          </w:tcPr>
          <w:p w14:paraId="12590F8B" w14:textId="77777777" w:rsidR="00BF18CF" w:rsidRDefault="00BF18CF">
            <w:pPr>
              <w:pBdr>
                <w:top w:val="nil"/>
                <w:left w:val="nil"/>
                <w:bottom w:val="nil"/>
                <w:right w:val="nil"/>
                <w:between w:val="nil"/>
              </w:pBdr>
              <w:spacing w:before="36" w:after="36"/>
              <w:rPr>
                <w:color w:val="000000"/>
              </w:rPr>
            </w:pPr>
          </w:p>
        </w:tc>
      </w:tr>
      <w:tr w:rsidR="00BF18CF" w14:paraId="413F5E56" w14:textId="77777777" w:rsidTr="005675C3">
        <w:tc>
          <w:tcPr>
            <w:tcW w:w="1975" w:type="dxa"/>
          </w:tcPr>
          <w:p w14:paraId="4A83A774" w14:textId="77777777" w:rsidR="00BF18CF" w:rsidRDefault="00E51347">
            <w:r>
              <w:rPr>
                <w:i/>
              </w:rPr>
              <w:t>Références</w:t>
            </w:r>
          </w:p>
        </w:tc>
        <w:tc>
          <w:tcPr>
            <w:tcW w:w="8715" w:type="dxa"/>
          </w:tcPr>
          <w:p w14:paraId="37BBF8AA" w14:textId="77777777" w:rsidR="00BF18CF" w:rsidRDefault="00BF18CF">
            <w:pPr>
              <w:pBdr>
                <w:top w:val="nil"/>
                <w:left w:val="nil"/>
                <w:bottom w:val="nil"/>
                <w:right w:val="nil"/>
                <w:between w:val="nil"/>
              </w:pBdr>
              <w:spacing w:before="36" w:after="36"/>
              <w:rPr>
                <w:color w:val="000000"/>
              </w:rPr>
            </w:pPr>
          </w:p>
        </w:tc>
      </w:tr>
      <w:tr w:rsidR="00BF18CF" w14:paraId="6BD0CD4B" w14:textId="77777777" w:rsidTr="005675C3">
        <w:tc>
          <w:tcPr>
            <w:tcW w:w="1975" w:type="dxa"/>
          </w:tcPr>
          <w:p w14:paraId="3712D525" w14:textId="77777777" w:rsidR="00BF18CF" w:rsidRDefault="00BF18CF">
            <w:pPr>
              <w:pBdr>
                <w:top w:val="nil"/>
                <w:left w:val="nil"/>
                <w:bottom w:val="nil"/>
                <w:right w:val="nil"/>
                <w:between w:val="nil"/>
              </w:pBdr>
              <w:spacing w:before="36" w:after="36"/>
              <w:rPr>
                <w:color w:val="000000"/>
              </w:rPr>
            </w:pPr>
            <w:bookmarkStart w:id="25" w:name="bookmark=id.1ksv4uv" w:colFirst="0" w:colLast="0"/>
            <w:bookmarkEnd w:id="25"/>
          </w:p>
          <w:p w14:paraId="6887C65A" w14:textId="77777777" w:rsidR="00BF18CF" w:rsidRDefault="00E51347">
            <w:r>
              <w:t>Domaine</w:t>
            </w:r>
          </w:p>
        </w:tc>
        <w:tc>
          <w:tcPr>
            <w:tcW w:w="8715" w:type="dxa"/>
          </w:tcPr>
          <w:p w14:paraId="3BD169B3" w14:textId="77777777" w:rsidR="00BF18CF" w:rsidRDefault="00E51347">
            <w:r>
              <w:t xml:space="preserve">Le domaine est la </w:t>
            </w:r>
            <w:hyperlink r:id="rId87" w:anchor="classe">
              <w:r>
                <w:rPr>
                  <w:b/>
                  <w:color w:val="4F81BD"/>
                </w:rPr>
                <w:t>classe</w:t>
              </w:r>
            </w:hyperlink>
            <w:r>
              <w:t xml:space="preserve"> pour laquelle une </w:t>
            </w:r>
            <w:hyperlink r:id="rId88" w:anchor="propriete">
              <w:r>
                <w:rPr>
                  <w:b/>
                  <w:color w:val="4F81BD"/>
                </w:rPr>
                <w:t>propriété</w:t>
              </w:r>
            </w:hyperlink>
            <w:r>
              <w:t xml:space="preserve"> est formellement définie, de sorte que les </w:t>
            </w:r>
            <w:hyperlink r:id="rId89" w:anchor="instance">
              <w:r>
                <w:rPr>
                  <w:b/>
                  <w:color w:val="4F81BD"/>
                </w:rPr>
                <w:t>instances</w:t>
              </w:r>
            </w:hyperlink>
            <w:r>
              <w:t xml:space="preserve"> d’une propriété ne peuvent s’appliquer qu’aux instances de sa classe de domaine. Une propriété doit avoir exactement un domaine, bien que la classe de domaine puisse contenir des instances pour lesquelles la propriété n’est pas instanciée. La classe de domaine est l’équivalent du sujet grammatical d’une phrase dont la propriété serait le verbe [n.d.t. dans le contexte d’une langue SVO, c.-à-d. une langue comme le français dont les phrases suivent généralement l’ordre sujet-verbe-objet]. Le choix de la classe sélectionnée pour le domaine et pour la </w:t>
            </w:r>
            <w:hyperlink r:id="rId90" w:anchor="portee">
              <w:r>
                <w:rPr>
                  <w:b/>
                  <w:color w:val="4F81BD"/>
                </w:rPr>
                <w:t>portée</w:t>
              </w:r>
            </w:hyperlink>
            <w:r>
              <w:t xml:space="preserve"> est aussi arbitraire que celui d’une forme grammaticale active ou passive. Les propriétés du CIDOC CRM sont ainsi nommées de manière à être grammaticalement correctes [n.d.t. en anglais] lors d’une lecture depuis le domaine vers la portée [n.d.t. dans le cadre de cette traduction, les propriétés sont grammaticalement correctes, mais toujours accordées au féminin dans le cadre de la phrase où elles sont citées puisqu’il est fait référence à la propriété elle-même (terme féminin) plutôt qu’à sa dénomination, le sujet grammatical des propriétés est pour sa part masculin]. De plus, les propriétés inverses, dont le nom se trouve normalement entre parenthèses, </w:t>
            </w:r>
            <w:proofErr w:type="gramStart"/>
            <w:r>
              <w:t>sont elles</w:t>
            </w:r>
            <w:proofErr w:type="gramEnd"/>
            <w:r>
              <w:t xml:space="preserve"> aussi nommées de manière à être grammaticalement correctes [n.d.t. en anglais] lors d’une lecture depuis la portée vers le domaine.</w:t>
            </w:r>
          </w:p>
        </w:tc>
      </w:tr>
      <w:tr w:rsidR="00BF18CF" w14:paraId="2E048870" w14:textId="77777777" w:rsidTr="005675C3">
        <w:tc>
          <w:tcPr>
            <w:tcW w:w="1975" w:type="dxa"/>
          </w:tcPr>
          <w:p w14:paraId="4460AB36" w14:textId="25DE083F" w:rsidR="00BF18CF" w:rsidRDefault="00F27208">
            <w:r>
              <w:rPr>
                <w:i/>
              </w:rPr>
              <w:t>Note de traduction</w:t>
            </w:r>
          </w:p>
        </w:tc>
        <w:tc>
          <w:tcPr>
            <w:tcW w:w="8715" w:type="dxa"/>
          </w:tcPr>
          <w:p w14:paraId="4B94FEEC" w14:textId="77DB1E3E" w:rsidR="00BF18CF" w:rsidRDefault="00BF18CF">
            <w:pPr>
              <w:pBdr>
                <w:top w:val="nil"/>
                <w:left w:val="nil"/>
                <w:bottom w:val="nil"/>
                <w:right w:val="nil"/>
                <w:between w:val="nil"/>
              </w:pBdr>
              <w:spacing w:before="36" w:after="36"/>
              <w:rPr>
                <w:color w:val="000000"/>
              </w:rPr>
            </w:pPr>
          </w:p>
        </w:tc>
      </w:tr>
      <w:tr w:rsidR="00BF18CF" w:rsidRPr="000467B7" w14:paraId="00C0F507" w14:textId="77777777" w:rsidTr="005675C3">
        <w:tc>
          <w:tcPr>
            <w:tcW w:w="1975" w:type="dxa"/>
          </w:tcPr>
          <w:p w14:paraId="7EF30F52" w14:textId="77777777" w:rsidR="00BF18CF" w:rsidRDefault="00E51347">
            <w:r>
              <w:rPr>
                <w:i/>
              </w:rPr>
              <w:t>Références</w:t>
            </w:r>
          </w:p>
        </w:tc>
        <w:tc>
          <w:tcPr>
            <w:tcW w:w="8715" w:type="dxa"/>
          </w:tcPr>
          <w:p w14:paraId="4D9FA670" w14:textId="77777777" w:rsidR="00BF18CF" w:rsidRPr="00EE61A5" w:rsidRDefault="00E51347">
            <w:pPr>
              <w:rPr>
                <w:lang w:val="en-CA"/>
              </w:rPr>
            </w:pPr>
            <w:r>
              <w:t xml:space="preserve">Wikipédia. « Langue SVO ». Dans </w:t>
            </w:r>
            <w:r>
              <w:rPr>
                <w:i/>
              </w:rPr>
              <w:t>Wikipédia</w:t>
            </w:r>
            <w:r>
              <w:t xml:space="preserve">. </w:t>
            </w:r>
            <w:r w:rsidRPr="00EE61A5">
              <w:rPr>
                <w:lang w:val="en-CA"/>
              </w:rPr>
              <w:t>San Francisco, US-CA: Wikipédia, 31 octobre 2020.</w:t>
            </w:r>
            <w:r w:rsidR="000467B7">
              <w:fldChar w:fldCharType="begin"/>
            </w:r>
            <w:r w:rsidR="000467B7" w:rsidRPr="000467B7">
              <w:rPr>
                <w:lang w:val="en-CA"/>
              </w:rPr>
              <w:instrText>HYPERLINK "https://fr.wikipedia.org/w/index.php?title=Langue_SVO&amp;oldid=176099662" \h</w:instrText>
            </w:r>
            <w:r w:rsidR="000467B7">
              <w:fldChar w:fldCharType="separate"/>
            </w:r>
            <w:r w:rsidRPr="00EE61A5">
              <w:rPr>
                <w:color w:val="4F81BD"/>
                <w:lang w:val="en-CA"/>
              </w:rPr>
              <w:t xml:space="preserve"> https://fr.wikipedia.org/w/index.php?title=Langue_SVO&amp;oldid=176099662</w:t>
            </w:r>
            <w:r w:rsidR="000467B7">
              <w:rPr>
                <w:color w:val="4F81BD"/>
                <w:lang w:val="en-CA"/>
              </w:rPr>
              <w:fldChar w:fldCharType="end"/>
            </w:r>
            <w:r w:rsidRPr="00EE61A5">
              <w:rPr>
                <w:lang w:val="en-CA"/>
              </w:rPr>
              <w:t>.</w:t>
            </w:r>
          </w:p>
        </w:tc>
      </w:tr>
      <w:tr w:rsidR="00BF18CF" w14:paraId="6A6A863B" w14:textId="77777777" w:rsidTr="005675C3">
        <w:tc>
          <w:tcPr>
            <w:tcW w:w="1975" w:type="dxa"/>
          </w:tcPr>
          <w:p w14:paraId="0584B4F6" w14:textId="77777777" w:rsidR="00BF18CF" w:rsidRPr="00EE61A5" w:rsidRDefault="00BF18CF">
            <w:pPr>
              <w:pBdr>
                <w:top w:val="nil"/>
                <w:left w:val="nil"/>
                <w:bottom w:val="nil"/>
                <w:right w:val="nil"/>
                <w:between w:val="nil"/>
              </w:pBdr>
              <w:spacing w:before="36" w:after="36"/>
              <w:rPr>
                <w:color w:val="000000"/>
                <w:lang w:val="en-CA"/>
              </w:rPr>
            </w:pPr>
            <w:bookmarkStart w:id="26" w:name="bookmark=id.44sinio" w:colFirst="0" w:colLast="0"/>
            <w:bookmarkEnd w:id="26"/>
          </w:p>
          <w:p w14:paraId="4F1EE34F" w14:textId="77777777" w:rsidR="00BF18CF" w:rsidRDefault="00E51347">
            <w:r>
              <w:t>Portée</w:t>
            </w:r>
          </w:p>
        </w:tc>
        <w:tc>
          <w:tcPr>
            <w:tcW w:w="8715" w:type="dxa"/>
          </w:tcPr>
          <w:p w14:paraId="6F033DE6" w14:textId="77777777" w:rsidR="00BF18CF" w:rsidRDefault="00E51347">
            <w:r>
              <w:t xml:space="preserve">La portée est la </w:t>
            </w:r>
            <w:hyperlink r:id="rId91" w:anchor="classe">
              <w:r>
                <w:rPr>
                  <w:b/>
                  <w:color w:val="4F81BD"/>
                </w:rPr>
                <w:t>classe</w:t>
              </w:r>
            </w:hyperlink>
            <w:r>
              <w:t xml:space="preserve"> qui englobe toutes les valeurs potentielles d’une </w:t>
            </w:r>
            <w:hyperlink r:id="rId92" w:anchor="propriete">
              <w:r>
                <w:rPr>
                  <w:b/>
                  <w:color w:val="4F81BD"/>
                </w:rPr>
                <w:t>propriété</w:t>
              </w:r>
            </w:hyperlink>
            <w:r>
              <w:t xml:space="preserve">, de sorte que les </w:t>
            </w:r>
            <w:hyperlink r:id="rId93" w:anchor="instance">
              <w:r>
                <w:rPr>
                  <w:b/>
                  <w:color w:val="4F81BD"/>
                </w:rPr>
                <w:t>instances</w:t>
              </w:r>
            </w:hyperlink>
            <w:r>
              <w:t xml:space="preserve"> d’une propriété peuvent se lier uniquement aux instances de sa classe de portée. Une propriété doit avoir exactement une portée, bien que la classe de portée puisse contenir des instances qui ne sont pas des valeurs de la propriété. La classe de portée est l’équivalent de l’objet grammatical </w:t>
            </w:r>
            <w:r>
              <w:lastRenderedPageBreak/>
              <w:t xml:space="preserve">d’une phrase dont la propriété serait le verbe [n.d.t. dans le contexte d’une langue SVO, c.-à-d. une langue comme le français dont les phrases suivent généralement l’ordre sujet-verbe-objet]. Le choix de la classe sélectionnée pour le </w:t>
            </w:r>
            <w:hyperlink r:id="rId94" w:anchor="domaine">
              <w:r>
                <w:rPr>
                  <w:b/>
                  <w:color w:val="4F81BD"/>
                </w:rPr>
                <w:t>domaine</w:t>
              </w:r>
            </w:hyperlink>
            <w:r>
              <w:t xml:space="preserve"> et pour la portée est aussi arbitraire que celui d’une forme grammaticale active ou passive. Les propriétés du CIDOC CRM sont ainsi nommées de manière à être grammaticalement correctes [n.d.t. en anglais] lors d’une lecture depuis le domaine vers la portée [n.d.t. dans le cadre de cette traduction, les propriétés sont grammaticalement correctes, mais toujours accordées au féminin dans le cadre de la phrase où elles sont citées, le sujet grammatical des propriétés est pour sa part masculin]. De plus, les propriétés inverses, dont le nom se trouve normalement entre parenthèses, </w:t>
            </w:r>
            <w:proofErr w:type="gramStart"/>
            <w:r>
              <w:t>sont elles</w:t>
            </w:r>
            <w:proofErr w:type="gramEnd"/>
            <w:r>
              <w:t xml:space="preserve"> aussi nommées de manière à être grammaticalement correcte [n.d.t. en anglais] lors d’une lecture depuis la portée vers le domaine.</w:t>
            </w:r>
          </w:p>
        </w:tc>
      </w:tr>
      <w:tr w:rsidR="00BF18CF" w14:paraId="2E7F7180" w14:textId="77777777" w:rsidTr="005675C3">
        <w:tc>
          <w:tcPr>
            <w:tcW w:w="1975" w:type="dxa"/>
          </w:tcPr>
          <w:p w14:paraId="13AC7202" w14:textId="5E38153C" w:rsidR="00BF18CF" w:rsidRDefault="00F27208">
            <w:r>
              <w:rPr>
                <w:i/>
              </w:rPr>
              <w:lastRenderedPageBreak/>
              <w:t>Note de traduction</w:t>
            </w:r>
          </w:p>
        </w:tc>
        <w:tc>
          <w:tcPr>
            <w:tcW w:w="8715" w:type="dxa"/>
          </w:tcPr>
          <w:p w14:paraId="599E71C5" w14:textId="77777777" w:rsidR="00BF18CF" w:rsidRDefault="00BF18CF">
            <w:pPr>
              <w:pBdr>
                <w:top w:val="nil"/>
                <w:left w:val="nil"/>
                <w:bottom w:val="nil"/>
                <w:right w:val="nil"/>
                <w:between w:val="nil"/>
              </w:pBdr>
              <w:spacing w:before="36" w:after="36"/>
              <w:rPr>
                <w:color w:val="000000"/>
              </w:rPr>
            </w:pPr>
          </w:p>
        </w:tc>
      </w:tr>
      <w:tr w:rsidR="00BF18CF" w:rsidRPr="000467B7" w14:paraId="6558E76B" w14:textId="77777777" w:rsidTr="005675C3">
        <w:tc>
          <w:tcPr>
            <w:tcW w:w="1975" w:type="dxa"/>
          </w:tcPr>
          <w:p w14:paraId="6A321AA8" w14:textId="77777777" w:rsidR="00BF18CF" w:rsidRDefault="00E51347">
            <w:r>
              <w:rPr>
                <w:i/>
              </w:rPr>
              <w:t>Références</w:t>
            </w:r>
          </w:p>
        </w:tc>
        <w:tc>
          <w:tcPr>
            <w:tcW w:w="8715" w:type="dxa"/>
          </w:tcPr>
          <w:p w14:paraId="1F359319" w14:textId="77777777" w:rsidR="00BF18CF" w:rsidRPr="00EE61A5" w:rsidRDefault="00E51347">
            <w:pPr>
              <w:rPr>
                <w:lang w:val="en-CA"/>
              </w:rPr>
            </w:pPr>
            <w:r>
              <w:t xml:space="preserve">Wikipédia. « Langue SVO ». Dans </w:t>
            </w:r>
            <w:r>
              <w:rPr>
                <w:i/>
              </w:rPr>
              <w:t>Wikipédia</w:t>
            </w:r>
            <w:r>
              <w:t xml:space="preserve">. </w:t>
            </w:r>
            <w:r w:rsidRPr="00EE61A5">
              <w:rPr>
                <w:lang w:val="en-CA"/>
              </w:rPr>
              <w:t>San Francisco, US-CA: Wikipédia, 31 octobre 2020.</w:t>
            </w:r>
            <w:r w:rsidR="000467B7">
              <w:fldChar w:fldCharType="begin"/>
            </w:r>
            <w:r w:rsidR="000467B7" w:rsidRPr="000467B7">
              <w:rPr>
                <w:lang w:val="en-CA"/>
              </w:rPr>
              <w:instrText>HYPERLINK "https://fr.wikipedia.org/w/index.php?title=Langue_SVO&amp;oldid=176099662" \h</w:instrText>
            </w:r>
            <w:r w:rsidR="000467B7">
              <w:fldChar w:fldCharType="separate"/>
            </w:r>
            <w:r w:rsidRPr="00EE61A5">
              <w:rPr>
                <w:color w:val="4F81BD"/>
                <w:lang w:val="en-CA"/>
              </w:rPr>
              <w:t xml:space="preserve"> https://fr.wikipedia.org/w/index.php?title=Langue_SVO&amp;oldid=176099662</w:t>
            </w:r>
            <w:r w:rsidR="000467B7">
              <w:rPr>
                <w:color w:val="4F81BD"/>
                <w:lang w:val="en-CA"/>
              </w:rPr>
              <w:fldChar w:fldCharType="end"/>
            </w:r>
            <w:r w:rsidRPr="00EE61A5">
              <w:rPr>
                <w:lang w:val="en-CA"/>
              </w:rPr>
              <w:t>.</w:t>
            </w:r>
          </w:p>
        </w:tc>
      </w:tr>
      <w:tr w:rsidR="00BF18CF" w14:paraId="02311E10" w14:textId="77777777" w:rsidTr="005675C3">
        <w:tc>
          <w:tcPr>
            <w:tcW w:w="1975" w:type="dxa"/>
          </w:tcPr>
          <w:p w14:paraId="1EB2DCB3" w14:textId="77777777" w:rsidR="00BF18CF" w:rsidRPr="00EE61A5" w:rsidRDefault="00BF18CF">
            <w:pPr>
              <w:pBdr>
                <w:top w:val="nil"/>
                <w:left w:val="nil"/>
                <w:bottom w:val="nil"/>
                <w:right w:val="nil"/>
                <w:between w:val="nil"/>
              </w:pBdr>
              <w:spacing w:before="36" w:after="36"/>
              <w:rPr>
                <w:color w:val="000000"/>
                <w:lang w:val="en-CA"/>
              </w:rPr>
            </w:pPr>
            <w:bookmarkStart w:id="27" w:name="bookmark=id.2jxsxqh" w:colFirst="0" w:colLast="0"/>
            <w:bookmarkEnd w:id="27"/>
          </w:p>
          <w:p w14:paraId="4EC976EC" w14:textId="77777777" w:rsidR="00BF18CF" w:rsidRDefault="00E51347">
            <w:r>
              <w:t>Héritage</w:t>
            </w:r>
          </w:p>
        </w:tc>
        <w:tc>
          <w:tcPr>
            <w:tcW w:w="8715" w:type="dxa"/>
          </w:tcPr>
          <w:p w14:paraId="21E428E8" w14:textId="77777777" w:rsidR="00BF18CF" w:rsidRDefault="00E51347">
            <w:r>
              <w:t xml:space="preserve">L’héritage des </w:t>
            </w:r>
            <w:hyperlink r:id="rId95" w:anchor="propriete">
              <w:r>
                <w:rPr>
                  <w:b/>
                  <w:color w:val="4F81BD"/>
                </w:rPr>
                <w:t>propriétés</w:t>
              </w:r>
            </w:hyperlink>
            <w:r>
              <w:t xml:space="preserve"> de </w:t>
            </w:r>
            <w:hyperlink r:id="rId96" w:anchor="super-classe">
              <w:r>
                <w:rPr>
                  <w:b/>
                  <w:color w:val="4F81BD"/>
                </w:rPr>
                <w:t>super-classes</w:t>
              </w:r>
            </w:hyperlink>
            <w:r>
              <w:t xml:space="preserve"> vers leurs </w:t>
            </w:r>
            <w:hyperlink r:id="rId97" w:anchor="sous-classe">
              <w:r>
                <w:rPr>
                  <w:b/>
                  <w:color w:val="4F81BD"/>
                </w:rPr>
                <w:t>sous-classes</w:t>
              </w:r>
            </w:hyperlink>
            <w:r>
              <w:t xml:space="preserve"> implique que pour tout élément </w:t>
            </w:r>
            <w:r>
              <w:rPr>
                <w:rFonts w:ascii="Consolas" w:eastAsia="Consolas" w:hAnsi="Consolas" w:cs="Consolas"/>
                <w:sz w:val="22"/>
                <w:szCs w:val="22"/>
                <w:shd w:val="clear" w:color="auto" w:fill="EAEEF3"/>
              </w:rPr>
              <w:t>x</w:t>
            </w:r>
            <w:r>
              <w:t xml:space="preserve"> étant une </w:t>
            </w:r>
            <w:hyperlink r:id="rId98" w:anchor="instance">
              <w:r>
                <w:rPr>
                  <w:b/>
                  <w:color w:val="4F81BD"/>
                </w:rPr>
                <w:t>instance</w:t>
              </w:r>
            </w:hyperlink>
            <w:r>
              <w:t xml:space="preserve"> d’une </w:t>
            </w:r>
            <w:hyperlink r:id="rId99" w:anchor="classe">
              <w:r>
                <w:rPr>
                  <w:b/>
                  <w:color w:val="4F81BD"/>
                </w:rPr>
                <w:t>classe</w:t>
              </w:r>
            </w:hyperlink>
            <w:r>
              <w:t xml:space="preserve"> </w:t>
            </w:r>
            <w:r>
              <w:rPr>
                <w:rFonts w:ascii="Consolas" w:eastAsia="Consolas" w:hAnsi="Consolas" w:cs="Consolas"/>
                <w:sz w:val="22"/>
                <w:szCs w:val="22"/>
                <w:shd w:val="clear" w:color="auto" w:fill="EAEEF3"/>
              </w:rPr>
              <w:t>A</w:t>
            </w:r>
            <w:r>
              <w:t xml:space="preserve"> :</w:t>
            </w:r>
          </w:p>
          <w:p w14:paraId="490218B5" w14:textId="77777777" w:rsidR="00BF18CF" w:rsidRDefault="00E51347">
            <w:pPr>
              <w:numPr>
                <w:ilvl w:val="0"/>
                <w:numId w:val="9"/>
              </w:numPr>
            </w:pPr>
            <w:proofErr w:type="gramStart"/>
            <w:r>
              <w:t>toutes</w:t>
            </w:r>
            <w:proofErr w:type="gramEnd"/>
            <w:r>
              <w:t xml:space="preserve"> les propriétés qui doivent être appliquées à des instances relevant de super-classes de </w:t>
            </w:r>
            <w:r>
              <w:rPr>
                <w:rFonts w:ascii="Consolas" w:eastAsia="Consolas" w:hAnsi="Consolas" w:cs="Consolas"/>
                <w:sz w:val="22"/>
                <w:szCs w:val="22"/>
                <w:shd w:val="clear" w:color="auto" w:fill="EAEEF3"/>
              </w:rPr>
              <w:t>A</w:t>
            </w:r>
            <w:r>
              <w:t xml:space="preserve"> doivent aussi s’appliquer à l’élément </w:t>
            </w:r>
            <w:r>
              <w:rPr>
                <w:rFonts w:ascii="Consolas" w:eastAsia="Consolas" w:hAnsi="Consolas" w:cs="Consolas"/>
                <w:sz w:val="22"/>
                <w:szCs w:val="22"/>
                <w:shd w:val="clear" w:color="auto" w:fill="EAEEF3"/>
              </w:rPr>
              <w:t>x</w:t>
            </w:r>
            <w:r>
              <w:t xml:space="preserve"> et que</w:t>
            </w:r>
          </w:p>
          <w:p w14:paraId="707ABC15" w14:textId="77777777" w:rsidR="00BF18CF" w:rsidRDefault="00E51347">
            <w:pPr>
              <w:numPr>
                <w:ilvl w:val="0"/>
                <w:numId w:val="9"/>
              </w:numPr>
            </w:pPr>
            <w:proofErr w:type="gramStart"/>
            <w:r>
              <w:t>toutes</w:t>
            </w:r>
            <w:proofErr w:type="gramEnd"/>
            <w:r>
              <w:t xml:space="preserve"> les propriétés optionnelles qui peuvent être appliquées à des instances relevant de super-classes de </w:t>
            </w:r>
            <w:r>
              <w:rPr>
                <w:rFonts w:ascii="Consolas" w:eastAsia="Consolas" w:hAnsi="Consolas" w:cs="Consolas"/>
                <w:sz w:val="22"/>
                <w:szCs w:val="22"/>
                <w:shd w:val="clear" w:color="auto" w:fill="EAEEF3"/>
              </w:rPr>
              <w:t>A</w:t>
            </w:r>
            <w:r>
              <w:t xml:space="preserve"> peuvent aussi s’appliquer à l’élément </w:t>
            </w:r>
            <w:r>
              <w:rPr>
                <w:rFonts w:ascii="Consolas" w:eastAsia="Consolas" w:hAnsi="Consolas" w:cs="Consolas"/>
                <w:sz w:val="22"/>
                <w:szCs w:val="22"/>
                <w:shd w:val="clear" w:color="auto" w:fill="EAEEF3"/>
              </w:rPr>
              <w:t>x</w:t>
            </w:r>
            <w:r>
              <w:t>.</w:t>
            </w:r>
          </w:p>
          <w:p w14:paraId="2F8E53C9" w14:textId="77777777" w:rsidR="00BF18CF" w:rsidRDefault="00E51347">
            <w:r>
              <w:t xml:space="preserve">[n.d.t. voir </w:t>
            </w:r>
            <w:hyperlink r:id="rId100" w:anchor="de-lheritage-et-de-la-transitivite">
              <w:r>
                <w:rPr>
                  <w:color w:val="4F81BD"/>
                </w:rPr>
                <w:t>De l’héritage et de la transitivité</w:t>
              </w:r>
            </w:hyperlink>
            <w:r>
              <w:t xml:space="preserve"> dans la section </w:t>
            </w:r>
            <w:hyperlink r:id="rId101">
              <w:r>
                <w:rPr>
                  <w:color w:val="4F81BD"/>
                </w:rPr>
                <w:t>Principes de modélisation</w:t>
              </w:r>
            </w:hyperlink>
            <w:r>
              <w:t>].</w:t>
            </w:r>
          </w:p>
        </w:tc>
      </w:tr>
      <w:tr w:rsidR="00BF18CF" w14:paraId="05334D0A" w14:textId="77777777" w:rsidTr="005675C3">
        <w:tc>
          <w:tcPr>
            <w:tcW w:w="1975" w:type="dxa"/>
          </w:tcPr>
          <w:p w14:paraId="315B0FB3" w14:textId="3FDD907A" w:rsidR="00BF18CF" w:rsidRDefault="00F27208">
            <w:r>
              <w:rPr>
                <w:i/>
              </w:rPr>
              <w:t>Note de traduction</w:t>
            </w:r>
          </w:p>
        </w:tc>
        <w:tc>
          <w:tcPr>
            <w:tcW w:w="8715" w:type="dxa"/>
          </w:tcPr>
          <w:p w14:paraId="0D760F3D" w14:textId="77777777" w:rsidR="00BF18CF" w:rsidRDefault="00BF18CF">
            <w:pPr>
              <w:pBdr>
                <w:top w:val="nil"/>
                <w:left w:val="nil"/>
                <w:bottom w:val="nil"/>
                <w:right w:val="nil"/>
                <w:between w:val="nil"/>
              </w:pBdr>
              <w:spacing w:before="36" w:after="36"/>
              <w:rPr>
                <w:color w:val="000000"/>
              </w:rPr>
            </w:pPr>
          </w:p>
        </w:tc>
      </w:tr>
      <w:tr w:rsidR="00BF18CF" w14:paraId="14600F46" w14:textId="77777777" w:rsidTr="005675C3">
        <w:tc>
          <w:tcPr>
            <w:tcW w:w="1975" w:type="dxa"/>
          </w:tcPr>
          <w:p w14:paraId="1C1F1CC0" w14:textId="77777777" w:rsidR="00BF18CF" w:rsidRDefault="00E51347">
            <w:r>
              <w:rPr>
                <w:i/>
              </w:rPr>
              <w:t>Références</w:t>
            </w:r>
          </w:p>
        </w:tc>
        <w:tc>
          <w:tcPr>
            <w:tcW w:w="8715" w:type="dxa"/>
          </w:tcPr>
          <w:p w14:paraId="709EBA5A" w14:textId="77777777" w:rsidR="00BF18CF" w:rsidRDefault="00BF18CF">
            <w:pPr>
              <w:pBdr>
                <w:top w:val="nil"/>
                <w:left w:val="nil"/>
                <w:bottom w:val="nil"/>
                <w:right w:val="nil"/>
                <w:between w:val="nil"/>
              </w:pBdr>
              <w:spacing w:before="36" w:after="36"/>
              <w:rPr>
                <w:color w:val="000000"/>
              </w:rPr>
            </w:pPr>
          </w:p>
        </w:tc>
      </w:tr>
      <w:tr w:rsidR="00BF18CF" w14:paraId="69A33751" w14:textId="77777777" w:rsidTr="005675C3">
        <w:tc>
          <w:tcPr>
            <w:tcW w:w="1975" w:type="dxa"/>
          </w:tcPr>
          <w:p w14:paraId="4436BE94" w14:textId="77777777" w:rsidR="00BF18CF" w:rsidRDefault="00BF18CF">
            <w:pPr>
              <w:pBdr>
                <w:top w:val="nil"/>
                <w:left w:val="nil"/>
                <w:bottom w:val="nil"/>
                <w:right w:val="nil"/>
                <w:between w:val="nil"/>
              </w:pBdr>
              <w:spacing w:before="36" w:after="36"/>
              <w:rPr>
                <w:color w:val="000000"/>
              </w:rPr>
            </w:pPr>
            <w:bookmarkStart w:id="28" w:name="bookmark=id.z337ya" w:colFirst="0" w:colLast="0"/>
            <w:bookmarkEnd w:id="28"/>
          </w:p>
          <w:p w14:paraId="033A1EEB" w14:textId="77777777" w:rsidR="00BF18CF" w:rsidRDefault="00E51347">
            <w:r>
              <w:t>Héritage strict</w:t>
            </w:r>
          </w:p>
        </w:tc>
        <w:tc>
          <w:tcPr>
            <w:tcW w:w="8715" w:type="dxa"/>
          </w:tcPr>
          <w:p w14:paraId="67C0C71B" w14:textId="77777777" w:rsidR="00BF18CF" w:rsidRDefault="00E51347">
            <w:r>
              <w:t>L’</w:t>
            </w:r>
            <w:hyperlink r:id="rId102" w:anchor="heritage">
              <w:r>
                <w:rPr>
                  <w:b/>
                  <w:color w:val="4F81BD"/>
                </w:rPr>
                <w:t>héritage</w:t>
              </w:r>
            </w:hyperlink>
            <w:r>
              <w:t xml:space="preserve"> strict désigne le fait qu’il n’y a pas d’exception à l’héritage de </w:t>
            </w:r>
            <w:hyperlink r:id="rId103" w:anchor="propriete">
              <w:r>
                <w:rPr>
                  <w:color w:val="4F81BD"/>
                </w:rPr>
                <w:t>propriétés</w:t>
              </w:r>
            </w:hyperlink>
            <w:r>
              <w:t xml:space="preserve"> depuis des </w:t>
            </w:r>
            <w:hyperlink r:id="rId104" w:anchor="super-classe">
              <w:r>
                <w:rPr>
                  <w:color w:val="4F81BD"/>
                </w:rPr>
                <w:t>super-classes</w:t>
              </w:r>
            </w:hyperlink>
            <w:r>
              <w:t xml:space="preserve"> vers leurs </w:t>
            </w:r>
            <w:hyperlink r:id="rId105" w:anchor="sous-classe">
              <w:r>
                <w:rPr>
                  <w:color w:val="4F81BD"/>
                </w:rPr>
                <w:t>sous-classes</w:t>
              </w:r>
            </w:hyperlink>
            <w:r>
              <w:t>. Par exemple, un système [n.d.t. d’information] peut déclarer que les éléphants sont gris et considérer qu’un éléphant blanc est une exception [n.d.t. à la classe éléphant]. Des règles d’héritage strict imposeraient que si tous les éléphants sont gris, un éléphant blanc ne peut être un éléphant. Évidemment, tous les éléphants ne sont pas gris et le fait d’être gris ne fait pas partie de l’</w:t>
            </w:r>
            <w:hyperlink r:id="rId106" w:anchor="intension">
              <w:r>
                <w:rPr>
                  <w:color w:val="4F81BD"/>
                </w:rPr>
                <w:t>intension</w:t>
              </w:r>
            </w:hyperlink>
            <w:r>
              <w:t xml:space="preserve"> du concept « éléphant » (il s’agit plutôt d’une propriété optionnelle). Le CIDOC CRM applique des règles d’héritage strict à des fins de normalisation.</w:t>
            </w:r>
          </w:p>
        </w:tc>
      </w:tr>
      <w:tr w:rsidR="00BF18CF" w14:paraId="2929BD53" w14:textId="77777777" w:rsidTr="005675C3">
        <w:tc>
          <w:tcPr>
            <w:tcW w:w="1975" w:type="dxa"/>
          </w:tcPr>
          <w:p w14:paraId="358E0D78" w14:textId="3D2FFB01" w:rsidR="00BF18CF" w:rsidRDefault="00F27208">
            <w:r>
              <w:rPr>
                <w:i/>
              </w:rPr>
              <w:t>Note de traduction</w:t>
            </w:r>
          </w:p>
        </w:tc>
        <w:tc>
          <w:tcPr>
            <w:tcW w:w="8715" w:type="dxa"/>
          </w:tcPr>
          <w:p w14:paraId="25A795C7" w14:textId="77777777" w:rsidR="00BF18CF" w:rsidRDefault="00E51347">
            <w:r>
              <w:t>Le terme « normalization » aurait aussi pu être traduit par « standardisation”, mais puisqu’il s’agit du principe et non pas de l’application d’un standard établi, le terme « normalisation » a été utilisé.</w:t>
            </w:r>
          </w:p>
        </w:tc>
      </w:tr>
      <w:tr w:rsidR="00BF18CF" w14:paraId="3F60B27B" w14:textId="77777777" w:rsidTr="005675C3">
        <w:tc>
          <w:tcPr>
            <w:tcW w:w="1975" w:type="dxa"/>
          </w:tcPr>
          <w:p w14:paraId="4150DE50" w14:textId="77777777" w:rsidR="00BF18CF" w:rsidRDefault="00E51347">
            <w:r>
              <w:rPr>
                <w:i/>
              </w:rPr>
              <w:lastRenderedPageBreak/>
              <w:t>Références</w:t>
            </w:r>
          </w:p>
        </w:tc>
        <w:tc>
          <w:tcPr>
            <w:tcW w:w="8715" w:type="dxa"/>
          </w:tcPr>
          <w:p w14:paraId="566D6FA3" w14:textId="77777777" w:rsidR="00BF18CF" w:rsidRDefault="00E51347">
            <w:r>
              <w:t xml:space="preserve">Termium. « </w:t>
            </w:r>
            <w:proofErr w:type="gramStart"/>
            <w:r>
              <w:t>normalization</w:t>
            </w:r>
            <w:proofErr w:type="gramEnd"/>
            <w:r>
              <w:t xml:space="preserve"> ». Dans </w:t>
            </w:r>
            <w:r>
              <w:rPr>
                <w:i/>
              </w:rPr>
              <w:t>Termium Plus</w:t>
            </w:r>
            <w:r>
              <w:t>. Ottawa, CA-ON: Gouvernement du Canada, 8 octobre 2009.</w:t>
            </w:r>
            <w:hyperlink r:id="rId107" w:anchor="resultrecs">
              <w:r>
                <w:rPr>
                  <w:color w:val="4F81BD"/>
                </w:rPr>
                <w:t xml:space="preserve"> https://www.btb.termiumplus.gc.ca/tpv2alpha/alpha-fra.html?lang=fra&amp;i=1&amp;srchtxt=normalization&amp;index=alt&amp;codom2nd_wet=1#resultrecs</w:t>
              </w:r>
            </w:hyperlink>
            <w:r>
              <w:t>.</w:t>
            </w:r>
          </w:p>
        </w:tc>
      </w:tr>
      <w:tr w:rsidR="00BF18CF" w14:paraId="45C2D84A" w14:textId="77777777" w:rsidTr="005675C3">
        <w:tc>
          <w:tcPr>
            <w:tcW w:w="1975" w:type="dxa"/>
          </w:tcPr>
          <w:p w14:paraId="7BABF298" w14:textId="77777777" w:rsidR="00BF18CF" w:rsidRDefault="00BF18CF">
            <w:pPr>
              <w:pBdr>
                <w:top w:val="nil"/>
                <w:left w:val="nil"/>
                <w:bottom w:val="nil"/>
                <w:right w:val="nil"/>
                <w:between w:val="nil"/>
              </w:pBdr>
              <w:spacing w:before="36" w:after="36"/>
              <w:rPr>
                <w:color w:val="000000"/>
              </w:rPr>
            </w:pPr>
            <w:bookmarkStart w:id="29" w:name="bookmark=id.3j2qqm3" w:colFirst="0" w:colLast="0"/>
            <w:bookmarkEnd w:id="29"/>
          </w:p>
          <w:p w14:paraId="0E86B03A" w14:textId="77777777" w:rsidR="00BF18CF" w:rsidRDefault="00E51347">
            <w:r>
              <w:t>Héritage multiple</w:t>
            </w:r>
          </w:p>
        </w:tc>
        <w:tc>
          <w:tcPr>
            <w:tcW w:w="8715" w:type="dxa"/>
          </w:tcPr>
          <w:p w14:paraId="6023500C" w14:textId="77777777" w:rsidR="00BF18CF" w:rsidRDefault="00E51347">
            <w:r>
              <w:t>L’</w:t>
            </w:r>
            <w:hyperlink r:id="rId108" w:anchor="heritage">
              <w:r>
                <w:rPr>
                  <w:b/>
                  <w:color w:val="4F81BD"/>
                </w:rPr>
                <w:t>héritage</w:t>
              </w:r>
            </w:hyperlink>
            <w:r>
              <w:t xml:space="preserve"> multiple désigne le fait qu’une </w:t>
            </w:r>
            <w:hyperlink r:id="rId109" w:anchor="instance">
              <w:r>
                <w:rPr>
                  <w:color w:val="4F81BD"/>
                </w:rPr>
                <w:t>instance</w:t>
              </w:r>
            </w:hyperlink>
            <w:r>
              <w:t xml:space="preserve"> d’une </w:t>
            </w:r>
            <w:hyperlink r:id="rId110" w:anchor="classe">
              <w:r>
                <w:rPr>
                  <w:b/>
                  <w:color w:val="4F81BD"/>
                </w:rPr>
                <w:t>classe</w:t>
              </w:r>
            </w:hyperlink>
            <w:r>
              <w:t xml:space="preserve"> </w:t>
            </w:r>
            <w:r>
              <w:rPr>
                <w:rFonts w:ascii="Consolas" w:eastAsia="Consolas" w:hAnsi="Consolas" w:cs="Consolas"/>
                <w:sz w:val="22"/>
                <w:szCs w:val="22"/>
                <w:shd w:val="clear" w:color="auto" w:fill="EAEEF3"/>
              </w:rPr>
              <w:t>A</w:t>
            </w:r>
            <w:r>
              <w:t xml:space="preserve"> puisse relever directement de plus d’une </w:t>
            </w:r>
            <w:hyperlink r:id="rId111" w:anchor="super-classe">
              <w:r>
                <w:rPr>
                  <w:b/>
                  <w:color w:val="4F81BD"/>
                </w:rPr>
                <w:t>super-classe</w:t>
              </w:r>
            </w:hyperlink>
            <w:hyperlink r:id="rId112" w:anchor="super-classe">
              <w:r>
                <w:rPr>
                  <w:color w:val="4F81BD"/>
                </w:rPr>
                <w:t>.</w:t>
              </w:r>
            </w:hyperlink>
            <w:r>
              <w:t xml:space="preserve"> L’</w:t>
            </w:r>
            <w:hyperlink r:id="rId113" w:anchor="extension">
              <w:r>
                <w:rPr>
                  <w:b/>
                  <w:color w:val="4F81BD"/>
                </w:rPr>
                <w:t>extension</w:t>
              </w:r>
            </w:hyperlink>
            <w:r>
              <w:t xml:space="preserve"> d’une classe relevant directement de plusieurs super-classes est un sous-ensemble de l’intersection de toutes les extensions de ses super-classes. L’</w:t>
            </w:r>
            <w:hyperlink r:id="rId114" w:anchor="intension">
              <w:r>
                <w:rPr>
                  <w:b/>
                  <w:color w:val="4F81BD"/>
                </w:rPr>
                <w:t>intension</w:t>
              </w:r>
            </w:hyperlink>
            <w:r>
              <w:t xml:space="preserve"> d’une classe relevant directement de plusieurs super-classes étend les intensions de toutes ces super-classes (c.-à-d. que les traits [n.d.t. de cette classe tels qu’ils sont définis par sa </w:t>
            </w:r>
            <w:hyperlink r:id="rId115" w:anchor="note-dapplication">
              <w:r>
                <w:rPr>
                  <w:color w:val="4F81BD"/>
                </w:rPr>
                <w:t>note d’application</w:t>
              </w:r>
            </w:hyperlink>
            <w:r>
              <w:t xml:space="preserve">] sont plus restrictifs que ceux de n’importe laquelle de ses super-classes). La « hiérarchie des classes » résultant d’un héritage multiple prend la forme d’un graphe orienté et non pas d’une arborescence. Si la hiérarchie en question est représentée sous la forme d’une liste comportant des retraits, il y aura nécessairement de multiples occurrences d’une même classe à différents endroits de la liste. Par exemple, </w:t>
            </w:r>
            <w:r>
              <w:rPr>
                <w:rFonts w:ascii="Consolas" w:eastAsia="Consolas" w:hAnsi="Consolas" w:cs="Consolas"/>
                <w:sz w:val="22"/>
                <w:szCs w:val="22"/>
                <w:shd w:val="clear" w:color="auto" w:fill="EAEEF3"/>
              </w:rPr>
              <w:t>E21_Personne</w:t>
            </w:r>
            <w:r>
              <w:t xml:space="preserve"> est à la fois </w:t>
            </w:r>
            <w:r>
              <w:rPr>
                <w:rFonts w:ascii="Consolas" w:eastAsia="Consolas" w:hAnsi="Consolas" w:cs="Consolas"/>
                <w:sz w:val="22"/>
                <w:szCs w:val="22"/>
                <w:shd w:val="clear" w:color="auto" w:fill="EAEEF3"/>
              </w:rPr>
              <w:t>E39_Actant</w:t>
            </w:r>
            <w:r>
              <w:t xml:space="preserve"> et </w:t>
            </w:r>
            <w:r>
              <w:rPr>
                <w:rFonts w:ascii="Consolas" w:eastAsia="Consolas" w:hAnsi="Consolas" w:cs="Consolas"/>
                <w:sz w:val="22"/>
                <w:szCs w:val="22"/>
                <w:shd w:val="clear" w:color="auto" w:fill="EAEEF3"/>
              </w:rPr>
              <w:t>E20_Objet_biologique</w:t>
            </w:r>
            <w:r>
              <w:t>.</w:t>
            </w:r>
          </w:p>
        </w:tc>
      </w:tr>
      <w:tr w:rsidR="00BF18CF" w14:paraId="3DFE2EDB" w14:textId="77777777" w:rsidTr="005675C3">
        <w:tc>
          <w:tcPr>
            <w:tcW w:w="1975" w:type="dxa"/>
          </w:tcPr>
          <w:p w14:paraId="5EF0795B" w14:textId="1AE7F71F" w:rsidR="00BF18CF" w:rsidRDefault="00F27208">
            <w:r>
              <w:rPr>
                <w:i/>
              </w:rPr>
              <w:t>Note de traduction</w:t>
            </w:r>
          </w:p>
        </w:tc>
        <w:tc>
          <w:tcPr>
            <w:tcW w:w="8715" w:type="dxa"/>
          </w:tcPr>
          <w:p w14:paraId="4A6C762B" w14:textId="77777777" w:rsidR="00BF18CF" w:rsidRDefault="00BF18CF">
            <w:pPr>
              <w:pBdr>
                <w:top w:val="nil"/>
                <w:left w:val="nil"/>
                <w:bottom w:val="nil"/>
                <w:right w:val="nil"/>
                <w:between w:val="nil"/>
              </w:pBdr>
              <w:spacing w:before="36" w:after="36"/>
              <w:rPr>
                <w:color w:val="000000"/>
              </w:rPr>
            </w:pPr>
          </w:p>
        </w:tc>
      </w:tr>
      <w:tr w:rsidR="00BF18CF" w14:paraId="3E40C981" w14:textId="77777777" w:rsidTr="005675C3">
        <w:tc>
          <w:tcPr>
            <w:tcW w:w="1975" w:type="dxa"/>
          </w:tcPr>
          <w:p w14:paraId="5B585C3A" w14:textId="77777777" w:rsidR="00BF18CF" w:rsidRDefault="00E51347">
            <w:r>
              <w:rPr>
                <w:i/>
              </w:rPr>
              <w:t>Références</w:t>
            </w:r>
          </w:p>
        </w:tc>
        <w:tc>
          <w:tcPr>
            <w:tcW w:w="8715" w:type="dxa"/>
          </w:tcPr>
          <w:p w14:paraId="67D700A6" w14:textId="77777777" w:rsidR="00BF18CF" w:rsidRDefault="00E51347">
            <w:r>
              <w:t xml:space="preserve">Termium. « </w:t>
            </w:r>
            <w:proofErr w:type="gramStart"/>
            <w:r>
              <w:t>directed</w:t>
            </w:r>
            <w:proofErr w:type="gramEnd"/>
            <w:r>
              <w:t xml:space="preserve"> graph ». Dans </w:t>
            </w:r>
            <w:r>
              <w:rPr>
                <w:i/>
              </w:rPr>
              <w:t>Termium Plus</w:t>
            </w:r>
            <w:r>
              <w:t>. Ottawa, CA-ON: Gouvernement du Canada, 8 octobre 2009.</w:t>
            </w:r>
            <w:hyperlink r:id="rId116" w:anchor="resultrecs">
              <w:r>
                <w:rPr>
                  <w:color w:val="4F81BD"/>
                </w:rPr>
                <w:t xml:space="preserve"> https://www.btb.termiumplus.gc.ca/tpv2alpha/alpha-fra.html?lang=fra&amp;i=1&amp;srchtxt=directed+graph&amp;index=alt&amp;codom2nd_wet=1#resultrecs</w:t>
              </w:r>
            </w:hyperlink>
            <w:r>
              <w:t>.</w:t>
            </w:r>
          </w:p>
        </w:tc>
      </w:tr>
      <w:tr w:rsidR="00BF18CF" w14:paraId="1BFDA08D" w14:textId="77777777" w:rsidTr="005675C3">
        <w:tc>
          <w:tcPr>
            <w:tcW w:w="1975" w:type="dxa"/>
          </w:tcPr>
          <w:p w14:paraId="567F349A" w14:textId="77777777" w:rsidR="00BF18CF" w:rsidRDefault="00BF18CF">
            <w:pPr>
              <w:pBdr>
                <w:top w:val="nil"/>
                <w:left w:val="nil"/>
                <w:bottom w:val="nil"/>
                <w:right w:val="nil"/>
                <w:between w:val="nil"/>
              </w:pBdr>
              <w:spacing w:before="36" w:after="36"/>
              <w:rPr>
                <w:color w:val="000000"/>
              </w:rPr>
            </w:pPr>
            <w:bookmarkStart w:id="30" w:name="bookmark=id.1y810tw" w:colFirst="0" w:colLast="0"/>
            <w:bookmarkEnd w:id="30"/>
          </w:p>
          <w:p w14:paraId="6911D082" w14:textId="77777777" w:rsidR="00BF18CF" w:rsidRDefault="00E51347">
            <w:r>
              <w:t>Instanciation multiple</w:t>
            </w:r>
          </w:p>
        </w:tc>
        <w:tc>
          <w:tcPr>
            <w:tcW w:w="8715" w:type="dxa"/>
          </w:tcPr>
          <w:p w14:paraId="6B78FFE3" w14:textId="77777777" w:rsidR="00BF18CF" w:rsidRDefault="00E51347">
            <w:r>
              <w:t>L’</w:t>
            </w:r>
            <w:r>
              <w:rPr>
                <w:b/>
              </w:rPr>
              <w:t>instanciation</w:t>
            </w:r>
            <w:r>
              <w:t xml:space="preserve"> multiple désigne le fait qu’une </w:t>
            </w:r>
            <w:hyperlink r:id="rId117" w:anchor="instance">
              <w:r>
                <w:rPr>
                  <w:color w:val="4F81BD"/>
                </w:rPr>
                <w:t>instance</w:t>
              </w:r>
            </w:hyperlink>
            <w:r>
              <w:t xml:space="preserve"> d’une </w:t>
            </w:r>
            <w:hyperlink r:id="rId118" w:anchor="classe">
              <w:r>
                <w:rPr>
                  <w:color w:val="4F81BD"/>
                </w:rPr>
                <w:t>classe</w:t>
              </w:r>
            </w:hyperlink>
            <w:r>
              <w:t xml:space="preserve"> </w:t>
            </w:r>
            <w:r>
              <w:rPr>
                <w:rFonts w:ascii="Consolas" w:eastAsia="Consolas" w:hAnsi="Consolas" w:cs="Consolas"/>
                <w:sz w:val="22"/>
                <w:szCs w:val="22"/>
                <w:shd w:val="clear" w:color="auto" w:fill="EAEEF3"/>
              </w:rPr>
              <w:t>A</w:t>
            </w:r>
            <w:r>
              <w:t xml:space="preserve"> soit aussi et simultanément une instance de l’une ou plusieurs autres classes </w:t>
            </w:r>
            <w:r>
              <w:rPr>
                <w:rFonts w:ascii="Consolas" w:eastAsia="Consolas" w:hAnsi="Consolas" w:cs="Consolas"/>
                <w:sz w:val="22"/>
                <w:szCs w:val="22"/>
                <w:shd w:val="clear" w:color="auto" w:fill="EAEEF3"/>
              </w:rPr>
              <w:t>B1...n</w:t>
            </w:r>
            <w:r>
              <w:t xml:space="preserve">. Les </w:t>
            </w:r>
            <w:hyperlink r:id="rId119" w:anchor="propriete">
              <w:r>
                <w:rPr>
                  <w:color w:val="4F81BD"/>
                </w:rPr>
                <w:t>propriétés</w:t>
              </w:r>
            </w:hyperlink>
            <w:r>
              <w:t xml:space="preserve"> de toutes ces classes deviennent alors utilisables dans la description de cette instance. Par exemple, certaines destructions (</w:t>
            </w:r>
            <w:r>
              <w:rPr>
                <w:rFonts w:ascii="Consolas" w:eastAsia="Consolas" w:hAnsi="Consolas" w:cs="Consolas"/>
                <w:sz w:val="22"/>
                <w:szCs w:val="22"/>
                <w:shd w:val="clear" w:color="auto" w:fill="EAEEF3"/>
              </w:rPr>
              <w:t>E6_Destruction</w:t>
            </w:r>
            <w:r>
              <w:t>) sont aussi des activités (</w:t>
            </w:r>
            <w:r>
              <w:rPr>
                <w:rFonts w:ascii="Consolas" w:eastAsia="Consolas" w:hAnsi="Consolas" w:cs="Consolas"/>
                <w:sz w:val="22"/>
                <w:szCs w:val="22"/>
                <w:shd w:val="clear" w:color="auto" w:fill="EAEEF3"/>
              </w:rPr>
              <w:t>E7_Activité</w:t>
            </w:r>
            <w:r>
              <w:t>) comme c’est le cas de l’acte d’Érostrate [n.d.t. qui a incendié le temple d’Artémis à Éphèse], mais ce ne sont pas toutes les destructions (</w:t>
            </w:r>
            <w:r>
              <w:rPr>
                <w:rFonts w:ascii="Consolas" w:eastAsia="Consolas" w:hAnsi="Consolas" w:cs="Consolas"/>
                <w:sz w:val="22"/>
                <w:szCs w:val="22"/>
                <w:shd w:val="clear" w:color="auto" w:fill="EAEEF3"/>
              </w:rPr>
              <w:t>E6_Destruction</w:t>
            </w:r>
            <w:r>
              <w:t>) qui sont des activités (</w:t>
            </w:r>
            <w:r>
              <w:rPr>
                <w:rFonts w:ascii="Consolas" w:eastAsia="Consolas" w:hAnsi="Consolas" w:cs="Consolas"/>
                <w:sz w:val="22"/>
                <w:szCs w:val="22"/>
                <w:shd w:val="clear" w:color="auto" w:fill="EAEEF3"/>
              </w:rPr>
              <w:t>E7_Activité</w:t>
            </w:r>
            <w:r>
              <w:t>). L’</w:t>
            </w:r>
            <w:hyperlink r:id="rId120" w:anchor="heritage-multiple">
              <w:r>
                <w:rPr>
                  <w:color w:val="4F81BD"/>
                </w:rPr>
                <w:t>héritage multiple</w:t>
              </w:r>
            </w:hyperlink>
            <w:r>
              <w:t xml:space="preserve">, quant à lui, désigne le fait que toutes les instances d’une classe </w:t>
            </w:r>
            <w:r>
              <w:rPr>
                <w:rFonts w:ascii="Consolas" w:eastAsia="Consolas" w:hAnsi="Consolas" w:cs="Consolas"/>
                <w:sz w:val="22"/>
                <w:szCs w:val="22"/>
                <w:shd w:val="clear" w:color="auto" w:fill="EAEEF3"/>
              </w:rPr>
              <w:t>A</w:t>
            </w:r>
            <w:r>
              <w:t xml:space="preserve"> sont implicitement des instances de toutes les </w:t>
            </w:r>
            <w:hyperlink r:id="rId121" w:anchor="super-classe">
              <w:r>
                <w:rPr>
                  <w:color w:val="4F81BD"/>
                </w:rPr>
                <w:t>super-classes</w:t>
              </w:r>
            </w:hyperlink>
            <w:r>
              <w:t xml:space="preserve"> de </w:t>
            </w:r>
            <w:r>
              <w:rPr>
                <w:rFonts w:ascii="Consolas" w:eastAsia="Consolas" w:hAnsi="Consolas" w:cs="Consolas"/>
                <w:sz w:val="22"/>
                <w:szCs w:val="22"/>
                <w:shd w:val="clear" w:color="auto" w:fill="EAEEF3"/>
              </w:rPr>
              <w:t>A</w:t>
            </w:r>
            <w:r>
              <w:t xml:space="preserve"> (du fait de la définition de cette classe) alors que la combinaison des classes utilisée lors d’une instanciation multiple est caractéristique des instances mobilisées seulement. L’instanciation multiple ne peut mobiliser une combinaison de classes </w:t>
            </w:r>
            <w:hyperlink r:id="rId122" w:anchor="disjointe">
              <w:r>
                <w:rPr>
                  <w:color w:val="4F81BD"/>
                </w:rPr>
                <w:t>disjointes</w:t>
              </w:r>
            </w:hyperlink>
            <w:r>
              <w:t>.</w:t>
            </w:r>
          </w:p>
        </w:tc>
      </w:tr>
      <w:tr w:rsidR="00BF18CF" w14:paraId="09BE56D5" w14:textId="77777777" w:rsidTr="005675C3">
        <w:tc>
          <w:tcPr>
            <w:tcW w:w="1975" w:type="dxa"/>
          </w:tcPr>
          <w:p w14:paraId="6C050914" w14:textId="31F5DDCF" w:rsidR="00BF18CF" w:rsidRDefault="00F27208">
            <w:r>
              <w:rPr>
                <w:i/>
              </w:rPr>
              <w:t>Note de traduction</w:t>
            </w:r>
          </w:p>
        </w:tc>
        <w:tc>
          <w:tcPr>
            <w:tcW w:w="8715" w:type="dxa"/>
          </w:tcPr>
          <w:p w14:paraId="183A2586" w14:textId="77777777" w:rsidR="00BF18CF" w:rsidRDefault="00BF18CF">
            <w:pPr>
              <w:pBdr>
                <w:top w:val="nil"/>
                <w:left w:val="nil"/>
                <w:bottom w:val="nil"/>
                <w:right w:val="nil"/>
                <w:between w:val="nil"/>
              </w:pBdr>
              <w:spacing w:before="36" w:after="36"/>
              <w:rPr>
                <w:color w:val="000000"/>
              </w:rPr>
            </w:pPr>
          </w:p>
        </w:tc>
      </w:tr>
      <w:tr w:rsidR="00BF18CF" w14:paraId="398FA9AD" w14:textId="77777777" w:rsidTr="005675C3">
        <w:tc>
          <w:tcPr>
            <w:tcW w:w="1975" w:type="dxa"/>
          </w:tcPr>
          <w:p w14:paraId="6615D1FD" w14:textId="77777777" w:rsidR="00BF18CF" w:rsidRDefault="00E51347">
            <w:r>
              <w:rPr>
                <w:i/>
              </w:rPr>
              <w:t>Références</w:t>
            </w:r>
          </w:p>
        </w:tc>
        <w:tc>
          <w:tcPr>
            <w:tcW w:w="8715" w:type="dxa"/>
          </w:tcPr>
          <w:p w14:paraId="6E25C1FB" w14:textId="77777777" w:rsidR="00BF18CF" w:rsidRDefault="00BF18CF">
            <w:pPr>
              <w:pBdr>
                <w:top w:val="nil"/>
                <w:left w:val="nil"/>
                <w:bottom w:val="nil"/>
                <w:right w:val="nil"/>
                <w:between w:val="nil"/>
              </w:pBdr>
              <w:spacing w:before="36" w:after="36"/>
              <w:rPr>
                <w:color w:val="000000"/>
              </w:rPr>
            </w:pPr>
          </w:p>
        </w:tc>
      </w:tr>
      <w:tr w:rsidR="00BF18CF" w14:paraId="726DB33C" w14:textId="77777777" w:rsidTr="005675C3">
        <w:tc>
          <w:tcPr>
            <w:tcW w:w="1975" w:type="dxa"/>
          </w:tcPr>
          <w:p w14:paraId="576D367A" w14:textId="77777777" w:rsidR="00BF18CF" w:rsidRDefault="00BF18CF">
            <w:pPr>
              <w:pBdr>
                <w:top w:val="nil"/>
                <w:left w:val="nil"/>
                <w:bottom w:val="nil"/>
                <w:right w:val="nil"/>
                <w:between w:val="nil"/>
              </w:pBdr>
              <w:spacing w:before="36" w:after="36"/>
              <w:rPr>
                <w:color w:val="000000"/>
              </w:rPr>
            </w:pPr>
            <w:bookmarkStart w:id="31" w:name="bookmark=id.4i7ojhp" w:colFirst="0" w:colLast="0"/>
            <w:bookmarkEnd w:id="31"/>
          </w:p>
          <w:p w14:paraId="13CFBDFD" w14:textId="77777777" w:rsidR="00BF18CF" w:rsidRDefault="00E51347">
            <w:r>
              <w:t>Endurant, Perdurant</w:t>
            </w:r>
          </w:p>
        </w:tc>
        <w:tc>
          <w:tcPr>
            <w:tcW w:w="8715" w:type="dxa"/>
          </w:tcPr>
          <w:p w14:paraId="23B85A52" w14:textId="77777777" w:rsidR="00BF18CF" w:rsidRDefault="00E51347">
            <w:r>
              <w:t xml:space="preserve">« La différence entre des entités endurantes et perdurantes (des endurants et des perdurants) repose sur leur fonctionnement dans le temps : les endurants sont présents dans leur entièreté (c.-à-d. qu’ils comprennent toutes leurs parties constituantes) peu importe le moment auquel ils sont présents. Les perdurants, quant à eux, se construisent dans le temps par l’accumulation d’éléments, de telle sorte qu’ils ne sont toujours que partiellement présents dans la mesure où certains </w:t>
            </w:r>
            <w:r>
              <w:lastRenderedPageBreak/>
              <w:t xml:space="preserve">de leurs éléments temporellement déterminés (p. ex. leurs incarnations passées ou futures) peuvent ne pas être présents. Par exemple, une feuille de papier [n.d.t. dont le contenu fait l’objet d’une lecture] est pleinement présente, bien que certains éléments de la lecture ne le soient plus. Les philosophes considèrent les endurants comme des entités situées dans le temps, mais qui n’ont pas de parties </w:t>
            </w:r>
            <w:proofErr w:type="gramStart"/>
            <w:r>
              <w:t>temporelles,  car</w:t>
            </w:r>
            <w:proofErr w:type="gramEnd"/>
            <w:r>
              <w:t xml:space="preserve"> celles-ci évoluent dans le temps avec eux. Au contraire, les perdurants sont des entités qui s’incarnent dans le temps et qui peuvent avoir des parties temporelles, car celles-ci sont toutes fixées temporellement » (Gangemi et al. 2002, pp. 166-181).</w:t>
            </w:r>
          </w:p>
        </w:tc>
      </w:tr>
      <w:tr w:rsidR="00BF18CF" w14:paraId="2C93BB18" w14:textId="77777777" w:rsidTr="005675C3">
        <w:tc>
          <w:tcPr>
            <w:tcW w:w="1975" w:type="dxa"/>
          </w:tcPr>
          <w:p w14:paraId="7581EE85" w14:textId="1F4E8DAB" w:rsidR="00BF18CF" w:rsidRDefault="00F27208">
            <w:r>
              <w:rPr>
                <w:i/>
              </w:rPr>
              <w:lastRenderedPageBreak/>
              <w:t>Note de traduction</w:t>
            </w:r>
          </w:p>
        </w:tc>
        <w:tc>
          <w:tcPr>
            <w:tcW w:w="8715" w:type="dxa"/>
          </w:tcPr>
          <w:p w14:paraId="14A8498C" w14:textId="77777777" w:rsidR="00BF18CF" w:rsidRDefault="00E51347">
            <w:r>
              <w:t>Le terme « behaviour » a été traduit par « fonctionnement » plutôt que par « comportement » puisqu’il s’agit d’une chose et non pas d’une personne.</w:t>
            </w:r>
          </w:p>
          <w:p w14:paraId="171A42A0" w14:textId="77777777" w:rsidR="00BF18CF" w:rsidRDefault="00E51347">
            <w:r>
              <w:t>Le terme « phase » a été traduit par « incarnation » plutôt que par « phase » puisqu’il s’agit de l’état d’une chose à un moment précis de son évolution et non pas du changement lui-même.</w:t>
            </w:r>
          </w:p>
          <w:p w14:paraId="657AA188" w14:textId="77777777" w:rsidR="00BF18CF" w:rsidRDefault="00E51347">
            <w:r>
              <w:t>Le terme « flow » a été traduit par « évoluer » afin d’illustrer la nature fluctuante du concept.</w:t>
            </w:r>
          </w:p>
        </w:tc>
      </w:tr>
      <w:tr w:rsidR="00BF18CF" w14:paraId="6A41F489" w14:textId="77777777" w:rsidTr="005675C3">
        <w:tc>
          <w:tcPr>
            <w:tcW w:w="1975" w:type="dxa"/>
          </w:tcPr>
          <w:p w14:paraId="3A7D55A5" w14:textId="77777777" w:rsidR="00BF18CF" w:rsidRDefault="00E51347">
            <w:r>
              <w:rPr>
                <w:i/>
              </w:rPr>
              <w:t>Références</w:t>
            </w:r>
          </w:p>
        </w:tc>
        <w:tc>
          <w:tcPr>
            <w:tcW w:w="8715" w:type="dxa"/>
          </w:tcPr>
          <w:p w14:paraId="754B712E" w14:textId="77777777" w:rsidR="00BF18CF" w:rsidRDefault="00BF18CF">
            <w:pPr>
              <w:pBdr>
                <w:top w:val="nil"/>
                <w:left w:val="nil"/>
                <w:bottom w:val="nil"/>
                <w:right w:val="nil"/>
                <w:between w:val="nil"/>
              </w:pBdr>
              <w:spacing w:before="36" w:after="36"/>
              <w:rPr>
                <w:color w:val="000000"/>
              </w:rPr>
            </w:pPr>
          </w:p>
        </w:tc>
      </w:tr>
      <w:tr w:rsidR="00BF18CF" w14:paraId="50E66AE2" w14:textId="77777777" w:rsidTr="005675C3">
        <w:tc>
          <w:tcPr>
            <w:tcW w:w="1975" w:type="dxa"/>
          </w:tcPr>
          <w:p w14:paraId="7F4F0B4D" w14:textId="77777777" w:rsidR="00BF18CF" w:rsidRDefault="00BF18CF">
            <w:pPr>
              <w:pBdr>
                <w:top w:val="nil"/>
                <w:left w:val="nil"/>
                <w:bottom w:val="nil"/>
                <w:right w:val="nil"/>
                <w:between w:val="nil"/>
              </w:pBdr>
              <w:spacing w:before="36" w:after="36"/>
              <w:rPr>
                <w:color w:val="000000"/>
              </w:rPr>
            </w:pPr>
            <w:bookmarkStart w:id="32" w:name="bookmark=id.2xcytpi" w:colFirst="0" w:colLast="0"/>
            <w:bookmarkEnd w:id="32"/>
          </w:p>
          <w:p w14:paraId="16717985" w14:textId="77777777" w:rsidR="00BF18CF" w:rsidRDefault="00E51347">
            <w:r>
              <w:t>Raccourci</w:t>
            </w:r>
          </w:p>
        </w:tc>
        <w:tc>
          <w:tcPr>
            <w:tcW w:w="8715" w:type="dxa"/>
          </w:tcPr>
          <w:p w14:paraId="1A4F9033" w14:textId="77777777" w:rsidR="00BF18CF" w:rsidRDefault="00E51347">
            <w:r>
              <w:t xml:space="preserve">Un raccourci est une </w:t>
            </w:r>
            <w:hyperlink w:anchor="bookmark=id.39uu90j">
              <w:r>
                <w:rPr>
                  <w:b/>
                  <w:color w:val="4F81BD"/>
                </w:rPr>
                <w:t>propriété</w:t>
              </w:r>
            </w:hyperlink>
            <w:r>
              <w:t xml:space="preserve"> singulière formellement définie qui représente un chemin sémantique (obtenu par déduction ou par union) dans le CIDOC CRM. Les </w:t>
            </w:r>
            <w:hyperlink r:id="rId123" w:anchor="note-dapplication">
              <w:r>
                <w:rPr>
                  <w:b/>
                  <w:color w:val="4F81BD"/>
                </w:rPr>
                <w:t>notes d’application</w:t>
              </w:r>
            </w:hyperlink>
            <w:hyperlink r:id="rId124" w:anchor="note-dapplication">
              <w:r>
                <w:rPr>
                  <w:color w:val="4F81BD"/>
                </w:rPr>
                <w:t xml:space="preserve"> </w:t>
              </w:r>
            </w:hyperlink>
            <w:r>
              <w:t xml:space="preserve">de toutes les propriétés caractérisées de raccourcis décrivent verbalement les déductions ou unions concernées. Les raccourcis sont utilisés lorsque la pratique documentaire réfère uniquement au résultat déduit plutôt qu’au chemin sémantique complet. Par exemple, les institutions muséales ne recensent souvent que les dimensions d’un objet sans pour autant documenter le </w:t>
            </w:r>
            <w:r>
              <w:rPr>
                <w:rFonts w:ascii="Consolas" w:eastAsia="Consolas" w:hAnsi="Consolas" w:cs="Consolas"/>
                <w:sz w:val="22"/>
                <w:szCs w:val="22"/>
                <w:shd w:val="clear" w:color="auto" w:fill="EAEEF3"/>
              </w:rPr>
              <w:t>E16_Mesurage</w:t>
            </w:r>
            <w:r>
              <w:t xml:space="preserve"> qui les sous-tend. Le CIDOC CRM déclare explicitement des propriétés singulières à titre de raccourcis afin de permettre aux utilisateurs de décrire des cas dont ce ne sont pas toutes les connaissances associées au chemin sémantique complet qui sont recensées. Chaque raccourci du CIDOC CRM contient dans ses schémas les propriétés du chemin sémantique complet qui l’explique.</w:t>
            </w:r>
          </w:p>
          <w:p w14:paraId="795BC6CC" w14:textId="77777777" w:rsidR="00BF18CF" w:rsidRDefault="00E51347">
            <w:r>
              <w:t xml:space="preserve">[n.d.t. voir </w:t>
            </w:r>
            <w:hyperlink r:id="rId125" w:anchor="des-raccourcis">
              <w:r>
                <w:rPr>
                  <w:color w:val="4F81BD"/>
                </w:rPr>
                <w:t>Des raccourcis</w:t>
              </w:r>
            </w:hyperlink>
            <w:r>
              <w:t xml:space="preserve"> dans les </w:t>
            </w:r>
            <w:hyperlink r:id="rId126">
              <w:r>
                <w:rPr>
                  <w:color w:val="4F81BD"/>
                </w:rPr>
                <w:t>Principes de modélisation</w:t>
              </w:r>
            </w:hyperlink>
            <w:r>
              <w:t>].</w:t>
            </w:r>
          </w:p>
        </w:tc>
      </w:tr>
      <w:tr w:rsidR="00BF18CF" w14:paraId="3FE10D10" w14:textId="77777777" w:rsidTr="005675C3">
        <w:tc>
          <w:tcPr>
            <w:tcW w:w="1975" w:type="dxa"/>
          </w:tcPr>
          <w:p w14:paraId="329F33CC" w14:textId="6FFF060B" w:rsidR="00BF18CF" w:rsidRDefault="00F27208">
            <w:r>
              <w:rPr>
                <w:i/>
              </w:rPr>
              <w:t>Note de traduction</w:t>
            </w:r>
          </w:p>
        </w:tc>
        <w:tc>
          <w:tcPr>
            <w:tcW w:w="8715" w:type="dxa"/>
          </w:tcPr>
          <w:p w14:paraId="2092EED4" w14:textId="77777777" w:rsidR="00BF18CF" w:rsidRDefault="00E51347">
            <w:r>
              <w:t>Le terme « join of a data » a été traduit par « union » plutôt que par « fusion », car il s’agit de les réunir sans en annihiler l’une ou l’autre.</w:t>
            </w:r>
          </w:p>
        </w:tc>
      </w:tr>
      <w:tr w:rsidR="00BF18CF" w14:paraId="0B5E26CB" w14:textId="77777777" w:rsidTr="005675C3">
        <w:tc>
          <w:tcPr>
            <w:tcW w:w="1975" w:type="dxa"/>
          </w:tcPr>
          <w:p w14:paraId="37BEF4AE" w14:textId="77777777" w:rsidR="00BF18CF" w:rsidRDefault="00E51347">
            <w:r>
              <w:rPr>
                <w:i/>
              </w:rPr>
              <w:t>Références</w:t>
            </w:r>
          </w:p>
        </w:tc>
        <w:tc>
          <w:tcPr>
            <w:tcW w:w="8715" w:type="dxa"/>
          </w:tcPr>
          <w:p w14:paraId="33BD9732" w14:textId="77777777" w:rsidR="00BF18CF" w:rsidRDefault="00E51347">
            <w:r>
              <w:t xml:space="preserve">Termium. « </w:t>
            </w:r>
            <w:proofErr w:type="gramStart"/>
            <w:r>
              <w:t>join</w:t>
            </w:r>
            <w:proofErr w:type="gramEnd"/>
            <w:r>
              <w:t xml:space="preserve"> ». Dans </w:t>
            </w:r>
            <w:r>
              <w:rPr>
                <w:i/>
              </w:rPr>
              <w:t>Termium Plus</w:t>
            </w:r>
            <w:r>
              <w:t>. Ottawa, CA-ON: Gouvernement du Canada, 8 octobre 2009.</w:t>
            </w:r>
            <w:hyperlink r:id="rId127" w:anchor="resultrecs">
              <w:r>
                <w:rPr>
                  <w:color w:val="4F81BD"/>
                </w:rPr>
                <w:t xml:space="preserve"> https://www.btb.termiumplus.gc.ca/tpv2alpha/alpha-fra.html?lang=fra&amp;i=1&amp;srchtxt=join&amp;index=ent&amp;codom2nd_wet=1#resultrecs</w:t>
              </w:r>
            </w:hyperlink>
            <w:r>
              <w:t>.</w:t>
            </w:r>
          </w:p>
        </w:tc>
      </w:tr>
      <w:tr w:rsidR="00BF18CF" w14:paraId="63974F2E" w14:textId="77777777" w:rsidTr="005675C3">
        <w:tc>
          <w:tcPr>
            <w:tcW w:w="1975" w:type="dxa"/>
          </w:tcPr>
          <w:p w14:paraId="3602F41E" w14:textId="77777777" w:rsidR="00BF18CF" w:rsidRDefault="00BF18CF">
            <w:pPr>
              <w:pBdr>
                <w:top w:val="nil"/>
                <w:left w:val="nil"/>
                <w:bottom w:val="nil"/>
                <w:right w:val="nil"/>
                <w:between w:val="nil"/>
              </w:pBdr>
              <w:spacing w:before="36" w:after="36"/>
              <w:rPr>
                <w:color w:val="000000"/>
              </w:rPr>
            </w:pPr>
            <w:bookmarkStart w:id="33" w:name="bookmark=id.1ci93xb" w:colFirst="0" w:colLast="0"/>
            <w:bookmarkEnd w:id="33"/>
          </w:p>
          <w:p w14:paraId="2A5BE97C" w14:textId="77777777" w:rsidR="00BF18CF" w:rsidRDefault="00E51347">
            <w:r>
              <w:t>Raisonnement monotone</w:t>
            </w:r>
          </w:p>
        </w:tc>
        <w:tc>
          <w:tcPr>
            <w:tcW w:w="8715" w:type="dxa"/>
          </w:tcPr>
          <w:p w14:paraId="2318F192" w14:textId="77777777" w:rsidR="00BF18CF" w:rsidRDefault="00E51347">
            <w:r>
              <w:t>Le raisonnement monotone (un terme issu du domaine de la représentation des connaissances) stipule qu’une forme est monotone si une addition à l’ensemble de propositions qui forme la base de connaissances ne détermine jamais de décrément de l’ensemble des conclusions qui peuvent être dérivées (par des règles d’inférence) d’une base de connaissance. [</w:t>
            </w:r>
            <w:proofErr w:type="gramStart"/>
            <w:r>
              <w:t>n.d.t.</w:t>
            </w:r>
            <w:proofErr w:type="gramEnd"/>
            <w:r>
              <w:t xml:space="preserve"> Un décrément est une quantité constante prédéterminée dont on soustrait la valeur d’une variable.] En pratique, si des experts intègrent à un système d’information des énoncés corrects, ce système ne devrait considérer aucun de ces énoncés invalides lorsqu’un nouvel </w:t>
            </w:r>
            <w:r>
              <w:lastRenderedPageBreak/>
              <w:t>énoncé est ajouté. C’est ainsi qu’est conçu le CIDOC CRM, de sorte qu’il assure une fusion d’importants ensembles de connaissances sans conflits.</w:t>
            </w:r>
          </w:p>
          <w:p w14:paraId="0EF8385F" w14:textId="77777777" w:rsidR="00BF18CF" w:rsidRDefault="00E51347">
            <w:r>
              <w:t xml:space="preserve">[n.d.t. voir la section sur la </w:t>
            </w:r>
            <w:hyperlink r:id="rId128" w:anchor="de-la-monotonicite">
              <w:r>
                <w:rPr>
                  <w:color w:val="4F81BD"/>
                </w:rPr>
                <w:t>Monotonicité</w:t>
              </w:r>
            </w:hyperlink>
            <w:r>
              <w:t xml:space="preserve"> dans les </w:t>
            </w:r>
            <w:hyperlink r:id="rId129">
              <w:r>
                <w:rPr>
                  <w:color w:val="4F81BD"/>
                </w:rPr>
                <w:t>Principes de modélisation</w:t>
              </w:r>
            </w:hyperlink>
            <w:r>
              <w:t>].</w:t>
            </w:r>
          </w:p>
        </w:tc>
      </w:tr>
      <w:tr w:rsidR="00BF18CF" w14:paraId="66845F01" w14:textId="77777777" w:rsidTr="005675C3">
        <w:tc>
          <w:tcPr>
            <w:tcW w:w="1975" w:type="dxa"/>
          </w:tcPr>
          <w:p w14:paraId="3EC57A2B" w14:textId="4916E3EB" w:rsidR="00BF18CF" w:rsidRDefault="00F27208">
            <w:r>
              <w:rPr>
                <w:i/>
              </w:rPr>
              <w:lastRenderedPageBreak/>
              <w:t>Note de traduction</w:t>
            </w:r>
          </w:p>
        </w:tc>
        <w:tc>
          <w:tcPr>
            <w:tcW w:w="8715" w:type="dxa"/>
          </w:tcPr>
          <w:p w14:paraId="38EC9106" w14:textId="77777777" w:rsidR="00BF18CF" w:rsidRDefault="00E51347">
            <w:r>
              <w:t>Ajout d’une définition du décrément selon sa définition logicielle (quantité constante prédéterminée dont on soustrait la valeur d’une variable) plutôt que mathématique (diminution de la valeur d’une quantité variable).</w:t>
            </w:r>
          </w:p>
        </w:tc>
      </w:tr>
      <w:tr w:rsidR="00BF18CF" w14:paraId="7A4FAEED" w14:textId="77777777" w:rsidTr="005675C3">
        <w:tc>
          <w:tcPr>
            <w:tcW w:w="1975" w:type="dxa"/>
          </w:tcPr>
          <w:p w14:paraId="7F3DA2AB" w14:textId="77777777" w:rsidR="00BF18CF" w:rsidRDefault="00E51347">
            <w:r>
              <w:rPr>
                <w:i/>
              </w:rPr>
              <w:t>Références</w:t>
            </w:r>
          </w:p>
        </w:tc>
        <w:tc>
          <w:tcPr>
            <w:tcW w:w="8715" w:type="dxa"/>
          </w:tcPr>
          <w:p w14:paraId="7A967D3E" w14:textId="77777777" w:rsidR="00BF18CF" w:rsidRDefault="00E51347">
            <w:r>
              <w:t xml:space="preserve">Wikipédia. « Monotonie ». Dans </w:t>
            </w:r>
            <w:r>
              <w:rPr>
                <w:i/>
              </w:rPr>
              <w:t>Wikipédia</w:t>
            </w:r>
            <w:r>
              <w:t>. San Francisco, US-CA: Wikipédia, 19 février 2017.</w:t>
            </w:r>
            <w:hyperlink r:id="rId130">
              <w:r>
                <w:rPr>
                  <w:color w:val="4F81BD"/>
                </w:rPr>
                <w:t xml:space="preserve"> https://fr.wikipedia.org/w/index.php?title=Monotonie&amp;oldid=134697868</w:t>
              </w:r>
            </w:hyperlink>
            <w:r>
              <w:t>.</w:t>
            </w:r>
          </w:p>
        </w:tc>
      </w:tr>
      <w:tr w:rsidR="00BF18CF" w14:paraId="73EA5DD5" w14:textId="77777777" w:rsidTr="005675C3">
        <w:tc>
          <w:tcPr>
            <w:tcW w:w="1975" w:type="dxa"/>
          </w:tcPr>
          <w:p w14:paraId="5DF6C098" w14:textId="77777777" w:rsidR="00BF18CF" w:rsidRDefault="00BF18CF">
            <w:pPr>
              <w:pBdr>
                <w:top w:val="nil"/>
                <w:left w:val="nil"/>
                <w:bottom w:val="nil"/>
                <w:right w:val="nil"/>
                <w:between w:val="nil"/>
              </w:pBdr>
              <w:spacing w:before="36" w:after="36"/>
              <w:rPr>
                <w:color w:val="000000"/>
              </w:rPr>
            </w:pPr>
            <w:bookmarkStart w:id="34" w:name="bookmark=id.3whwml4" w:colFirst="0" w:colLast="0"/>
            <w:bookmarkEnd w:id="34"/>
          </w:p>
          <w:p w14:paraId="5E4762DB" w14:textId="77777777" w:rsidR="00BF18CF" w:rsidRDefault="00E51347">
            <w:r>
              <w:t>Disjoint•e</w:t>
            </w:r>
          </w:p>
        </w:tc>
        <w:tc>
          <w:tcPr>
            <w:tcW w:w="8715" w:type="dxa"/>
          </w:tcPr>
          <w:p w14:paraId="73A84B04" w14:textId="77777777" w:rsidR="00BF18CF" w:rsidRDefault="00E51347">
            <w:r>
              <w:t>Des classes sont disjointes si l’intersection de leurs extensions est un ensemble vide; en d’autres termes, il n’y a pas de possibilité qu’elles aient des instances communes.</w:t>
            </w:r>
          </w:p>
          <w:p w14:paraId="1A52C208" w14:textId="77777777" w:rsidR="00BF18CF" w:rsidRDefault="00E51347">
            <w:r>
              <w:t xml:space="preserve">[n.d.t. voir la section </w:t>
            </w:r>
            <w:hyperlink r:id="rId131" w:anchor="de-la-disjonction">
              <w:r>
                <w:rPr>
                  <w:color w:val="4F81BD"/>
                </w:rPr>
                <w:t>De la disjonction</w:t>
              </w:r>
            </w:hyperlink>
            <w:r>
              <w:t xml:space="preserve"> dans les </w:t>
            </w:r>
            <w:hyperlink r:id="rId132">
              <w:r>
                <w:rPr>
                  <w:color w:val="4F81BD"/>
                </w:rPr>
                <w:t>Principes de modélisation</w:t>
              </w:r>
            </w:hyperlink>
            <w:r>
              <w:t>].</w:t>
            </w:r>
          </w:p>
        </w:tc>
      </w:tr>
      <w:tr w:rsidR="00BF18CF" w14:paraId="4DB1069F" w14:textId="77777777" w:rsidTr="005675C3">
        <w:tc>
          <w:tcPr>
            <w:tcW w:w="1975" w:type="dxa"/>
          </w:tcPr>
          <w:p w14:paraId="011EA5AD" w14:textId="423EC132" w:rsidR="00BF18CF" w:rsidRDefault="00F27208">
            <w:r>
              <w:rPr>
                <w:i/>
              </w:rPr>
              <w:t>Note de traduction</w:t>
            </w:r>
          </w:p>
        </w:tc>
        <w:tc>
          <w:tcPr>
            <w:tcW w:w="8715" w:type="dxa"/>
          </w:tcPr>
          <w:p w14:paraId="0FC6838A" w14:textId="77777777" w:rsidR="00BF18CF" w:rsidRDefault="00BF18CF">
            <w:pPr>
              <w:pBdr>
                <w:top w:val="nil"/>
                <w:left w:val="nil"/>
                <w:bottom w:val="nil"/>
                <w:right w:val="nil"/>
                <w:between w:val="nil"/>
              </w:pBdr>
              <w:spacing w:before="36" w:after="36"/>
              <w:rPr>
                <w:color w:val="000000"/>
              </w:rPr>
            </w:pPr>
          </w:p>
        </w:tc>
      </w:tr>
      <w:tr w:rsidR="00BF18CF" w14:paraId="5D687AB7" w14:textId="77777777" w:rsidTr="005675C3">
        <w:tc>
          <w:tcPr>
            <w:tcW w:w="1975" w:type="dxa"/>
          </w:tcPr>
          <w:p w14:paraId="1B57DDAA" w14:textId="77777777" w:rsidR="00BF18CF" w:rsidRDefault="00E51347">
            <w:r>
              <w:rPr>
                <w:i/>
              </w:rPr>
              <w:t>Références</w:t>
            </w:r>
          </w:p>
        </w:tc>
        <w:tc>
          <w:tcPr>
            <w:tcW w:w="8715" w:type="dxa"/>
          </w:tcPr>
          <w:p w14:paraId="14DF811A" w14:textId="77777777" w:rsidR="00BF18CF" w:rsidRDefault="00BF18CF">
            <w:pPr>
              <w:pBdr>
                <w:top w:val="nil"/>
                <w:left w:val="nil"/>
                <w:bottom w:val="nil"/>
                <w:right w:val="nil"/>
                <w:between w:val="nil"/>
              </w:pBdr>
              <w:spacing w:before="36" w:after="36"/>
              <w:rPr>
                <w:color w:val="000000"/>
              </w:rPr>
            </w:pPr>
          </w:p>
        </w:tc>
      </w:tr>
      <w:tr w:rsidR="00BF18CF" w14:paraId="65C45FFC" w14:textId="77777777" w:rsidTr="005675C3">
        <w:tc>
          <w:tcPr>
            <w:tcW w:w="1975" w:type="dxa"/>
          </w:tcPr>
          <w:p w14:paraId="0C38A822" w14:textId="77777777" w:rsidR="00BF18CF" w:rsidRDefault="00BF18CF">
            <w:pPr>
              <w:pBdr>
                <w:top w:val="nil"/>
                <w:left w:val="nil"/>
                <w:bottom w:val="nil"/>
                <w:right w:val="nil"/>
                <w:between w:val="nil"/>
              </w:pBdr>
              <w:spacing w:before="36" w:after="36"/>
              <w:rPr>
                <w:color w:val="000000"/>
              </w:rPr>
            </w:pPr>
            <w:bookmarkStart w:id="35" w:name="bookmark=id.2bn6wsx" w:colFirst="0" w:colLast="0"/>
            <w:bookmarkEnd w:id="35"/>
          </w:p>
          <w:p w14:paraId="7496D82C" w14:textId="77777777" w:rsidR="00BF18CF" w:rsidRDefault="00E51347">
            <w:r>
              <w:t>Primitive</w:t>
            </w:r>
          </w:p>
        </w:tc>
        <w:tc>
          <w:tcPr>
            <w:tcW w:w="8715" w:type="dxa"/>
          </w:tcPr>
          <w:p w14:paraId="59EFF62F" w14:textId="77777777" w:rsidR="00BF18CF" w:rsidRDefault="00E51347">
            <w:r>
              <w:t xml:space="preserve">Une primitive (utilisée dans le cadre de la représentation de connaissances) est un concept qui est déclaré et dont la signification est acceptée, mais qui ne peut être définie par une déduction logique reposant sur d’autres concepts. Par exemple, « mère » est un concept qui peut être décrit comme « femme qui a un enfant”, de sorte qu’il n’est pas primitif [n.d.t. car il peut être déduit des concepts femme et enfant], alors que </w:t>
            </w:r>
            <w:r>
              <w:rPr>
                <w:rFonts w:ascii="Consolas" w:eastAsia="Consolas" w:hAnsi="Consolas" w:cs="Consolas"/>
                <w:sz w:val="22"/>
                <w:szCs w:val="22"/>
                <w:shd w:val="clear" w:color="auto" w:fill="EAEEF3"/>
              </w:rPr>
              <w:t>E5_Évènement</w:t>
            </w:r>
            <w:r>
              <w:t xml:space="preserve"> est un concept primitif (ainsi que la plupart des concepts du CIDOC CRM).</w:t>
            </w:r>
          </w:p>
        </w:tc>
      </w:tr>
      <w:tr w:rsidR="00BF18CF" w14:paraId="7A8180E7" w14:textId="77777777" w:rsidTr="005675C3">
        <w:tc>
          <w:tcPr>
            <w:tcW w:w="1975" w:type="dxa"/>
          </w:tcPr>
          <w:p w14:paraId="39A32A80" w14:textId="4E6B8BB7" w:rsidR="00BF18CF" w:rsidRDefault="00F27208">
            <w:r>
              <w:rPr>
                <w:i/>
              </w:rPr>
              <w:t>Note de traduction</w:t>
            </w:r>
          </w:p>
        </w:tc>
        <w:tc>
          <w:tcPr>
            <w:tcW w:w="8715" w:type="dxa"/>
          </w:tcPr>
          <w:p w14:paraId="43A2562E" w14:textId="77777777" w:rsidR="00BF18CF" w:rsidRDefault="00E51347">
            <w:r>
              <w:t>« Female » est un terme qui est couramment utilisé en anglais sans être considéré péjoratif. Cependant, en français, l’utilisation du terme « femelle » pour désigner des humains du sexe féminin est généralement considérée condescendante. Le terme « femme » a donc été utilisé.</w:t>
            </w:r>
          </w:p>
          <w:p w14:paraId="45D0E8D8" w14:textId="77777777" w:rsidR="00BF18CF" w:rsidRDefault="00E51347">
            <w:r>
              <w:t>Techniquement, « being with child » indique qu’une femme est enceinte et non pas qu’elle a eu un enfant. Cependant, le contexte semble indiquer que c’est cette dernière signification qu’avaient en tête les auteurs, de sorte que cette traduction a été privilégiée.</w:t>
            </w:r>
          </w:p>
        </w:tc>
      </w:tr>
      <w:tr w:rsidR="00BF18CF" w14:paraId="7677B681" w14:textId="77777777" w:rsidTr="005675C3">
        <w:tc>
          <w:tcPr>
            <w:tcW w:w="1975" w:type="dxa"/>
          </w:tcPr>
          <w:p w14:paraId="553B2756" w14:textId="77777777" w:rsidR="00BF18CF" w:rsidRDefault="00E51347">
            <w:r>
              <w:rPr>
                <w:i/>
              </w:rPr>
              <w:t>Références</w:t>
            </w:r>
          </w:p>
        </w:tc>
        <w:tc>
          <w:tcPr>
            <w:tcW w:w="8715" w:type="dxa"/>
          </w:tcPr>
          <w:p w14:paraId="5960ED2D" w14:textId="77777777" w:rsidR="00BF18CF" w:rsidRDefault="00E51347">
            <w:r>
              <w:t xml:space="preserve">Termium. « </w:t>
            </w:r>
            <w:proofErr w:type="gramStart"/>
            <w:r>
              <w:t>primitive</w:t>
            </w:r>
            <w:proofErr w:type="gramEnd"/>
            <w:r>
              <w:t xml:space="preserve"> ». Dans </w:t>
            </w:r>
            <w:r>
              <w:rPr>
                <w:i/>
              </w:rPr>
              <w:t>Termium Plus</w:t>
            </w:r>
            <w:r>
              <w:t>. Ottawa, CA-ON: Gouvernement du Canada, 8 octobre 2009.</w:t>
            </w:r>
            <w:hyperlink r:id="rId133" w:anchor="resultrecs">
              <w:r>
                <w:rPr>
                  <w:color w:val="4F81BD"/>
                </w:rPr>
                <w:t xml:space="preserve"> https://www.btb.termiumplus.gc.ca/tpv2alpha/alpha-fra.html?lang=fra&amp;i=1&amp;srchtxt=primitive&amp;index=ent&amp;codom2nd_wet=1#resultrecs</w:t>
              </w:r>
            </w:hyperlink>
            <w:r>
              <w:t>.</w:t>
            </w:r>
          </w:p>
        </w:tc>
      </w:tr>
      <w:tr w:rsidR="00BF18CF" w14:paraId="74CC7845" w14:textId="77777777" w:rsidTr="005675C3">
        <w:tc>
          <w:tcPr>
            <w:tcW w:w="1975" w:type="dxa"/>
          </w:tcPr>
          <w:p w14:paraId="69A166ED" w14:textId="77777777" w:rsidR="00BF18CF" w:rsidRDefault="00BF18CF">
            <w:pPr>
              <w:pBdr>
                <w:top w:val="nil"/>
                <w:left w:val="nil"/>
                <w:bottom w:val="nil"/>
                <w:right w:val="nil"/>
                <w:between w:val="nil"/>
              </w:pBdr>
              <w:spacing w:before="36" w:after="36"/>
              <w:rPr>
                <w:color w:val="000000"/>
              </w:rPr>
            </w:pPr>
            <w:bookmarkStart w:id="36" w:name="bookmark=id.qsh70q" w:colFirst="0" w:colLast="0"/>
            <w:bookmarkEnd w:id="36"/>
          </w:p>
          <w:p w14:paraId="6FF679DF" w14:textId="77777777" w:rsidR="00BF18CF" w:rsidRDefault="00E51347">
            <w:r>
              <w:t>Monde Ouvert</w:t>
            </w:r>
          </w:p>
        </w:tc>
        <w:tc>
          <w:tcPr>
            <w:tcW w:w="8715" w:type="dxa"/>
          </w:tcPr>
          <w:p w14:paraId="5DAE4FCE" w14:textId="77777777" w:rsidR="00BF18CF" w:rsidRDefault="00E51347">
            <w:r>
              <w:t xml:space="preserve">L’hypothèse du « monde ouvert » porte sur les systèmes de bases de connaissances et stipule que l’information qui y est stockée est incomplète en comparaison de l’univers discursif que cette information représente. Cette incomplétude peut être due à l’incapacité du responsable [n.d.t. de la base de connaissance] de fournir des informations complètes ou encore à des problèmes </w:t>
            </w:r>
            <w:r>
              <w:lastRenderedPageBreak/>
              <w:t xml:space="preserve">plus fondamentaux du domaine eu égard à la cognition, problèmes qui sont caractéristiques des systèmes d’information sur le patrimoine culturel. En effet, les enregistrements au sujet du passé sont nécessairement incomplets et certains éléments pourraient ne pas être facilement attribuables à une </w:t>
            </w:r>
            <w:r>
              <w:rPr>
                <w:b/>
              </w:rPr>
              <w:t>classe</w:t>
            </w:r>
            <w:r>
              <w:t xml:space="preserve"> préétablie.</w:t>
            </w:r>
          </w:p>
          <w:p w14:paraId="03386BFB" w14:textId="77777777" w:rsidR="00BF18CF" w:rsidRDefault="00E51347">
            <w:r>
              <w:t xml:space="preserve">Qui plus est, l’absence d’une </w:t>
            </w:r>
            <w:r>
              <w:rPr>
                <w:b/>
              </w:rPr>
              <w:t>propriété</w:t>
            </w:r>
            <w:r>
              <w:t xml:space="preserve"> pour un élément décrit dans un système [n.d.t. d’information] n’implique pas automatiquement que cet élément n’a pas la propriété en question. Par exemple, si un élément est décrit comme un </w:t>
            </w:r>
            <w:r>
              <w:rPr>
                <w:rFonts w:ascii="Consolas" w:eastAsia="Consolas" w:hAnsi="Consolas" w:cs="Consolas"/>
                <w:sz w:val="22"/>
                <w:szCs w:val="22"/>
                <w:shd w:val="clear" w:color="auto" w:fill="EAEEF3"/>
              </w:rPr>
              <w:t>E20_Objet_biologique</w:t>
            </w:r>
            <w:r>
              <w:t xml:space="preserve"> et qu’un autre est décrit comme un </w:t>
            </w:r>
            <w:r>
              <w:rPr>
                <w:rFonts w:ascii="Consolas" w:eastAsia="Consolas" w:hAnsi="Consolas" w:cs="Consolas"/>
                <w:sz w:val="22"/>
                <w:szCs w:val="22"/>
                <w:shd w:val="clear" w:color="auto" w:fill="EAEEF3"/>
              </w:rPr>
              <w:t>E19_Objet_matériel</w:t>
            </w:r>
            <w:r>
              <w:t xml:space="preserve">, rien n’indique que ce dernier ne soit pas lui aussi un </w:t>
            </w:r>
            <w:r>
              <w:rPr>
                <w:rFonts w:ascii="Consolas" w:eastAsia="Consolas" w:hAnsi="Consolas" w:cs="Consolas"/>
                <w:sz w:val="22"/>
                <w:szCs w:val="22"/>
                <w:shd w:val="clear" w:color="auto" w:fill="EAEEF3"/>
              </w:rPr>
              <w:t>E20_Objet_biologique</w:t>
            </w:r>
            <w:r>
              <w:t xml:space="preserve">. Ainsi, les </w:t>
            </w:r>
            <w:r>
              <w:rPr>
                <w:b/>
              </w:rPr>
              <w:t>compléments</w:t>
            </w:r>
            <w:r>
              <w:t xml:space="preserve"> d’une classe eu égard à une </w:t>
            </w:r>
            <w:r>
              <w:rPr>
                <w:b/>
              </w:rPr>
              <w:t>super-classe</w:t>
            </w:r>
            <w:r>
              <w:t xml:space="preserve"> ne peuvent être logiquement inférés depuis un système d’information mobilisant l’hypothèse du monde ouvert. Par exemple, il est impossible d’énumérer « tous les </w:t>
            </w:r>
            <w:r>
              <w:rPr>
                <w:rFonts w:ascii="Consolas" w:eastAsia="Consolas" w:hAnsi="Consolas" w:cs="Consolas"/>
                <w:sz w:val="22"/>
                <w:szCs w:val="22"/>
                <w:shd w:val="clear" w:color="auto" w:fill="EAEEF3"/>
              </w:rPr>
              <w:t>E19_Objet_matériel</w:t>
            </w:r>
            <w:r>
              <w:t xml:space="preserve"> d’un système qui ne sont pas des </w:t>
            </w:r>
            <w:r>
              <w:rPr>
                <w:rFonts w:ascii="Consolas" w:eastAsia="Consolas" w:hAnsi="Consolas" w:cs="Consolas"/>
                <w:sz w:val="22"/>
                <w:szCs w:val="22"/>
                <w:shd w:val="clear" w:color="auto" w:fill="EAEEF3"/>
              </w:rPr>
              <w:t>E20_Objet_biologique</w:t>
            </w:r>
            <w:r>
              <w:t xml:space="preserve"> dans le monde réel”, mais il est néanmoins possible d’énumérer « tous les éléments </w:t>
            </w:r>
            <w:r>
              <w:rPr>
                <w:rFonts w:ascii="Consolas" w:eastAsia="Consolas" w:hAnsi="Consolas" w:cs="Consolas"/>
                <w:sz w:val="22"/>
                <w:szCs w:val="22"/>
                <w:shd w:val="clear" w:color="auto" w:fill="EAEEF3"/>
              </w:rPr>
              <w:t>E19_Objet_matériel</w:t>
            </w:r>
            <w:r>
              <w:t xml:space="preserve"> connus de ce système qui ne sont pas des </w:t>
            </w:r>
            <w:r>
              <w:rPr>
                <w:rFonts w:ascii="Consolas" w:eastAsia="Consolas" w:hAnsi="Consolas" w:cs="Consolas"/>
                <w:sz w:val="22"/>
                <w:szCs w:val="22"/>
                <w:shd w:val="clear" w:color="auto" w:fill="EAEEF3"/>
              </w:rPr>
              <w:t>E20_Objet_biologique</w:t>
            </w:r>
            <w:r>
              <w:t xml:space="preserve"> connus de ce même système”.</w:t>
            </w:r>
          </w:p>
          <w:p w14:paraId="26931D01" w14:textId="77777777" w:rsidR="00BF18CF" w:rsidRDefault="00E51347">
            <w:r>
              <w:t xml:space="preserve">[n.d.t. voir la section sur la </w:t>
            </w:r>
            <w:hyperlink r:id="rId134" w:anchor="de-la-minimalite">
              <w:r>
                <w:rPr>
                  <w:color w:val="4F81BD"/>
                </w:rPr>
                <w:t>Minimalité</w:t>
              </w:r>
            </w:hyperlink>
            <w:r>
              <w:t xml:space="preserve"> dans les </w:t>
            </w:r>
            <w:hyperlink r:id="rId135">
              <w:r>
                <w:rPr>
                  <w:color w:val="4F81BD"/>
                </w:rPr>
                <w:t>Principes de modélisation</w:t>
              </w:r>
            </w:hyperlink>
            <w:r>
              <w:t>].</w:t>
            </w:r>
          </w:p>
        </w:tc>
      </w:tr>
      <w:tr w:rsidR="00BF18CF" w14:paraId="444D9818" w14:textId="77777777" w:rsidTr="005675C3">
        <w:tc>
          <w:tcPr>
            <w:tcW w:w="1975" w:type="dxa"/>
          </w:tcPr>
          <w:p w14:paraId="632ED5CB" w14:textId="1FC07161" w:rsidR="00BF18CF" w:rsidRDefault="00F27208">
            <w:r>
              <w:rPr>
                <w:i/>
              </w:rPr>
              <w:lastRenderedPageBreak/>
              <w:t>Note de traduction</w:t>
            </w:r>
          </w:p>
        </w:tc>
        <w:tc>
          <w:tcPr>
            <w:tcW w:w="8715" w:type="dxa"/>
          </w:tcPr>
          <w:p w14:paraId="16CCA7C9" w14:textId="77777777" w:rsidR="00BF18CF" w:rsidRDefault="00BF18CF">
            <w:pPr>
              <w:pBdr>
                <w:top w:val="nil"/>
                <w:left w:val="nil"/>
                <w:bottom w:val="nil"/>
                <w:right w:val="nil"/>
                <w:between w:val="nil"/>
              </w:pBdr>
              <w:spacing w:before="36" w:after="36"/>
              <w:rPr>
                <w:color w:val="000000"/>
              </w:rPr>
            </w:pPr>
          </w:p>
        </w:tc>
      </w:tr>
      <w:tr w:rsidR="00BF18CF" w14:paraId="2C3C1F10" w14:textId="77777777" w:rsidTr="005675C3">
        <w:tc>
          <w:tcPr>
            <w:tcW w:w="1975" w:type="dxa"/>
          </w:tcPr>
          <w:p w14:paraId="6FD0B4E5" w14:textId="77777777" w:rsidR="00BF18CF" w:rsidRDefault="00E51347">
            <w:r>
              <w:rPr>
                <w:i/>
              </w:rPr>
              <w:t>Références</w:t>
            </w:r>
          </w:p>
        </w:tc>
        <w:tc>
          <w:tcPr>
            <w:tcW w:w="8715" w:type="dxa"/>
          </w:tcPr>
          <w:p w14:paraId="34B8AFC6" w14:textId="77777777" w:rsidR="00BF18CF" w:rsidRDefault="00BF18CF">
            <w:pPr>
              <w:pBdr>
                <w:top w:val="nil"/>
                <w:left w:val="nil"/>
                <w:bottom w:val="nil"/>
                <w:right w:val="nil"/>
                <w:between w:val="nil"/>
              </w:pBdr>
              <w:spacing w:before="36" w:after="36"/>
              <w:rPr>
                <w:color w:val="000000"/>
              </w:rPr>
            </w:pPr>
          </w:p>
        </w:tc>
      </w:tr>
      <w:tr w:rsidR="00BF18CF" w14:paraId="0B427587" w14:textId="77777777" w:rsidTr="005675C3">
        <w:tc>
          <w:tcPr>
            <w:tcW w:w="1975" w:type="dxa"/>
          </w:tcPr>
          <w:p w14:paraId="19808461" w14:textId="77777777" w:rsidR="00BF18CF" w:rsidRDefault="00BF18CF">
            <w:pPr>
              <w:pBdr>
                <w:top w:val="nil"/>
                <w:left w:val="nil"/>
                <w:bottom w:val="nil"/>
                <w:right w:val="nil"/>
                <w:between w:val="nil"/>
              </w:pBdr>
              <w:spacing w:before="36" w:after="36"/>
              <w:rPr>
                <w:color w:val="000000"/>
              </w:rPr>
            </w:pPr>
            <w:bookmarkStart w:id="37" w:name="bookmark=id.3as4poj" w:colFirst="0" w:colLast="0"/>
            <w:bookmarkEnd w:id="37"/>
          </w:p>
          <w:p w14:paraId="72632F5D" w14:textId="77777777" w:rsidR="00BF18CF" w:rsidRDefault="00E51347">
            <w:r>
              <w:t>Complément</w:t>
            </w:r>
          </w:p>
        </w:tc>
        <w:tc>
          <w:tcPr>
            <w:tcW w:w="8715" w:type="dxa"/>
          </w:tcPr>
          <w:p w14:paraId="621CF07A" w14:textId="77777777" w:rsidR="00BF18CF" w:rsidRDefault="00E51347">
            <w:r>
              <w:t xml:space="preserve">Le complément d’une </w:t>
            </w:r>
            <w:hyperlink r:id="rId136" w:anchor="classe">
              <w:r>
                <w:rPr>
                  <w:color w:val="4F81BD"/>
                </w:rPr>
                <w:t>classe</w:t>
              </w:r>
            </w:hyperlink>
            <w:r>
              <w:t xml:space="preserve"> </w:t>
            </w:r>
            <w:r>
              <w:rPr>
                <w:rFonts w:ascii="Consolas" w:eastAsia="Consolas" w:hAnsi="Consolas" w:cs="Consolas"/>
                <w:sz w:val="22"/>
                <w:szCs w:val="22"/>
                <w:shd w:val="clear" w:color="auto" w:fill="EAEEF3"/>
              </w:rPr>
              <w:t>A</w:t>
            </w:r>
            <w:r>
              <w:t xml:space="preserve"> par rapport à une de ses </w:t>
            </w:r>
            <w:hyperlink r:id="rId137" w:anchor="super-classe">
              <w:r>
                <w:rPr>
                  <w:b/>
                  <w:color w:val="4F81BD"/>
                </w:rPr>
                <w:t>super-classes</w:t>
              </w:r>
            </w:hyperlink>
            <w:r>
              <w:t xml:space="preserve"> </w:t>
            </w:r>
            <w:r>
              <w:rPr>
                <w:rFonts w:ascii="Consolas" w:eastAsia="Consolas" w:hAnsi="Consolas" w:cs="Consolas"/>
                <w:sz w:val="22"/>
                <w:szCs w:val="22"/>
                <w:shd w:val="clear" w:color="auto" w:fill="EAEEF3"/>
              </w:rPr>
              <w:t>B</w:t>
            </w:r>
            <w:r>
              <w:t xml:space="preserve"> est l’ensemble de toutes les </w:t>
            </w:r>
            <w:hyperlink r:id="rId138" w:anchor="instance">
              <w:r>
                <w:rPr>
                  <w:b/>
                  <w:color w:val="4F81BD"/>
                </w:rPr>
                <w:t>instances</w:t>
              </w:r>
            </w:hyperlink>
            <w:r>
              <w:t xml:space="preserve"> de </w:t>
            </w:r>
            <w:r>
              <w:rPr>
                <w:rFonts w:ascii="Consolas" w:eastAsia="Consolas" w:hAnsi="Consolas" w:cs="Consolas"/>
                <w:sz w:val="22"/>
                <w:szCs w:val="22"/>
                <w:shd w:val="clear" w:color="auto" w:fill="EAEEF3"/>
              </w:rPr>
              <w:t>B</w:t>
            </w:r>
            <w:r>
              <w:t xml:space="preserve"> qui ne sont pas des instances de </w:t>
            </w:r>
            <w:r>
              <w:rPr>
                <w:rFonts w:ascii="Consolas" w:eastAsia="Consolas" w:hAnsi="Consolas" w:cs="Consolas"/>
                <w:sz w:val="22"/>
                <w:szCs w:val="22"/>
                <w:shd w:val="clear" w:color="auto" w:fill="EAEEF3"/>
              </w:rPr>
              <w:t>A</w:t>
            </w:r>
            <w:r>
              <w:t>. Formellement, il s’agit (en ce qui a trait à la théorie des ensembles) de l’</w:t>
            </w:r>
            <w:hyperlink r:id="rId139" w:anchor="extension">
              <w:r>
                <w:rPr>
                  <w:b/>
                  <w:color w:val="4F81BD"/>
                </w:rPr>
                <w:t>extension</w:t>
              </w:r>
            </w:hyperlink>
            <w:r>
              <w:t xml:space="preserve"> de </w:t>
            </w:r>
            <w:r>
              <w:rPr>
                <w:rFonts w:ascii="Consolas" w:eastAsia="Consolas" w:hAnsi="Consolas" w:cs="Consolas"/>
                <w:sz w:val="22"/>
                <w:szCs w:val="22"/>
                <w:shd w:val="clear" w:color="auto" w:fill="EAEEF3"/>
              </w:rPr>
              <w:t>B</w:t>
            </w:r>
            <w:r>
              <w:t xml:space="preserve"> moins l’extension de </w:t>
            </w:r>
            <w:r>
              <w:rPr>
                <w:rFonts w:ascii="Consolas" w:eastAsia="Consolas" w:hAnsi="Consolas" w:cs="Consolas"/>
                <w:sz w:val="22"/>
                <w:szCs w:val="22"/>
                <w:shd w:val="clear" w:color="auto" w:fill="EAEEF3"/>
              </w:rPr>
              <w:t>A</w:t>
            </w:r>
            <w:r>
              <w:t>. Les extensions compatibles de CIDOC CRM ne devraient déclarer aucune classe dont l’</w:t>
            </w:r>
            <w:hyperlink r:id="rId140" w:anchor="intension">
              <w:r>
                <w:rPr>
                  <w:b/>
                  <w:color w:val="4F81BD"/>
                </w:rPr>
                <w:t>intension</w:t>
              </w:r>
            </w:hyperlink>
            <w:r>
              <w:t xml:space="preserve"> est le complément de l’une ou de plusieurs classes. Ceci contreviendrait aux principes du </w:t>
            </w:r>
            <w:hyperlink r:id="rId141" w:anchor="monde-ouvert">
              <w:r>
                <w:rPr>
                  <w:b/>
                  <w:color w:val="4F81BD"/>
                </w:rPr>
                <w:t>Monde Ouvert</w:t>
              </w:r>
            </w:hyperlink>
            <w:r>
              <w:t xml:space="preserve"> [n.d.t. selon lesquels], par exemple, pour tous les genres humains possibles, le masculin ne devrait pas être déclaré complémentaire du féminin et vice-versa.</w:t>
            </w:r>
          </w:p>
        </w:tc>
      </w:tr>
      <w:tr w:rsidR="00BF18CF" w14:paraId="1727BE1C" w14:textId="77777777" w:rsidTr="005675C3">
        <w:tc>
          <w:tcPr>
            <w:tcW w:w="1975" w:type="dxa"/>
          </w:tcPr>
          <w:p w14:paraId="0FA38387" w14:textId="4FE23E7F" w:rsidR="00BF18CF" w:rsidRDefault="00F27208">
            <w:r>
              <w:rPr>
                <w:i/>
              </w:rPr>
              <w:t>Note de traduction</w:t>
            </w:r>
          </w:p>
        </w:tc>
        <w:tc>
          <w:tcPr>
            <w:tcW w:w="8715" w:type="dxa"/>
          </w:tcPr>
          <w:p w14:paraId="0EF99076" w14:textId="77777777" w:rsidR="00BF18CF" w:rsidRDefault="00E51347">
            <w:r>
              <w:t>La dernière phrase du texte original semble avoir pour objectif d’inclure toutes les personnes, mais elle est formulée de manière quelque peu cavalière et ne s’aligne pas avec l’approche des autres exemples mentionnés de sorte qu’elle pourrait être considérée marginalisante et peu inclusive. Puisqu’elle n’apporte pas d’information supplémentaire, elle a été retirée du texte traduit.</w:t>
            </w:r>
          </w:p>
        </w:tc>
      </w:tr>
      <w:tr w:rsidR="00BF18CF" w14:paraId="719DA727" w14:textId="77777777" w:rsidTr="005675C3">
        <w:tc>
          <w:tcPr>
            <w:tcW w:w="1975" w:type="dxa"/>
          </w:tcPr>
          <w:p w14:paraId="6AB4F756" w14:textId="77777777" w:rsidR="00BF18CF" w:rsidRDefault="00E51347">
            <w:r>
              <w:rPr>
                <w:i/>
              </w:rPr>
              <w:t>Références</w:t>
            </w:r>
          </w:p>
        </w:tc>
        <w:tc>
          <w:tcPr>
            <w:tcW w:w="8715" w:type="dxa"/>
          </w:tcPr>
          <w:p w14:paraId="3B817CCD" w14:textId="77777777" w:rsidR="00BF18CF" w:rsidRDefault="00BF18CF">
            <w:pPr>
              <w:pBdr>
                <w:top w:val="nil"/>
                <w:left w:val="nil"/>
                <w:bottom w:val="nil"/>
                <w:right w:val="nil"/>
                <w:between w:val="nil"/>
              </w:pBdr>
              <w:spacing w:before="36" w:after="36"/>
              <w:rPr>
                <w:color w:val="000000"/>
              </w:rPr>
            </w:pPr>
          </w:p>
        </w:tc>
      </w:tr>
      <w:tr w:rsidR="00BF18CF" w14:paraId="4CD8038D" w14:textId="77777777" w:rsidTr="005675C3">
        <w:tc>
          <w:tcPr>
            <w:tcW w:w="1975" w:type="dxa"/>
          </w:tcPr>
          <w:p w14:paraId="48226579" w14:textId="77777777" w:rsidR="00BF18CF" w:rsidRDefault="00BF18CF">
            <w:pPr>
              <w:pBdr>
                <w:top w:val="nil"/>
                <w:left w:val="nil"/>
                <w:bottom w:val="nil"/>
                <w:right w:val="nil"/>
                <w:between w:val="nil"/>
              </w:pBdr>
              <w:spacing w:before="36" w:after="36"/>
              <w:rPr>
                <w:color w:val="000000"/>
              </w:rPr>
            </w:pPr>
            <w:bookmarkStart w:id="38" w:name="bookmark=id.1pxezwc" w:colFirst="0" w:colLast="0"/>
            <w:bookmarkEnd w:id="38"/>
          </w:p>
          <w:p w14:paraId="6A9BB8C8" w14:textId="77777777" w:rsidR="00BF18CF" w:rsidRDefault="00E51347">
            <w:r>
              <w:t>Inclusion des requêtes</w:t>
            </w:r>
          </w:p>
        </w:tc>
        <w:tc>
          <w:tcPr>
            <w:tcW w:w="8715" w:type="dxa"/>
          </w:tcPr>
          <w:p w14:paraId="730CCB16" w14:textId="77777777" w:rsidR="00BF18CF" w:rsidRDefault="00E51347">
            <w:r>
              <w:t xml:space="preserve">L’inclusion des requêtes [n.d.t relève de la théorie des bases de données et statue] que pour une requête </w:t>
            </w:r>
            <w:r>
              <w:rPr>
                <w:rFonts w:ascii="Consolas" w:eastAsia="Consolas" w:hAnsi="Consolas" w:cs="Consolas"/>
                <w:sz w:val="22"/>
                <w:szCs w:val="22"/>
                <w:shd w:val="clear" w:color="auto" w:fill="EAEEF3"/>
              </w:rPr>
              <w:t>X</w:t>
            </w:r>
            <w:r>
              <w:t xml:space="preserve"> qui contient une requête </w:t>
            </w:r>
            <w:r>
              <w:rPr>
                <w:rFonts w:ascii="Consolas" w:eastAsia="Consolas" w:hAnsi="Consolas" w:cs="Consolas"/>
                <w:sz w:val="22"/>
                <w:szCs w:val="22"/>
                <w:shd w:val="clear" w:color="auto" w:fill="EAEEF3"/>
              </w:rPr>
              <w:t>Y</w:t>
            </w:r>
            <w:r>
              <w:t xml:space="preserve">, pour chaque population possible de la base de données l’ensemble de résultats de la requête </w:t>
            </w:r>
            <w:r>
              <w:rPr>
                <w:rFonts w:ascii="Consolas" w:eastAsia="Consolas" w:hAnsi="Consolas" w:cs="Consolas"/>
                <w:sz w:val="22"/>
                <w:szCs w:val="22"/>
                <w:shd w:val="clear" w:color="auto" w:fill="EAEEF3"/>
              </w:rPr>
              <w:t>X</w:t>
            </w:r>
            <w:r>
              <w:t xml:space="preserve"> contient aussi l’ensemble de résultats de la requête </w:t>
            </w:r>
            <w:r>
              <w:rPr>
                <w:rFonts w:ascii="Consolas" w:eastAsia="Consolas" w:hAnsi="Consolas" w:cs="Consolas"/>
                <w:sz w:val="22"/>
                <w:szCs w:val="22"/>
                <w:shd w:val="clear" w:color="auto" w:fill="EAEEF3"/>
              </w:rPr>
              <w:t>Y</w:t>
            </w:r>
            <w:r>
              <w:t xml:space="preserve">. [n.d.t. Dans le cadre de CIDOC CRM, ceci implique que] si les requêtes </w:t>
            </w:r>
            <w:r>
              <w:rPr>
                <w:rFonts w:ascii="Consolas" w:eastAsia="Consolas" w:hAnsi="Consolas" w:cs="Consolas"/>
                <w:sz w:val="22"/>
                <w:szCs w:val="22"/>
                <w:shd w:val="clear" w:color="auto" w:fill="EAEEF3"/>
              </w:rPr>
              <w:t>X</w:t>
            </w:r>
            <w:r>
              <w:t xml:space="preserve"> et </w:t>
            </w:r>
            <w:r>
              <w:rPr>
                <w:rFonts w:ascii="Consolas" w:eastAsia="Consolas" w:hAnsi="Consolas" w:cs="Consolas"/>
                <w:sz w:val="22"/>
                <w:szCs w:val="22"/>
                <w:shd w:val="clear" w:color="auto" w:fill="EAEEF3"/>
              </w:rPr>
              <w:t>Y</w:t>
            </w:r>
            <w:r>
              <w:t xml:space="preserve"> étaient des </w:t>
            </w:r>
            <w:hyperlink r:id="rId142" w:anchor="classe">
              <w:r>
                <w:rPr>
                  <w:color w:val="4F81BD"/>
                </w:rPr>
                <w:t>classes</w:t>
              </w:r>
            </w:hyperlink>
            <w:r>
              <w:t xml:space="preserve">, alors </w:t>
            </w:r>
            <w:r>
              <w:rPr>
                <w:rFonts w:ascii="Consolas" w:eastAsia="Consolas" w:hAnsi="Consolas" w:cs="Consolas"/>
                <w:sz w:val="22"/>
                <w:szCs w:val="22"/>
                <w:shd w:val="clear" w:color="auto" w:fill="EAEEF3"/>
              </w:rPr>
              <w:t>X</w:t>
            </w:r>
            <w:r>
              <w:t xml:space="preserve"> serait </w:t>
            </w:r>
            <w:hyperlink r:id="rId143" w:anchor="super-classe">
              <w:r>
                <w:rPr>
                  <w:b/>
                  <w:color w:val="4F81BD"/>
                </w:rPr>
                <w:t>super-classe</w:t>
              </w:r>
            </w:hyperlink>
            <w:r>
              <w:t xml:space="preserve"> de </w:t>
            </w:r>
            <w:r>
              <w:rPr>
                <w:rFonts w:ascii="Consolas" w:eastAsia="Consolas" w:hAnsi="Consolas" w:cs="Consolas"/>
                <w:sz w:val="22"/>
                <w:szCs w:val="22"/>
                <w:shd w:val="clear" w:color="auto" w:fill="EAEEF3"/>
              </w:rPr>
              <w:t>Y</w:t>
            </w:r>
            <w:r>
              <w:t>.</w:t>
            </w:r>
          </w:p>
        </w:tc>
      </w:tr>
      <w:tr w:rsidR="00BF18CF" w14:paraId="4F38F8C9" w14:textId="77777777" w:rsidTr="005675C3">
        <w:tc>
          <w:tcPr>
            <w:tcW w:w="1975" w:type="dxa"/>
          </w:tcPr>
          <w:p w14:paraId="160D1C1B" w14:textId="3447EB7A" w:rsidR="00BF18CF" w:rsidRDefault="00F27208">
            <w:r>
              <w:rPr>
                <w:i/>
              </w:rPr>
              <w:t>Note de traduction</w:t>
            </w:r>
          </w:p>
        </w:tc>
        <w:tc>
          <w:tcPr>
            <w:tcW w:w="8715" w:type="dxa"/>
          </w:tcPr>
          <w:p w14:paraId="0FFBF028" w14:textId="77777777" w:rsidR="00BF18CF" w:rsidRDefault="00E51347">
            <w:r>
              <w:t xml:space="preserve">Le terme « query containment » a été traduit par « inclusion des requêtes ». Le « containment » est généralement traduit dans le domaine de l’algèbre par « inclusion » et dans le domaine logiciel par « contenance ». Puisqu’il s’agit d’un </w:t>
            </w:r>
            <w:r>
              <w:lastRenderedPageBreak/>
              <w:t>problème fondamentalement théorique et algorithmique, il est apparu préférable de se rapprocher de l’usage mathématique.</w:t>
            </w:r>
          </w:p>
        </w:tc>
      </w:tr>
      <w:tr w:rsidR="00BF18CF" w14:paraId="00F36082" w14:textId="77777777" w:rsidTr="005675C3">
        <w:tc>
          <w:tcPr>
            <w:tcW w:w="1975" w:type="dxa"/>
          </w:tcPr>
          <w:p w14:paraId="57AD1115" w14:textId="77777777" w:rsidR="00BF18CF" w:rsidRDefault="00E51347">
            <w:r>
              <w:rPr>
                <w:i/>
              </w:rPr>
              <w:lastRenderedPageBreak/>
              <w:t>Références</w:t>
            </w:r>
          </w:p>
        </w:tc>
        <w:tc>
          <w:tcPr>
            <w:tcW w:w="8715" w:type="dxa"/>
          </w:tcPr>
          <w:p w14:paraId="25753935" w14:textId="77777777" w:rsidR="00BF18CF" w:rsidRDefault="00E51347">
            <w:r>
              <w:t>Groz, Benoît. « Inclusion et équivalence de requêtes conjonctives ». Rapport de stage, Institut national de recherche en sciences et technologies du numérique, 2008.</w:t>
            </w:r>
            <w:hyperlink r:id="rId144">
              <w:r>
                <w:rPr>
                  <w:color w:val="4F81BD"/>
                </w:rPr>
                <w:t xml:space="preserve"> https://www.lri.fr/~groz/documents/rapport.pdf</w:t>
              </w:r>
            </w:hyperlink>
            <w:r>
              <w:t>.</w:t>
            </w:r>
          </w:p>
          <w:p w14:paraId="1D207348" w14:textId="77777777" w:rsidR="00BF18CF" w:rsidRDefault="00E51347">
            <w:r>
              <w:t xml:space="preserve">Termium. « </w:t>
            </w:r>
            <w:proofErr w:type="gramStart"/>
            <w:r>
              <w:t>containment</w:t>
            </w:r>
            <w:proofErr w:type="gramEnd"/>
            <w:r>
              <w:t xml:space="preserve"> ». Dans </w:t>
            </w:r>
            <w:r>
              <w:rPr>
                <w:i/>
              </w:rPr>
              <w:t>Termium Plus</w:t>
            </w:r>
            <w:r>
              <w:t>. Ottawa, CA-ON: Gouvernement du Canada, 8 octobre 2009.</w:t>
            </w:r>
            <w:hyperlink r:id="rId145" w:anchor="resultrecs">
              <w:r>
                <w:rPr>
                  <w:color w:val="4F81BD"/>
                </w:rPr>
                <w:t xml:space="preserve"> https://www.btb.termiumplus.gc.ca/tpv2alpha/alpha-fra.html?lang=fra&amp;i=1&amp;srchtxt=containment&amp;index=ent&amp;codom2nd_wet=1#resultrecs</w:t>
              </w:r>
            </w:hyperlink>
            <w:r>
              <w:t>.</w:t>
            </w:r>
          </w:p>
        </w:tc>
      </w:tr>
      <w:tr w:rsidR="00BF18CF" w14:paraId="1269A63F" w14:textId="77777777" w:rsidTr="005675C3">
        <w:tc>
          <w:tcPr>
            <w:tcW w:w="1975" w:type="dxa"/>
          </w:tcPr>
          <w:p w14:paraId="13CA1C6B" w14:textId="77777777" w:rsidR="00BF18CF" w:rsidRDefault="00BF18CF">
            <w:pPr>
              <w:pBdr>
                <w:top w:val="nil"/>
                <w:left w:val="nil"/>
                <w:bottom w:val="nil"/>
                <w:right w:val="nil"/>
                <w:between w:val="nil"/>
              </w:pBdr>
              <w:spacing w:before="36" w:after="36"/>
              <w:rPr>
                <w:color w:val="000000"/>
              </w:rPr>
            </w:pPr>
            <w:bookmarkStart w:id="39" w:name="bookmark=id.49x2ik5" w:colFirst="0" w:colLast="0"/>
            <w:bookmarkEnd w:id="39"/>
          </w:p>
          <w:p w14:paraId="4BB0E966" w14:textId="77777777" w:rsidR="00BF18CF" w:rsidRDefault="00E51347">
            <w:r>
              <w:t>Interopérabilité [syntactique]</w:t>
            </w:r>
          </w:p>
        </w:tc>
        <w:tc>
          <w:tcPr>
            <w:tcW w:w="8715" w:type="dxa"/>
          </w:tcPr>
          <w:p w14:paraId="5CF6B9B1" w14:textId="77777777" w:rsidR="00BF18CF" w:rsidRDefault="00E51347">
            <w:proofErr w:type="gramStart"/>
            <w:r>
              <w:t>L’interopérabilité  réfère</w:t>
            </w:r>
            <w:proofErr w:type="gramEnd"/>
            <w:r>
              <w:t xml:space="preserve"> à la capacité de différents systèmes d’information de communiquer de l’information [n.d.t. entre eux], ce qui implique :</w:t>
            </w:r>
          </w:p>
          <w:p w14:paraId="003EB656" w14:textId="77777777" w:rsidR="00BF18CF" w:rsidRDefault="00E51347">
            <w:pPr>
              <w:numPr>
                <w:ilvl w:val="0"/>
                <w:numId w:val="12"/>
              </w:numPr>
            </w:pPr>
            <w:proofErr w:type="gramStart"/>
            <w:r>
              <w:t>que</w:t>
            </w:r>
            <w:proofErr w:type="gramEnd"/>
            <w:r>
              <w:t xml:space="preserve"> deux systèmes peuvent échanger de l’information et/ou</w:t>
            </w:r>
          </w:p>
          <w:p w14:paraId="00E5BE76" w14:textId="77777777" w:rsidR="00BF18CF" w:rsidRDefault="00E51347">
            <w:pPr>
              <w:numPr>
                <w:ilvl w:val="0"/>
                <w:numId w:val="12"/>
              </w:numPr>
            </w:pPr>
            <w:proofErr w:type="gramStart"/>
            <w:r>
              <w:t>qu’il</w:t>
            </w:r>
            <w:proofErr w:type="gramEnd"/>
            <w:r>
              <w:t xml:space="preserve"> est possible d’accéder à plusieurs systèmes grâce à une seule méthode.</w:t>
            </w:r>
          </w:p>
          <w:p w14:paraId="08C877B5" w14:textId="77777777" w:rsidR="00BF18CF" w:rsidRDefault="00E51347">
            <w:r>
              <w:t>Généralement, l’interopérabilité syntactique se distingue de l’</w:t>
            </w:r>
            <w:hyperlink r:id="rId146" w:anchor="interoperabilite-semantique">
              <w:r>
                <w:rPr>
                  <w:b/>
                  <w:color w:val="4F81BD"/>
                </w:rPr>
                <w:t>interopérabilité sémantique</w:t>
              </w:r>
            </w:hyperlink>
            <w:r>
              <w:t xml:space="preserve"> par le fait que l’information encodée et les protocoles d’accès syntactiques sont compatibles de telle sorte que l’information peut être traitée sans erreur. </w:t>
            </w:r>
            <w:proofErr w:type="gramStart"/>
            <w:r>
              <w:t>Par contre</w:t>
            </w:r>
            <w:proofErr w:type="gramEnd"/>
            <w:r>
              <w:t xml:space="preserve">, ceci ne garantit pas que chaque système traite les données en adéquation avec la signification initiale des données. Par exemple, un système peut avoir une table « Acteur » alors qu’un autre peut avoir une table « Agent » [n.d.t. qui traitent toutes deux le même type d’information]. L’interopérabilité syntactique ne permet d’extraire les données que de manière distincte </w:t>
            </w:r>
            <w:proofErr w:type="gramStart"/>
            <w:r>
              <w:t>malgré</w:t>
            </w:r>
            <w:proofErr w:type="gramEnd"/>
            <w:r>
              <w:t xml:space="preserve"> que leur sens soit le même. La prise en compte de la signification des données lors de leur traitement nécessite en effet l’usage de l’interopérabilité sémantique en plus de l’interopérabilité syntactique. Le CIDOC CRM se repose sur cette dernière et n’a pour objectif que d’ajouter l’</w:t>
            </w:r>
            <w:r>
              <w:rPr>
                <w:i/>
              </w:rPr>
              <w:t>interopérabilité sémantique</w:t>
            </w:r>
            <w:r>
              <w:t>.</w:t>
            </w:r>
          </w:p>
          <w:p w14:paraId="0DA51D81" w14:textId="77777777" w:rsidR="00BF18CF" w:rsidRDefault="00E51347">
            <w:r>
              <w:t>[</w:t>
            </w:r>
            <w:proofErr w:type="gramStart"/>
            <w:r>
              <w:t>n.d.t.</w:t>
            </w:r>
            <w:proofErr w:type="gramEnd"/>
            <w:r>
              <w:t xml:space="preserve"> voir aussi </w:t>
            </w:r>
            <w:hyperlink r:id="rId147" w:anchor="interoperabilite-semantique">
              <w:r>
                <w:rPr>
                  <w:color w:val="4F81BD"/>
                </w:rPr>
                <w:t>Interopérabilité sémantique</w:t>
              </w:r>
            </w:hyperlink>
            <w:r>
              <w:t>].</w:t>
            </w:r>
          </w:p>
        </w:tc>
      </w:tr>
      <w:tr w:rsidR="00BF18CF" w14:paraId="22A972E0" w14:textId="77777777" w:rsidTr="005675C3">
        <w:tc>
          <w:tcPr>
            <w:tcW w:w="1975" w:type="dxa"/>
          </w:tcPr>
          <w:p w14:paraId="7A1B8431" w14:textId="0A88000F" w:rsidR="00BF18CF" w:rsidRDefault="00F27208">
            <w:r>
              <w:rPr>
                <w:i/>
              </w:rPr>
              <w:t>Note de traduction</w:t>
            </w:r>
          </w:p>
        </w:tc>
        <w:tc>
          <w:tcPr>
            <w:tcW w:w="8715" w:type="dxa"/>
          </w:tcPr>
          <w:p w14:paraId="0CAB4CAE" w14:textId="77777777" w:rsidR="00BF18CF" w:rsidRDefault="00BF18CF">
            <w:pPr>
              <w:pBdr>
                <w:top w:val="nil"/>
                <w:left w:val="nil"/>
                <w:bottom w:val="nil"/>
                <w:right w:val="nil"/>
                <w:between w:val="nil"/>
              </w:pBdr>
              <w:spacing w:before="36" w:after="36"/>
              <w:rPr>
                <w:color w:val="000000"/>
              </w:rPr>
            </w:pPr>
          </w:p>
        </w:tc>
      </w:tr>
      <w:tr w:rsidR="00BF18CF" w14:paraId="380954D6" w14:textId="77777777" w:rsidTr="005675C3">
        <w:tc>
          <w:tcPr>
            <w:tcW w:w="1975" w:type="dxa"/>
          </w:tcPr>
          <w:p w14:paraId="59A8AFAC" w14:textId="77777777" w:rsidR="00BF18CF" w:rsidRDefault="00E51347">
            <w:r>
              <w:rPr>
                <w:i/>
              </w:rPr>
              <w:t>Références</w:t>
            </w:r>
          </w:p>
        </w:tc>
        <w:tc>
          <w:tcPr>
            <w:tcW w:w="8715" w:type="dxa"/>
          </w:tcPr>
          <w:p w14:paraId="37685172" w14:textId="77777777" w:rsidR="00BF18CF" w:rsidRDefault="00BF18CF">
            <w:pPr>
              <w:pBdr>
                <w:top w:val="nil"/>
                <w:left w:val="nil"/>
                <w:bottom w:val="nil"/>
                <w:right w:val="nil"/>
                <w:between w:val="nil"/>
              </w:pBdr>
              <w:spacing w:before="36" w:after="36"/>
              <w:rPr>
                <w:color w:val="000000"/>
              </w:rPr>
            </w:pPr>
          </w:p>
        </w:tc>
      </w:tr>
      <w:tr w:rsidR="00BF18CF" w14:paraId="4FC868E3" w14:textId="77777777" w:rsidTr="005675C3">
        <w:tc>
          <w:tcPr>
            <w:tcW w:w="1975" w:type="dxa"/>
          </w:tcPr>
          <w:p w14:paraId="59086816" w14:textId="77777777" w:rsidR="00BF18CF" w:rsidRDefault="00BF18CF">
            <w:pPr>
              <w:pBdr>
                <w:top w:val="nil"/>
                <w:left w:val="nil"/>
                <w:bottom w:val="nil"/>
                <w:right w:val="nil"/>
                <w:between w:val="nil"/>
              </w:pBdr>
              <w:spacing w:before="36" w:after="36"/>
              <w:rPr>
                <w:color w:val="000000"/>
              </w:rPr>
            </w:pPr>
            <w:bookmarkStart w:id="40" w:name="bookmark=id.2p2csry" w:colFirst="0" w:colLast="0"/>
            <w:bookmarkEnd w:id="40"/>
          </w:p>
          <w:p w14:paraId="328E05BC" w14:textId="77777777" w:rsidR="00BF18CF" w:rsidRDefault="00E51347">
            <w:r>
              <w:t>Interopérabilité sémantique</w:t>
            </w:r>
          </w:p>
        </w:tc>
        <w:tc>
          <w:tcPr>
            <w:tcW w:w="8715" w:type="dxa"/>
          </w:tcPr>
          <w:p w14:paraId="0D7ECCCD" w14:textId="77777777" w:rsidR="00BF18CF" w:rsidRDefault="000467B7">
            <w:hyperlink r:id="rId148" w:anchor="interoperabilite-semantique">
              <w:r w:rsidR="00E51347">
                <w:rPr>
                  <w:color w:val="4F81BD"/>
                </w:rPr>
                <w:t>L’</w:t>
              </w:r>
            </w:hyperlink>
            <w:hyperlink r:id="rId149" w:anchor="interoperabilite-semantique">
              <w:r w:rsidR="00E51347">
                <w:rPr>
                  <w:b/>
                  <w:color w:val="4F81BD"/>
                </w:rPr>
                <w:t>interopérabilité</w:t>
              </w:r>
            </w:hyperlink>
            <w:r w:rsidR="00E51347">
              <w:t xml:space="preserve"> sémantique réfère à la capacité de différents systèmes d’information de communiquer de l’information [n.d.t. entre eux] en adéquation avec sa signification initiale, ce qui comprend :</w:t>
            </w:r>
          </w:p>
          <w:p w14:paraId="54837D3C" w14:textId="77777777" w:rsidR="00BF18CF" w:rsidRDefault="00E51347">
            <w:pPr>
              <w:numPr>
                <w:ilvl w:val="0"/>
                <w:numId w:val="7"/>
              </w:numPr>
            </w:pPr>
            <w:proofErr w:type="gramStart"/>
            <w:r>
              <w:t>les</w:t>
            </w:r>
            <w:proofErr w:type="gramEnd"/>
            <w:r>
              <w:t xml:space="preserve"> éléments de la structure de données impliqués;</w:t>
            </w:r>
          </w:p>
          <w:p w14:paraId="53683971" w14:textId="77777777" w:rsidR="00BF18CF" w:rsidRDefault="00E51347">
            <w:pPr>
              <w:numPr>
                <w:ilvl w:val="0"/>
                <w:numId w:val="7"/>
              </w:numPr>
            </w:pPr>
            <w:proofErr w:type="gramStart"/>
            <w:r>
              <w:t>la</w:t>
            </w:r>
            <w:proofErr w:type="gramEnd"/>
            <w:r>
              <w:t xml:space="preserve"> terminologie présentée comme données;</w:t>
            </w:r>
          </w:p>
          <w:p w14:paraId="60708B4D" w14:textId="77777777" w:rsidR="00BF18CF" w:rsidRDefault="00E51347">
            <w:pPr>
              <w:numPr>
                <w:ilvl w:val="0"/>
                <w:numId w:val="7"/>
              </w:numPr>
            </w:pPr>
            <w:proofErr w:type="gramStart"/>
            <w:r>
              <w:t>les</w:t>
            </w:r>
            <w:proofErr w:type="gramEnd"/>
            <w:r>
              <w:t xml:space="preserve"> identifiants représentant des éléments factuels comme des lieux, des personnes et des objets dans les données.</w:t>
            </w:r>
          </w:p>
          <w:p w14:paraId="589CEE59" w14:textId="77777777" w:rsidR="00BF18CF" w:rsidRDefault="00E51347">
            <w:r>
              <w:t xml:space="preserve">La communication des éléments structurels doit être résolue en premier lieu. Une communication adéquate implique à cet égard que les données transférées d’une structure à l’autre conservent leur signification, ou que les données référant aux </w:t>
            </w:r>
            <w:r>
              <w:lastRenderedPageBreak/>
              <w:t>mêmes éléments et ayant la même signification soient fusionnées. En pratique cependant, en raison des niveaux de généralisation qui varient d’un système à l’autre, ceci n’est souvent pas possible.</w:t>
            </w:r>
          </w:p>
          <w:p w14:paraId="1770C352" w14:textId="77777777" w:rsidR="00BF18CF" w:rsidRDefault="00E51347">
            <w:r>
              <w:t>L’interopérabilité sémantique est donc considérée atteinte si des éléments attestant une généralisation raisonnablement comparable au transfert ou à la fusion [n.d.t. des données concernées] sont identifiés. Ceci est un problème théorique étudié sous le nom du problème de l'</w:t>
            </w:r>
            <w:hyperlink r:id="rId150" w:anchor="inclusion-des-requetes">
              <w:r>
                <w:rPr>
                  <w:b/>
                  <w:color w:val="4F81BD"/>
                </w:rPr>
                <w:t>inclusion des requêtes</w:t>
              </w:r>
            </w:hyperlink>
            <w:r>
              <w:t> »; le CIDOC CRM, pour sa part, ne se concentre que sur l'interopérabilité sémantique des éléments structurés.</w:t>
            </w:r>
          </w:p>
          <w:p w14:paraId="5C01E559" w14:textId="77777777" w:rsidR="00BF18CF" w:rsidRDefault="00E51347">
            <w:r>
              <w:t>[</w:t>
            </w:r>
            <w:proofErr w:type="gramStart"/>
            <w:r>
              <w:t>n.d.t.</w:t>
            </w:r>
            <w:proofErr w:type="gramEnd"/>
            <w:r>
              <w:t xml:space="preserve"> voir aussi </w:t>
            </w:r>
            <w:hyperlink r:id="rId151" w:anchor="interoperabilite-syntactique">
              <w:r>
                <w:rPr>
                  <w:color w:val="4F81BD"/>
                </w:rPr>
                <w:t>Interopérabilité syntactique</w:t>
              </w:r>
            </w:hyperlink>
            <w:r>
              <w:t>].</w:t>
            </w:r>
          </w:p>
        </w:tc>
      </w:tr>
      <w:tr w:rsidR="00BF18CF" w14:paraId="683AFEA0" w14:textId="77777777" w:rsidTr="005675C3">
        <w:tc>
          <w:tcPr>
            <w:tcW w:w="1975" w:type="dxa"/>
          </w:tcPr>
          <w:p w14:paraId="566CB956" w14:textId="53FC03A6" w:rsidR="00BF18CF" w:rsidRDefault="00F27208">
            <w:r>
              <w:rPr>
                <w:i/>
              </w:rPr>
              <w:lastRenderedPageBreak/>
              <w:t>Note de traduction</w:t>
            </w:r>
          </w:p>
        </w:tc>
        <w:tc>
          <w:tcPr>
            <w:tcW w:w="8715" w:type="dxa"/>
          </w:tcPr>
          <w:p w14:paraId="240EEF29" w14:textId="77777777" w:rsidR="00BF18CF" w:rsidRDefault="00E51347">
            <w:r>
              <w:t>Le terme « merge » a été traduit par « fusion », lequel semble être la traduction la plus courante dans le domaine du traitement de l’information.</w:t>
            </w:r>
          </w:p>
          <w:p w14:paraId="6BF9C658" w14:textId="77777777" w:rsidR="00BF18CF" w:rsidRDefault="00E51347">
            <w:r>
              <w:t>Le terme « query containment » a été traduit par « inclusion des requêtes ». Le « containment » est généralement traduit dans le domaine de l’algèbre par « inclusion » et dans le domaine logiciel par « contenance ». Puisqu’il s’agit d’un problème fondamentalement théorique et algorithmique, il est apparu préférable de se rapprocher de l’usage mathématique.</w:t>
            </w:r>
          </w:p>
        </w:tc>
      </w:tr>
      <w:tr w:rsidR="00BF18CF" w14:paraId="713CDADD" w14:textId="77777777" w:rsidTr="005675C3">
        <w:tc>
          <w:tcPr>
            <w:tcW w:w="1975" w:type="dxa"/>
          </w:tcPr>
          <w:p w14:paraId="3A472641" w14:textId="77777777" w:rsidR="00BF18CF" w:rsidRDefault="00E51347">
            <w:r>
              <w:rPr>
                <w:i/>
              </w:rPr>
              <w:t>Références</w:t>
            </w:r>
          </w:p>
        </w:tc>
        <w:tc>
          <w:tcPr>
            <w:tcW w:w="8715" w:type="dxa"/>
          </w:tcPr>
          <w:p w14:paraId="56935531" w14:textId="77777777" w:rsidR="00BF18CF" w:rsidRDefault="00E51347">
            <w:r>
              <w:t>Groz, Benoît. « Inclusion et équivalence de requêtes conjonctives ». Rapport de stage, Institut national de recherche en sciences et technologies du numérique, 2008.</w:t>
            </w:r>
            <w:hyperlink r:id="rId152">
              <w:r>
                <w:rPr>
                  <w:color w:val="4F81BD"/>
                </w:rPr>
                <w:t xml:space="preserve"> https://www.lri.fr/~groz/documents/rapport.pdf</w:t>
              </w:r>
            </w:hyperlink>
            <w:r>
              <w:t>.</w:t>
            </w:r>
          </w:p>
          <w:p w14:paraId="6D3820E0" w14:textId="77777777" w:rsidR="00BF18CF" w:rsidRDefault="00E51347">
            <w:r>
              <w:t xml:space="preserve">Termium. « </w:t>
            </w:r>
            <w:proofErr w:type="gramStart"/>
            <w:r>
              <w:t>containment</w:t>
            </w:r>
            <w:proofErr w:type="gramEnd"/>
            <w:r>
              <w:t xml:space="preserve"> ». Dans </w:t>
            </w:r>
            <w:r>
              <w:rPr>
                <w:i/>
              </w:rPr>
              <w:t>Termium Plus</w:t>
            </w:r>
            <w:r>
              <w:t>. Ottawa, CA-ON: Gouvernement du Canada, 8 octobre 2009.</w:t>
            </w:r>
            <w:hyperlink r:id="rId153" w:anchor="resultrecs">
              <w:r>
                <w:rPr>
                  <w:color w:val="4F81BD"/>
                </w:rPr>
                <w:t xml:space="preserve"> https://www.btb.termiumplus.gc.ca/tpv2alpha/alpha-fra.html?lang=fra&amp;i=1&amp;srchtxt=containment&amp;index=ent&amp;codom2nd_wet=1#resultrecs</w:t>
              </w:r>
            </w:hyperlink>
            <w:r>
              <w:t>.</w:t>
            </w:r>
          </w:p>
          <w:p w14:paraId="1D5216AE" w14:textId="77777777" w:rsidR="00BF18CF" w:rsidRDefault="00E51347">
            <w:r>
              <w:t xml:space="preserve">———. « </w:t>
            </w:r>
            <w:proofErr w:type="gramStart"/>
            <w:r>
              <w:t>merge</w:t>
            </w:r>
            <w:proofErr w:type="gramEnd"/>
            <w:r>
              <w:t xml:space="preserve"> ». Dans </w:t>
            </w:r>
            <w:r>
              <w:rPr>
                <w:i/>
              </w:rPr>
              <w:t>Termium Plus</w:t>
            </w:r>
            <w:r>
              <w:t>. Ottawa, CA-ON: Gouvernement du Canada, 8 octobre 2009.</w:t>
            </w:r>
            <w:hyperlink r:id="rId154" w:anchor="resultrecs">
              <w:r>
                <w:rPr>
                  <w:color w:val="4F81BD"/>
                </w:rPr>
                <w:t xml:space="preserve"> https://www.btb.termiumplus.gc.ca/tpv2alpha/alpha-fra.html?lang=fra&amp;i=1&amp;srchtxt=merge&amp;index=ent&amp;codom2nd_wet=1#resultrecs</w:t>
              </w:r>
            </w:hyperlink>
            <w:r>
              <w:t>.</w:t>
            </w:r>
          </w:p>
        </w:tc>
      </w:tr>
      <w:tr w:rsidR="00BF18CF" w14:paraId="6F8548A7" w14:textId="77777777" w:rsidTr="005675C3">
        <w:tc>
          <w:tcPr>
            <w:tcW w:w="1975" w:type="dxa"/>
          </w:tcPr>
          <w:p w14:paraId="46A53F54" w14:textId="77777777" w:rsidR="00BF18CF" w:rsidRDefault="00BF18CF">
            <w:pPr>
              <w:pBdr>
                <w:top w:val="nil"/>
                <w:left w:val="nil"/>
                <w:bottom w:val="nil"/>
                <w:right w:val="nil"/>
                <w:between w:val="nil"/>
              </w:pBdr>
              <w:spacing w:before="36" w:after="36"/>
              <w:rPr>
                <w:color w:val="000000"/>
              </w:rPr>
            </w:pPr>
            <w:bookmarkStart w:id="41" w:name="bookmark=id.147n2zr" w:colFirst="0" w:colLast="0"/>
            <w:bookmarkEnd w:id="41"/>
          </w:p>
          <w:p w14:paraId="4C7B5AD9" w14:textId="77777777" w:rsidR="00BF18CF" w:rsidRDefault="00E51347">
            <w:r>
              <w:t>Quantificateurs de propriété</w:t>
            </w:r>
          </w:p>
        </w:tc>
        <w:tc>
          <w:tcPr>
            <w:tcW w:w="8715" w:type="dxa"/>
          </w:tcPr>
          <w:p w14:paraId="33590ECD" w14:textId="77777777" w:rsidR="00BF18CF" w:rsidRDefault="00E51347">
            <w:r>
              <w:t>Le terme « quantificateurs de propriété » désigne la déclaration du nombre autorisé d’</w:t>
            </w:r>
            <w:hyperlink r:id="rId155" w:anchor="instance">
              <w:r>
                <w:rPr>
                  <w:b/>
                  <w:color w:val="4F81BD"/>
                </w:rPr>
                <w:t>instances</w:t>
              </w:r>
            </w:hyperlink>
            <w:r>
              <w:t xml:space="preserve"> d’une </w:t>
            </w:r>
            <w:hyperlink r:id="rId156" w:anchor="propriete">
              <w:r>
                <w:rPr>
                  <w:b/>
                  <w:color w:val="4F81BD"/>
                </w:rPr>
                <w:t>propriété</w:t>
              </w:r>
            </w:hyperlink>
            <w:r>
              <w:t xml:space="preserve"> qui peut référer à une instance particulière d’une </w:t>
            </w:r>
            <w:hyperlink r:id="rId157" w:anchor="classe">
              <w:r>
                <w:rPr>
                  <w:color w:val="4F81BD"/>
                </w:rPr>
                <w:t>classe</w:t>
              </w:r>
            </w:hyperlink>
            <w:r>
              <w:t xml:space="preserve"> de </w:t>
            </w:r>
            <w:hyperlink r:id="rId158" w:anchor="portee">
              <w:r>
                <w:rPr>
                  <w:b/>
                  <w:color w:val="4F81BD"/>
                </w:rPr>
                <w:t>portée</w:t>
              </w:r>
            </w:hyperlink>
            <w:r>
              <w:t xml:space="preserve"> ou de </w:t>
            </w:r>
            <w:hyperlink r:id="rId159" w:anchor="domaine">
              <w:r>
                <w:rPr>
                  <w:b/>
                  <w:color w:val="4F81BD"/>
                </w:rPr>
                <w:t>domaine</w:t>
              </w:r>
            </w:hyperlink>
            <w:r>
              <w:t xml:space="preserve"> de cette propriété. Ces déclarations sont ontologiques, c.-à-d. qu’elles concernent la nature du monde « réel » qui est décrit plutôt que la connaissance de celui-ci. Par exemple, chaque personne a exactement un père [n.d.t. biologique] même si les connaissances recensées peuvent n’en indiquer aucun ou plusieurs.</w:t>
            </w:r>
          </w:p>
          <w:p w14:paraId="7A998B63" w14:textId="77777777" w:rsidR="00BF18CF" w:rsidRDefault="00E51347">
            <w:r>
              <w:t xml:space="preserve">[n.d.t. voir la section </w:t>
            </w:r>
            <w:hyperlink r:id="rId160" w:anchor="quantificateurs-de-proprietes">
              <w:r>
                <w:rPr>
                  <w:color w:val="4F81BD"/>
                </w:rPr>
                <w:t>Quantificateurs de propriétés</w:t>
              </w:r>
            </w:hyperlink>
            <w:r>
              <w:t xml:space="preserve"> dans la section </w:t>
            </w:r>
            <w:hyperlink r:id="rId161">
              <w:r>
                <w:rPr>
                  <w:color w:val="4F81BD"/>
                </w:rPr>
                <w:t>Compatibilité avec le CIDOC CRM</w:t>
              </w:r>
            </w:hyperlink>
            <w:r>
              <w:t>].</w:t>
            </w:r>
          </w:p>
        </w:tc>
      </w:tr>
      <w:tr w:rsidR="00BF18CF" w14:paraId="3DFD0B73" w14:textId="77777777" w:rsidTr="005675C3">
        <w:tc>
          <w:tcPr>
            <w:tcW w:w="1975" w:type="dxa"/>
          </w:tcPr>
          <w:p w14:paraId="674119E3" w14:textId="4EAEBC25" w:rsidR="00BF18CF" w:rsidRDefault="00F27208">
            <w:r>
              <w:rPr>
                <w:i/>
              </w:rPr>
              <w:t>Note de traduction</w:t>
            </w:r>
          </w:p>
        </w:tc>
        <w:tc>
          <w:tcPr>
            <w:tcW w:w="8715" w:type="dxa"/>
          </w:tcPr>
          <w:p w14:paraId="478B16F8" w14:textId="77777777" w:rsidR="00BF18CF" w:rsidRDefault="00BF18CF">
            <w:pPr>
              <w:pBdr>
                <w:top w:val="nil"/>
                <w:left w:val="nil"/>
                <w:bottom w:val="nil"/>
                <w:right w:val="nil"/>
                <w:between w:val="nil"/>
              </w:pBdr>
              <w:spacing w:before="36" w:after="36"/>
              <w:rPr>
                <w:color w:val="000000"/>
              </w:rPr>
            </w:pPr>
          </w:p>
        </w:tc>
      </w:tr>
      <w:tr w:rsidR="00BF18CF" w14:paraId="2479C705" w14:textId="77777777" w:rsidTr="005675C3">
        <w:tc>
          <w:tcPr>
            <w:tcW w:w="1975" w:type="dxa"/>
          </w:tcPr>
          <w:p w14:paraId="2FAD0F13" w14:textId="77777777" w:rsidR="00BF18CF" w:rsidRDefault="00E51347">
            <w:r>
              <w:rPr>
                <w:i/>
              </w:rPr>
              <w:t>Références</w:t>
            </w:r>
          </w:p>
        </w:tc>
        <w:tc>
          <w:tcPr>
            <w:tcW w:w="8715" w:type="dxa"/>
          </w:tcPr>
          <w:p w14:paraId="1D280CA5" w14:textId="77777777" w:rsidR="00BF18CF" w:rsidRDefault="00E51347">
            <w:r>
              <w:t xml:space="preserve">Termium. « </w:t>
            </w:r>
            <w:proofErr w:type="gramStart"/>
            <w:r>
              <w:t>quantifier</w:t>
            </w:r>
            <w:proofErr w:type="gramEnd"/>
            <w:r>
              <w:t xml:space="preserve"> ». Dans </w:t>
            </w:r>
            <w:r>
              <w:rPr>
                <w:i/>
              </w:rPr>
              <w:t>Termium Plus</w:t>
            </w:r>
            <w:r>
              <w:t>. Ottawa, CA-ON: Gouvernement du Canada, 8 octobre 2009.</w:t>
            </w:r>
            <w:hyperlink r:id="rId162" w:anchor="resultrecs">
              <w:r>
                <w:rPr>
                  <w:color w:val="4F81BD"/>
                </w:rPr>
                <w:t xml:space="preserve"> https://www.btb.termiumplus.gc.ca/tpv2alpha/alpha-</w:t>
              </w:r>
              <w:r>
                <w:rPr>
                  <w:color w:val="4F81BD"/>
                </w:rPr>
                <w:lastRenderedPageBreak/>
                <w:t>fra.html?lang=fra&amp;i=1&amp;srchtxt=quantifier&amp;index=ent&amp;codom2nd_wet=1#resultrecs</w:t>
              </w:r>
            </w:hyperlink>
            <w:r>
              <w:t>.</w:t>
            </w:r>
          </w:p>
        </w:tc>
      </w:tr>
      <w:tr w:rsidR="00BF18CF" w14:paraId="7E93C030" w14:textId="77777777" w:rsidTr="005675C3">
        <w:tc>
          <w:tcPr>
            <w:tcW w:w="1975" w:type="dxa"/>
          </w:tcPr>
          <w:p w14:paraId="6ED4E3AE" w14:textId="77777777" w:rsidR="00BF18CF" w:rsidRDefault="00BF18CF">
            <w:pPr>
              <w:pBdr>
                <w:top w:val="nil"/>
                <w:left w:val="nil"/>
                <w:bottom w:val="nil"/>
                <w:right w:val="nil"/>
                <w:between w:val="nil"/>
              </w:pBdr>
              <w:spacing w:before="36" w:after="36"/>
              <w:rPr>
                <w:color w:val="000000"/>
              </w:rPr>
            </w:pPr>
            <w:bookmarkStart w:id="42" w:name="bookmark=id.3o7alnk" w:colFirst="0" w:colLast="0"/>
            <w:bookmarkEnd w:id="42"/>
          </w:p>
          <w:p w14:paraId="782F7462" w14:textId="77777777" w:rsidR="00BF18CF" w:rsidRDefault="00E51347">
            <w:proofErr w:type="gramStart"/>
            <w:r>
              <w:t>universel</w:t>
            </w:r>
            <w:proofErr w:type="gramEnd"/>
          </w:p>
        </w:tc>
        <w:tc>
          <w:tcPr>
            <w:tcW w:w="8715" w:type="dxa"/>
          </w:tcPr>
          <w:p w14:paraId="4F90BC47" w14:textId="77777777" w:rsidR="00BF18CF" w:rsidRDefault="00E51347">
            <w:r>
              <w:t xml:space="preserve">La distinction ontologique fondamentale entre universel et particulier peut être comprise informellement en examinant la relation de chacun avec son instanciation : alors que les particuliers n’ont aucune </w:t>
            </w:r>
            <w:hyperlink r:id="rId163" w:anchor="instance">
              <w:r>
                <w:rPr>
                  <w:b/>
                  <w:color w:val="4F81BD"/>
                </w:rPr>
                <w:t>instance</w:t>
              </w:r>
            </w:hyperlink>
            <w:r>
              <w:t xml:space="preserve"> possible, peu importe le monde dans lequel ils se trouvent, les universels sont des entités qui, elles, ont des instances. Les </w:t>
            </w:r>
            <w:hyperlink r:id="rId164" w:anchor="classe">
              <w:r>
                <w:rPr>
                  <w:b/>
                  <w:color w:val="4F81BD"/>
                </w:rPr>
                <w:t>classes</w:t>
              </w:r>
            </w:hyperlink>
            <w:r>
              <w:t xml:space="preserve"> et </w:t>
            </w:r>
            <w:hyperlink r:id="rId165" w:anchor="propriete">
              <w:r>
                <w:rPr>
                  <w:b/>
                  <w:color w:val="4F81BD"/>
                </w:rPr>
                <w:t>propriétés</w:t>
              </w:r>
            </w:hyperlink>
            <w:r>
              <w:t xml:space="preserve"> (qui correspondent en langage logique à des prédicats) sont généralement considérées être des universels (Gangemi &amp; al. 2002, p. 166-181).</w:t>
            </w:r>
          </w:p>
        </w:tc>
      </w:tr>
      <w:tr w:rsidR="00BF18CF" w14:paraId="6D8D4237" w14:textId="77777777" w:rsidTr="005675C3">
        <w:tc>
          <w:tcPr>
            <w:tcW w:w="1975" w:type="dxa"/>
          </w:tcPr>
          <w:p w14:paraId="0540EDD3" w14:textId="39FB0F39" w:rsidR="00BF18CF" w:rsidRDefault="00F27208">
            <w:r>
              <w:rPr>
                <w:i/>
              </w:rPr>
              <w:t>Note de traduction</w:t>
            </w:r>
          </w:p>
        </w:tc>
        <w:tc>
          <w:tcPr>
            <w:tcW w:w="8715" w:type="dxa"/>
          </w:tcPr>
          <w:p w14:paraId="26F058D9" w14:textId="77777777" w:rsidR="00BF18CF" w:rsidRDefault="00BF18CF">
            <w:pPr>
              <w:pBdr>
                <w:top w:val="nil"/>
                <w:left w:val="nil"/>
                <w:bottom w:val="nil"/>
                <w:right w:val="nil"/>
                <w:between w:val="nil"/>
              </w:pBdr>
              <w:spacing w:before="36" w:after="36"/>
              <w:rPr>
                <w:color w:val="000000"/>
              </w:rPr>
            </w:pPr>
          </w:p>
        </w:tc>
      </w:tr>
      <w:tr w:rsidR="00BF18CF" w14:paraId="610BA579" w14:textId="77777777" w:rsidTr="005675C3">
        <w:tc>
          <w:tcPr>
            <w:tcW w:w="1975" w:type="dxa"/>
          </w:tcPr>
          <w:p w14:paraId="5F321976" w14:textId="77777777" w:rsidR="00BF18CF" w:rsidRDefault="00E51347">
            <w:r>
              <w:rPr>
                <w:i/>
              </w:rPr>
              <w:t>Références</w:t>
            </w:r>
          </w:p>
        </w:tc>
        <w:tc>
          <w:tcPr>
            <w:tcW w:w="8715" w:type="dxa"/>
          </w:tcPr>
          <w:p w14:paraId="2007A9D9" w14:textId="77777777" w:rsidR="00BF18CF" w:rsidRDefault="00BF18CF">
            <w:pPr>
              <w:pBdr>
                <w:top w:val="nil"/>
                <w:left w:val="nil"/>
                <w:bottom w:val="nil"/>
                <w:right w:val="nil"/>
                <w:between w:val="nil"/>
              </w:pBdr>
              <w:spacing w:before="36" w:after="36"/>
              <w:rPr>
                <w:color w:val="000000"/>
              </w:rPr>
            </w:pPr>
          </w:p>
        </w:tc>
      </w:tr>
      <w:tr w:rsidR="00BF18CF" w14:paraId="59550946" w14:textId="77777777" w:rsidTr="005675C3">
        <w:tc>
          <w:tcPr>
            <w:tcW w:w="1975" w:type="dxa"/>
          </w:tcPr>
          <w:p w14:paraId="16D80347" w14:textId="77777777" w:rsidR="00BF18CF" w:rsidRDefault="00BF18CF">
            <w:pPr>
              <w:pBdr>
                <w:top w:val="nil"/>
                <w:left w:val="nil"/>
                <w:bottom w:val="nil"/>
                <w:right w:val="nil"/>
                <w:between w:val="nil"/>
              </w:pBdr>
              <w:spacing w:before="36" w:after="36"/>
              <w:rPr>
                <w:color w:val="000000"/>
              </w:rPr>
            </w:pPr>
            <w:bookmarkStart w:id="43" w:name="bookmark=id.23ckvvd" w:colFirst="0" w:colLast="0"/>
            <w:bookmarkEnd w:id="43"/>
          </w:p>
          <w:p w14:paraId="780278FB" w14:textId="77777777" w:rsidR="00BF18CF" w:rsidRDefault="00E51347">
            <w:r>
              <w:t>Processus de création de connaissances</w:t>
            </w:r>
          </w:p>
        </w:tc>
        <w:tc>
          <w:tcPr>
            <w:tcW w:w="8715" w:type="dxa"/>
          </w:tcPr>
          <w:p w14:paraId="11E82C3F" w14:textId="77777777" w:rsidR="00BF18CF" w:rsidRDefault="00E51347">
            <w:r>
              <w:t>Toute connaissance contenue dans un système d’information doit avoir été introduite dans ce système par un agent humain, que ce soit de manière directe ou indirecte. Malgré cela, plusieurs, si ce n’est la plupart, des énoncés de tels systèmes n’ont pas d’information associée quant à la personne ayant autorité sur eux. Néanmoins, le milieu patrimonial a des pratiques d’assignation de l’autorité établissant comment et par qui une information peut être introduite ou modifiée dans un système, en particulier dans le contexte de la documentation et de la gestion des collections. Ces pratiques sont idéalement recensées dans le cadre de politiques institutionnelles et de protocoles documentaires. Il est donc raisonnable de considérer que, dans le cadre de tels systèmes d’information, tout énoncé n’ayant pas une assignation explicite d’autorité représente la position officielle de l’institution responsable du système.</w:t>
            </w:r>
          </w:p>
          <w:p w14:paraId="12F6387E" w14:textId="77777777" w:rsidR="00BF18CF" w:rsidRDefault="00E51347">
            <w:r>
              <w:t>Cette posture [n.d.t. du CIDOC CRM] n’implique cependant pas qu’un système d’information représente un état abouti des connaissances promues par l’institution qui en est responsable. Cette posture a plutôt pour objectif de mettre en évidence qu’un ensemble de données patrimoniales (à un quelconque degré d’élaboration) incarne une adhésion à un ensemble de standards qui garantissent la validité des données dans le cadre de celui-ci et de ses limitations. Tant que l’information [n.d.t. contenue dans le système d’information] est activement maintenue, elle demeure sujette à des améliorations, modifications et révisions au fur et à mesure que la recherche à son sujet présente de nouveaux éléments à son égard ou à l’égard de ce qui l’entoure.</w:t>
            </w:r>
          </w:p>
          <w:p w14:paraId="0AE1F7D1" w14:textId="77777777" w:rsidR="00BF18CF" w:rsidRDefault="00E51347">
            <w:r>
              <w:t xml:space="preserve">De l’information dans un ensemble de données auquel est associé un énoncé explicite de responsabilité constitue une exception notable à cette règle. Dans CIDOC CRM, de tels énoncés de responsabilité sont exprimés par des évènements de création de connaissances tels que </w:t>
            </w:r>
            <w:r>
              <w:rPr>
                <w:rFonts w:ascii="Consolas" w:eastAsia="Consolas" w:hAnsi="Consolas" w:cs="Consolas"/>
                <w:sz w:val="22"/>
                <w:szCs w:val="22"/>
                <w:shd w:val="clear" w:color="auto" w:fill="EAEEF3"/>
              </w:rPr>
              <w:t>E13_Assignation_d'attribut</w:t>
            </w:r>
            <w:r>
              <w:t xml:space="preserve"> ou ses sous-classes pertinentes. Toute information dans un modèle CIDOC CRM basée sur un évènement de création explicite de cette information (où l’identité du créateur est spécifiée) a pour autorité et responsable le créateur en question. Pour toute information dans ce système qui n’a pas de référence explicite à un créateur spécifique ainsi que pour toute information qui n’est pas liée à un évènement de création, la responsabilité de l’information revient à l’institution qui assume la </w:t>
            </w:r>
            <w:r>
              <w:lastRenderedPageBreak/>
              <w:t xml:space="preserve">gestion de la base et du graphe de connaissances. Ceci implique que l’information qui n’est exprimée que grâce à des raccourcis (p. ex. </w:t>
            </w:r>
            <w:r>
              <w:rPr>
                <w:rFonts w:ascii="Consolas" w:eastAsia="Consolas" w:hAnsi="Consolas" w:cs="Consolas"/>
                <w:sz w:val="22"/>
                <w:szCs w:val="22"/>
                <w:shd w:val="clear" w:color="auto" w:fill="EAEEF3"/>
              </w:rPr>
              <w:t>P2_a_pour_type</w:t>
            </w:r>
            <w:r>
              <w:t>) :</w:t>
            </w:r>
          </w:p>
          <w:p w14:paraId="19ECCFB1" w14:textId="77777777" w:rsidR="00BF18CF" w:rsidRDefault="00E51347">
            <w:pPr>
              <w:numPr>
                <w:ilvl w:val="0"/>
                <w:numId w:val="10"/>
              </w:numPr>
            </w:pPr>
            <w:proofErr w:type="gramStart"/>
            <w:r>
              <w:t>n’est</w:t>
            </w:r>
            <w:proofErr w:type="gramEnd"/>
            <w:r>
              <w:t xml:space="preserve"> pas associée à un évènement explicite de création de connaissances;</w:t>
            </w:r>
          </w:p>
          <w:p w14:paraId="2CE866B5" w14:textId="77777777" w:rsidR="00BF18CF" w:rsidRDefault="00E51347">
            <w:pPr>
              <w:numPr>
                <w:ilvl w:val="0"/>
                <w:numId w:val="10"/>
              </w:numPr>
            </w:pPr>
            <w:proofErr w:type="gramStart"/>
            <w:r>
              <w:t>ne</w:t>
            </w:r>
            <w:proofErr w:type="gramEnd"/>
            <w:r>
              <w:t xml:space="preserve"> peut pas être associée à un évènement de création originel, car celui-ci ne peut être déduit;</w:t>
            </w:r>
          </w:p>
          <w:p w14:paraId="6AB90A70" w14:textId="77777777" w:rsidR="00BF18CF" w:rsidRDefault="00E51347">
            <w:pPr>
              <w:numPr>
                <w:ilvl w:val="0"/>
                <w:numId w:val="10"/>
              </w:numPr>
            </w:pPr>
            <w:proofErr w:type="gramStart"/>
            <w:r>
              <w:t>ne</w:t>
            </w:r>
            <w:proofErr w:type="gramEnd"/>
            <w:r>
              <w:t xml:space="preserve"> peut avoir pour responsable que l’institution responsable du système d’information (et qu’aucun autre organisme ne peut en être imputable).</w:t>
            </w:r>
          </w:p>
          <w:p w14:paraId="57D25EFA" w14:textId="77777777" w:rsidR="00BF18CF" w:rsidRDefault="00E51347">
            <w:r>
              <w:t xml:space="preserve">Lorsqu’une institution prend à sa charge une base de données dans le cadre d’un transfert de sa garde d’une autorité administrative à une autre, deux relations de responsabilité sur les connaissances qui s’y trouvent sont possibles. Si l’institution hôte accepte la responsabilité de la maintenance des informations, elle devient l’autorité associée par défaut aux énoncés qui s’y trouvent. Si, </w:t>
            </w:r>
            <w:proofErr w:type="gramStart"/>
            <w:r>
              <w:t>par contre</w:t>
            </w:r>
            <w:proofErr w:type="gramEnd"/>
            <w:r>
              <w:t>, l’institution hôte traite l’ensemble des données comme une ressource « fermée » [n.d.t. donc traité à la manière d’un artefact], l’autorité associée par défaut aux énoncés qui s’y trouvent sera celle de l’institution initiale [n.d.t. comme c’est le cas de tout autre document de recherche se trouvant dans la collection de l’institution hôte].</w:t>
            </w:r>
          </w:p>
          <w:p w14:paraId="3C927310" w14:textId="77777777" w:rsidR="00BF18CF" w:rsidRDefault="00E51347">
            <w:r>
              <w:t xml:space="preserve">[n.d.t. voir </w:t>
            </w:r>
            <w:hyperlink r:id="rId166" w:anchor="de-lauctorialite-des-contenus-dune-base-de-connaissances">
              <w:r>
                <w:rPr>
                  <w:color w:val="4F81BD"/>
                </w:rPr>
                <w:t>De l’auctorialité des contenus d’une base de connaissances</w:t>
              </w:r>
            </w:hyperlink>
            <w:r>
              <w:t xml:space="preserve"> dans les </w:t>
            </w:r>
            <w:hyperlink r:id="rId167">
              <w:r>
                <w:rPr>
                  <w:color w:val="4F81BD"/>
                </w:rPr>
                <w:t>Principes de modélisation</w:t>
              </w:r>
            </w:hyperlink>
            <w:r>
              <w:t>].</w:t>
            </w:r>
          </w:p>
        </w:tc>
      </w:tr>
      <w:tr w:rsidR="00BF18CF" w14:paraId="451CCBF5" w14:textId="77777777" w:rsidTr="005675C3">
        <w:tc>
          <w:tcPr>
            <w:tcW w:w="1975" w:type="dxa"/>
          </w:tcPr>
          <w:p w14:paraId="2E51A1D1" w14:textId="2E52FA28" w:rsidR="00BF18CF" w:rsidRDefault="00F27208">
            <w:r>
              <w:rPr>
                <w:i/>
              </w:rPr>
              <w:lastRenderedPageBreak/>
              <w:t>Note de traduction</w:t>
            </w:r>
          </w:p>
        </w:tc>
        <w:tc>
          <w:tcPr>
            <w:tcW w:w="8715" w:type="dxa"/>
          </w:tcPr>
          <w:p w14:paraId="0CB98B2C" w14:textId="77777777" w:rsidR="00BF18CF" w:rsidRDefault="00E51347">
            <w:r>
              <w:t>Le terme « information system » a été traduit par « système d’information ».</w:t>
            </w:r>
          </w:p>
        </w:tc>
      </w:tr>
      <w:tr w:rsidR="00BF18CF" w14:paraId="5721A409" w14:textId="77777777" w:rsidTr="005675C3">
        <w:tc>
          <w:tcPr>
            <w:tcW w:w="1975" w:type="dxa"/>
          </w:tcPr>
          <w:p w14:paraId="7CC95FF3" w14:textId="77777777" w:rsidR="00BF18CF" w:rsidRDefault="00E51347">
            <w:r>
              <w:rPr>
                <w:i/>
              </w:rPr>
              <w:t>Références</w:t>
            </w:r>
          </w:p>
        </w:tc>
        <w:tc>
          <w:tcPr>
            <w:tcW w:w="8715" w:type="dxa"/>
          </w:tcPr>
          <w:p w14:paraId="5472E756" w14:textId="77777777" w:rsidR="00BF18CF" w:rsidRDefault="00E51347">
            <w:r>
              <w:t xml:space="preserve">Termium. « Information System ». Dans </w:t>
            </w:r>
            <w:r>
              <w:rPr>
                <w:i/>
              </w:rPr>
              <w:t>Termium Plus</w:t>
            </w:r>
            <w:r>
              <w:t>. Ottawa, CA-ON: Gouvernement du Canada, 8 octobre 2009.</w:t>
            </w:r>
            <w:hyperlink r:id="rId168" w:anchor="resultrecs">
              <w:r>
                <w:rPr>
                  <w:color w:val="4F81BD"/>
                </w:rPr>
                <w:t xml:space="preserve"> https://www.btb.termiumplus.gc.ca/tpv2alpha/alpha-eng.html?lang=eng&amp;i=1&amp;srchtxt=INFORMATION+SYSTEM&amp;index=ent&amp;codom2nd_wet=1#resultrecs</w:t>
              </w:r>
            </w:hyperlink>
            <w:r>
              <w:t>.</w:t>
            </w:r>
          </w:p>
        </w:tc>
      </w:tr>
      <w:tr w:rsidR="00BF18CF" w14:paraId="0CA7DF80" w14:textId="77777777" w:rsidTr="005675C3">
        <w:tc>
          <w:tcPr>
            <w:tcW w:w="1975" w:type="dxa"/>
          </w:tcPr>
          <w:p w14:paraId="409EC649" w14:textId="77777777" w:rsidR="00BF18CF" w:rsidRDefault="00BF18CF">
            <w:pPr>
              <w:pBdr>
                <w:top w:val="nil"/>
                <w:left w:val="nil"/>
                <w:bottom w:val="nil"/>
                <w:right w:val="nil"/>
                <w:between w:val="nil"/>
              </w:pBdr>
              <w:spacing w:before="36" w:after="36"/>
              <w:rPr>
                <w:color w:val="000000"/>
              </w:rPr>
            </w:pPr>
            <w:bookmarkStart w:id="44" w:name="bookmark=id.ihv636" w:colFirst="0" w:colLast="0"/>
            <w:bookmarkEnd w:id="44"/>
          </w:p>
          <w:p w14:paraId="2629B045" w14:textId="77777777" w:rsidR="00BF18CF" w:rsidRDefault="00E51347">
            <w:r>
              <w:t>Transitivité</w:t>
            </w:r>
          </w:p>
        </w:tc>
        <w:tc>
          <w:tcPr>
            <w:tcW w:w="8715" w:type="dxa"/>
          </w:tcPr>
          <w:p w14:paraId="285C0110" w14:textId="77777777" w:rsidR="00BF18CF" w:rsidRDefault="00E51347">
            <w:r>
              <w:t xml:space="preserve">La transitivité (définie selon des principes mathématiques et logiques) signifie qu’une </w:t>
            </w:r>
            <w:hyperlink r:id="rId169" w:anchor="propriete">
              <w:r>
                <w:rPr>
                  <w:color w:val="4F81BD"/>
                </w:rPr>
                <w:t>propriété</w:t>
              </w:r>
            </w:hyperlink>
            <w:r>
              <w:t xml:space="preserve"> </w:t>
            </w:r>
            <w:r>
              <w:rPr>
                <w:rFonts w:ascii="Consolas" w:eastAsia="Consolas" w:hAnsi="Consolas" w:cs="Consolas"/>
                <w:sz w:val="22"/>
                <w:szCs w:val="22"/>
                <w:shd w:val="clear" w:color="auto" w:fill="EAEEF3"/>
              </w:rPr>
              <w:t>P</w:t>
            </w:r>
            <w:r>
              <w:t xml:space="preserve"> est réflexive si son </w:t>
            </w:r>
            <w:hyperlink r:id="rId170" w:anchor="domaine">
              <w:r>
                <w:rPr>
                  <w:color w:val="4F81BD"/>
                </w:rPr>
                <w:t>domaine</w:t>
              </w:r>
            </w:hyperlink>
            <w:r>
              <w:t xml:space="preserve"> et sa </w:t>
            </w:r>
            <w:hyperlink r:id="rId171" w:anchor="portee">
              <w:r>
                <w:rPr>
                  <w:color w:val="4F81BD"/>
                </w:rPr>
                <w:t>portée</w:t>
              </w:r>
            </w:hyperlink>
            <w:r>
              <w:t xml:space="preserve"> sont la même </w:t>
            </w:r>
            <w:hyperlink r:id="rId172" w:anchor="classe">
              <w:r>
                <w:rPr>
                  <w:color w:val="4F81BD"/>
                </w:rPr>
                <w:t>classe</w:t>
              </w:r>
            </w:hyperlink>
            <w:r>
              <w:t xml:space="preserve">, et que pour toutes les </w:t>
            </w:r>
            <w:hyperlink r:id="rId173" w:anchor="instance">
              <w:r>
                <w:rPr>
                  <w:color w:val="4F81BD"/>
                </w:rPr>
                <w:t>instances</w:t>
              </w:r>
            </w:hyperlink>
            <w:r>
              <w:t xml:space="preserve"> </w:t>
            </w:r>
            <w:r>
              <w:rPr>
                <w:rFonts w:ascii="Consolas" w:eastAsia="Consolas" w:hAnsi="Consolas" w:cs="Consolas"/>
                <w:sz w:val="22"/>
                <w:szCs w:val="22"/>
                <w:shd w:val="clear" w:color="auto" w:fill="EAEEF3"/>
              </w:rPr>
              <w:t>x</w:t>
            </w:r>
            <w:r>
              <w:t xml:space="preserve">, </w:t>
            </w:r>
            <w:r>
              <w:rPr>
                <w:rFonts w:ascii="Consolas" w:eastAsia="Consolas" w:hAnsi="Consolas" w:cs="Consolas"/>
                <w:sz w:val="22"/>
                <w:szCs w:val="22"/>
                <w:shd w:val="clear" w:color="auto" w:fill="EAEEF3"/>
              </w:rPr>
              <w:t>y</w:t>
            </w:r>
            <w:r>
              <w:t xml:space="preserve">, </w:t>
            </w:r>
            <w:r>
              <w:rPr>
                <w:rFonts w:ascii="Consolas" w:eastAsia="Consolas" w:hAnsi="Consolas" w:cs="Consolas"/>
                <w:sz w:val="22"/>
                <w:szCs w:val="22"/>
                <w:shd w:val="clear" w:color="auto" w:fill="EAEEF3"/>
              </w:rPr>
              <w:t>z</w:t>
            </w:r>
            <w:r>
              <w:t xml:space="preserve"> de cette classe si </w:t>
            </w:r>
            <w:r>
              <w:rPr>
                <w:rFonts w:ascii="Consolas" w:eastAsia="Consolas" w:hAnsi="Consolas" w:cs="Consolas"/>
                <w:sz w:val="22"/>
                <w:szCs w:val="22"/>
                <w:shd w:val="clear" w:color="auto" w:fill="EAEEF3"/>
              </w:rPr>
              <w:t>x</w:t>
            </w:r>
            <w:r>
              <w:t xml:space="preserve"> est relié par </w:t>
            </w:r>
            <w:r>
              <w:rPr>
                <w:rFonts w:ascii="Consolas" w:eastAsia="Consolas" w:hAnsi="Consolas" w:cs="Consolas"/>
                <w:sz w:val="22"/>
                <w:szCs w:val="22"/>
                <w:shd w:val="clear" w:color="auto" w:fill="EAEEF3"/>
              </w:rPr>
              <w:t>P</w:t>
            </w:r>
            <w:r>
              <w:t xml:space="preserve"> à </w:t>
            </w:r>
            <w:r>
              <w:rPr>
                <w:rFonts w:ascii="Consolas" w:eastAsia="Consolas" w:hAnsi="Consolas" w:cs="Consolas"/>
                <w:sz w:val="22"/>
                <w:szCs w:val="22"/>
                <w:shd w:val="clear" w:color="auto" w:fill="EAEEF3"/>
              </w:rPr>
              <w:t>y</w:t>
            </w:r>
            <w:r>
              <w:t xml:space="preserve"> et que </w:t>
            </w:r>
            <w:r>
              <w:rPr>
                <w:rFonts w:ascii="Consolas" w:eastAsia="Consolas" w:hAnsi="Consolas" w:cs="Consolas"/>
                <w:sz w:val="22"/>
                <w:szCs w:val="22"/>
                <w:shd w:val="clear" w:color="auto" w:fill="EAEEF3"/>
              </w:rPr>
              <w:t>y</w:t>
            </w:r>
            <w:r>
              <w:t xml:space="preserve"> est relié par </w:t>
            </w:r>
            <w:r>
              <w:rPr>
                <w:rFonts w:ascii="Consolas" w:eastAsia="Consolas" w:hAnsi="Consolas" w:cs="Consolas"/>
                <w:sz w:val="22"/>
                <w:szCs w:val="22"/>
                <w:shd w:val="clear" w:color="auto" w:fill="EAEEF3"/>
              </w:rPr>
              <w:t>P</w:t>
            </w:r>
            <w:r>
              <w:t xml:space="preserve"> à </w:t>
            </w:r>
            <w:r>
              <w:rPr>
                <w:rFonts w:ascii="Consolas" w:eastAsia="Consolas" w:hAnsi="Consolas" w:cs="Consolas"/>
                <w:sz w:val="22"/>
                <w:szCs w:val="22"/>
                <w:shd w:val="clear" w:color="auto" w:fill="EAEEF3"/>
              </w:rPr>
              <w:t>z</w:t>
            </w:r>
            <w:r>
              <w:t xml:space="preserve">, alors </w:t>
            </w:r>
            <w:r>
              <w:rPr>
                <w:rFonts w:ascii="Consolas" w:eastAsia="Consolas" w:hAnsi="Consolas" w:cs="Consolas"/>
                <w:sz w:val="22"/>
                <w:szCs w:val="22"/>
                <w:shd w:val="clear" w:color="auto" w:fill="EAEEF3"/>
              </w:rPr>
              <w:t>x</w:t>
            </w:r>
            <w:r>
              <w:t xml:space="preserve"> est relié par </w:t>
            </w:r>
            <w:r>
              <w:rPr>
                <w:rFonts w:ascii="Consolas" w:eastAsia="Consolas" w:hAnsi="Consolas" w:cs="Consolas"/>
                <w:sz w:val="22"/>
                <w:szCs w:val="22"/>
                <w:shd w:val="clear" w:color="auto" w:fill="EAEEF3"/>
              </w:rPr>
              <w:t>P</w:t>
            </w:r>
            <w:r>
              <w:t xml:space="preserve"> à </w:t>
            </w:r>
            <w:r>
              <w:rPr>
                <w:rFonts w:ascii="Consolas" w:eastAsia="Consolas" w:hAnsi="Consolas" w:cs="Consolas"/>
                <w:sz w:val="22"/>
                <w:szCs w:val="22"/>
                <w:shd w:val="clear" w:color="auto" w:fill="EAEEF3"/>
              </w:rPr>
              <w:t>z</w:t>
            </w:r>
            <w:r>
              <w:t xml:space="preserve">. L’intention de la propriété telle qu’elle </w:t>
            </w:r>
            <w:proofErr w:type="gramStart"/>
            <w:r>
              <w:t>est</w:t>
            </w:r>
            <w:proofErr w:type="gramEnd"/>
            <w:r>
              <w:t xml:space="preserve"> établie dans sa </w:t>
            </w:r>
            <w:hyperlink r:id="rId174" w:anchor="note-dapplication">
              <w:r>
                <w:rPr>
                  <w:color w:val="4F81BD"/>
                </w:rPr>
                <w:t>note d’application</w:t>
              </w:r>
            </w:hyperlink>
            <w:r>
              <w:t xml:space="preserve"> détermine si elle est transitive ou non. Par exemple, la propriété </w:t>
            </w:r>
            <w:r>
              <w:rPr>
                <w:rFonts w:ascii="Consolas" w:eastAsia="Consolas" w:hAnsi="Consolas" w:cs="Consolas"/>
                <w:sz w:val="22"/>
                <w:szCs w:val="22"/>
                <w:shd w:val="clear" w:color="auto" w:fill="EAEEF3"/>
              </w:rPr>
              <w:t>P121_se_superpose_partiellement_à</w:t>
            </w:r>
            <w:r>
              <w:t xml:space="preserve"> entre des instances de </w:t>
            </w:r>
            <w:r>
              <w:rPr>
                <w:rFonts w:ascii="Consolas" w:eastAsia="Consolas" w:hAnsi="Consolas" w:cs="Consolas"/>
                <w:sz w:val="22"/>
                <w:szCs w:val="22"/>
                <w:shd w:val="clear" w:color="auto" w:fill="EAEEF3"/>
              </w:rPr>
              <w:t>E53_Lieu</w:t>
            </w:r>
            <w:r>
              <w:t xml:space="preserve"> n’est pas transitive alors que la propriété </w:t>
            </w:r>
            <w:r>
              <w:rPr>
                <w:rFonts w:ascii="Consolas" w:eastAsia="Consolas" w:hAnsi="Consolas" w:cs="Consolas"/>
                <w:sz w:val="22"/>
                <w:szCs w:val="22"/>
                <w:shd w:val="clear" w:color="auto" w:fill="EAEEF3"/>
              </w:rPr>
              <w:t>P89_s’insère_dans (contient)</w:t>
            </w:r>
            <w:r>
              <w:t xml:space="preserve"> entre des instances de </w:t>
            </w:r>
            <w:r>
              <w:rPr>
                <w:rFonts w:ascii="Consolas" w:eastAsia="Consolas" w:hAnsi="Consolas" w:cs="Consolas"/>
                <w:sz w:val="22"/>
                <w:szCs w:val="22"/>
                <w:shd w:val="clear" w:color="auto" w:fill="EAEEF3"/>
              </w:rPr>
              <w:t>E53_Lieu</w:t>
            </w:r>
            <w:r>
              <w:t xml:space="preserve"> et la propriété </w:t>
            </w:r>
            <w:r>
              <w:rPr>
                <w:rFonts w:ascii="Consolas" w:eastAsia="Consolas" w:hAnsi="Consolas" w:cs="Consolas"/>
                <w:sz w:val="22"/>
                <w:szCs w:val="22"/>
                <w:shd w:val="clear" w:color="auto" w:fill="EAEEF3"/>
              </w:rPr>
              <w:t>P46_est_composé_de (fait_partie_de)</w:t>
            </w:r>
            <w:r>
              <w:t xml:space="preserve"> entre des instances de </w:t>
            </w:r>
            <w:r>
              <w:rPr>
                <w:rFonts w:ascii="Consolas" w:eastAsia="Consolas" w:hAnsi="Consolas" w:cs="Consolas"/>
                <w:sz w:val="22"/>
                <w:szCs w:val="22"/>
                <w:shd w:val="clear" w:color="auto" w:fill="EAEEF3"/>
              </w:rPr>
              <w:t>E18_Chose_matérielle</w:t>
            </w:r>
            <w:r>
              <w:t xml:space="preserve"> sont toutes deux transitives. La transitivité est particulièrement utile lors de l’implémentation de CIDOC CRM dans un système qui utilise la déduction logique.</w:t>
            </w:r>
          </w:p>
          <w:p w14:paraId="6CA18CEA" w14:textId="77777777" w:rsidR="00BF18CF" w:rsidRDefault="00E51347">
            <w:r>
              <w:t xml:space="preserve">[n.d.t. voir </w:t>
            </w:r>
            <w:hyperlink r:id="rId175" w:anchor="de-lheritage-et-de-la-transitivite">
              <w:r>
                <w:rPr>
                  <w:color w:val="4F81BD"/>
                </w:rPr>
                <w:t>De l’héritage et de la transitivité</w:t>
              </w:r>
            </w:hyperlink>
            <w:r>
              <w:t xml:space="preserve"> dans les </w:t>
            </w:r>
            <w:hyperlink r:id="rId176">
              <w:r>
                <w:rPr>
                  <w:color w:val="4F81BD"/>
                </w:rPr>
                <w:t>Principes de modélisation</w:t>
              </w:r>
            </w:hyperlink>
            <w:r>
              <w:t>].</w:t>
            </w:r>
          </w:p>
        </w:tc>
      </w:tr>
      <w:tr w:rsidR="00BF18CF" w14:paraId="76BBB88C" w14:textId="77777777" w:rsidTr="005675C3">
        <w:tc>
          <w:tcPr>
            <w:tcW w:w="1975" w:type="dxa"/>
          </w:tcPr>
          <w:p w14:paraId="1F35F9F5" w14:textId="61A273E0" w:rsidR="00BF18CF" w:rsidRDefault="00F27208">
            <w:r>
              <w:rPr>
                <w:i/>
              </w:rPr>
              <w:t>Note de traduction</w:t>
            </w:r>
          </w:p>
        </w:tc>
        <w:tc>
          <w:tcPr>
            <w:tcW w:w="8715" w:type="dxa"/>
          </w:tcPr>
          <w:p w14:paraId="74C2F847" w14:textId="77777777" w:rsidR="00BF18CF" w:rsidRDefault="00BF18CF">
            <w:pPr>
              <w:pBdr>
                <w:top w:val="nil"/>
                <w:left w:val="nil"/>
                <w:bottom w:val="nil"/>
                <w:right w:val="nil"/>
                <w:between w:val="nil"/>
              </w:pBdr>
              <w:spacing w:before="36" w:after="36"/>
              <w:rPr>
                <w:color w:val="000000"/>
              </w:rPr>
            </w:pPr>
          </w:p>
        </w:tc>
      </w:tr>
      <w:tr w:rsidR="00BF18CF" w14:paraId="10770005" w14:textId="77777777" w:rsidTr="005675C3">
        <w:tc>
          <w:tcPr>
            <w:tcW w:w="1975" w:type="dxa"/>
          </w:tcPr>
          <w:p w14:paraId="1AA3BD56" w14:textId="77777777" w:rsidR="00BF18CF" w:rsidRDefault="00E51347">
            <w:r>
              <w:rPr>
                <w:i/>
              </w:rPr>
              <w:t>Références</w:t>
            </w:r>
          </w:p>
        </w:tc>
        <w:tc>
          <w:tcPr>
            <w:tcW w:w="8715" w:type="dxa"/>
          </w:tcPr>
          <w:p w14:paraId="16A34411" w14:textId="77777777" w:rsidR="00BF18CF" w:rsidRDefault="00BF18CF">
            <w:pPr>
              <w:pBdr>
                <w:top w:val="nil"/>
                <w:left w:val="nil"/>
                <w:bottom w:val="nil"/>
                <w:right w:val="nil"/>
                <w:between w:val="nil"/>
              </w:pBdr>
              <w:spacing w:before="36" w:after="36"/>
              <w:rPr>
                <w:color w:val="000000"/>
              </w:rPr>
            </w:pPr>
          </w:p>
        </w:tc>
      </w:tr>
      <w:tr w:rsidR="00BF18CF" w14:paraId="23843AED" w14:textId="77777777" w:rsidTr="005675C3">
        <w:tc>
          <w:tcPr>
            <w:tcW w:w="1975" w:type="dxa"/>
          </w:tcPr>
          <w:p w14:paraId="40486A00" w14:textId="77777777" w:rsidR="00BF18CF" w:rsidRDefault="00BF18CF">
            <w:pPr>
              <w:pBdr>
                <w:top w:val="nil"/>
                <w:left w:val="nil"/>
                <w:bottom w:val="nil"/>
                <w:right w:val="nil"/>
                <w:between w:val="nil"/>
              </w:pBdr>
              <w:spacing w:before="36" w:after="36"/>
              <w:rPr>
                <w:color w:val="000000"/>
              </w:rPr>
            </w:pPr>
            <w:bookmarkStart w:id="45" w:name="bookmark=id.32hioqz" w:colFirst="0" w:colLast="0"/>
            <w:bookmarkEnd w:id="45"/>
          </w:p>
          <w:p w14:paraId="351765F5" w14:textId="77777777" w:rsidR="00BF18CF" w:rsidRDefault="00E51347">
            <w:r>
              <w:t>Symétrie</w:t>
            </w:r>
          </w:p>
        </w:tc>
        <w:tc>
          <w:tcPr>
            <w:tcW w:w="8715" w:type="dxa"/>
          </w:tcPr>
          <w:p w14:paraId="5DAF2751" w14:textId="77777777" w:rsidR="00BF18CF" w:rsidRDefault="00E51347">
            <w:r>
              <w:t xml:space="preserve">La symétrie (définie selon des principes mathématiques et logiques) signifie qu’une </w:t>
            </w:r>
            <w:hyperlink r:id="rId177" w:anchor="propriete">
              <w:r>
                <w:rPr>
                  <w:color w:val="4F81BD"/>
                </w:rPr>
                <w:t>propriété</w:t>
              </w:r>
            </w:hyperlink>
            <w:r>
              <w:t xml:space="preserve"> </w:t>
            </w:r>
            <w:r>
              <w:rPr>
                <w:rFonts w:ascii="Consolas" w:eastAsia="Consolas" w:hAnsi="Consolas" w:cs="Consolas"/>
                <w:sz w:val="22"/>
                <w:szCs w:val="22"/>
                <w:shd w:val="clear" w:color="auto" w:fill="EAEEF3"/>
              </w:rPr>
              <w:t>P</w:t>
            </w:r>
            <w:r>
              <w:t xml:space="preserve"> est symétrique si son </w:t>
            </w:r>
            <w:hyperlink r:id="rId178" w:anchor="domaine">
              <w:r>
                <w:rPr>
                  <w:color w:val="4F81BD"/>
                </w:rPr>
                <w:t>domaine</w:t>
              </w:r>
            </w:hyperlink>
            <w:r>
              <w:t xml:space="preserve"> et sa </w:t>
            </w:r>
            <w:hyperlink r:id="rId179" w:anchor="portee">
              <w:r>
                <w:rPr>
                  <w:color w:val="4F81BD"/>
                </w:rPr>
                <w:t>portée</w:t>
              </w:r>
            </w:hyperlink>
            <w:r>
              <w:t xml:space="preserve"> sont la même </w:t>
            </w:r>
            <w:hyperlink r:id="rId180" w:anchor="classe">
              <w:r>
                <w:rPr>
                  <w:color w:val="4F81BD"/>
                </w:rPr>
                <w:t>classe</w:t>
              </w:r>
            </w:hyperlink>
            <w:r>
              <w:t xml:space="preserve">, et que pour toutes les </w:t>
            </w:r>
            <w:hyperlink r:id="rId181" w:anchor="instance">
              <w:r>
                <w:rPr>
                  <w:color w:val="4F81BD"/>
                </w:rPr>
                <w:t>instances</w:t>
              </w:r>
            </w:hyperlink>
            <w:r>
              <w:t xml:space="preserve"> </w:t>
            </w:r>
            <w:r>
              <w:rPr>
                <w:rFonts w:ascii="Consolas" w:eastAsia="Consolas" w:hAnsi="Consolas" w:cs="Consolas"/>
                <w:sz w:val="22"/>
                <w:szCs w:val="22"/>
                <w:shd w:val="clear" w:color="auto" w:fill="EAEEF3"/>
              </w:rPr>
              <w:t>x, y</w:t>
            </w:r>
            <w:r>
              <w:t xml:space="preserve"> de cette classe si </w:t>
            </w:r>
            <w:r>
              <w:rPr>
                <w:rFonts w:ascii="Consolas" w:eastAsia="Consolas" w:hAnsi="Consolas" w:cs="Consolas"/>
                <w:sz w:val="22"/>
                <w:szCs w:val="22"/>
                <w:shd w:val="clear" w:color="auto" w:fill="EAEEF3"/>
              </w:rPr>
              <w:t>x</w:t>
            </w:r>
            <w:r>
              <w:t xml:space="preserve"> est relié par </w:t>
            </w:r>
            <w:r>
              <w:rPr>
                <w:rFonts w:ascii="Consolas" w:eastAsia="Consolas" w:hAnsi="Consolas" w:cs="Consolas"/>
                <w:sz w:val="22"/>
                <w:szCs w:val="22"/>
                <w:shd w:val="clear" w:color="auto" w:fill="EAEEF3"/>
              </w:rPr>
              <w:t>P</w:t>
            </w:r>
            <w:r>
              <w:t xml:space="preserve"> à </w:t>
            </w:r>
            <w:r>
              <w:rPr>
                <w:rFonts w:ascii="Consolas" w:eastAsia="Consolas" w:hAnsi="Consolas" w:cs="Consolas"/>
                <w:sz w:val="22"/>
                <w:szCs w:val="22"/>
                <w:shd w:val="clear" w:color="auto" w:fill="EAEEF3"/>
              </w:rPr>
              <w:t>y</w:t>
            </w:r>
            <w:r>
              <w:t xml:space="preserve">, alors </w:t>
            </w:r>
            <w:r>
              <w:rPr>
                <w:rFonts w:ascii="Consolas" w:eastAsia="Consolas" w:hAnsi="Consolas" w:cs="Consolas"/>
                <w:sz w:val="22"/>
                <w:szCs w:val="22"/>
                <w:shd w:val="clear" w:color="auto" w:fill="EAEEF3"/>
              </w:rPr>
              <w:t>y</w:t>
            </w:r>
            <w:r>
              <w:t xml:space="preserve"> est relié par </w:t>
            </w:r>
            <w:r>
              <w:rPr>
                <w:rFonts w:ascii="Consolas" w:eastAsia="Consolas" w:hAnsi="Consolas" w:cs="Consolas"/>
                <w:sz w:val="22"/>
                <w:szCs w:val="22"/>
                <w:shd w:val="clear" w:color="auto" w:fill="EAEEF3"/>
              </w:rPr>
              <w:t>P</w:t>
            </w:r>
            <w:r>
              <w:t xml:space="preserve"> à </w:t>
            </w:r>
            <w:r>
              <w:rPr>
                <w:rFonts w:ascii="Consolas" w:eastAsia="Consolas" w:hAnsi="Consolas" w:cs="Consolas"/>
                <w:sz w:val="22"/>
                <w:szCs w:val="22"/>
                <w:shd w:val="clear" w:color="auto" w:fill="EAEEF3"/>
              </w:rPr>
              <w:t>x</w:t>
            </w:r>
            <w:r>
              <w:t xml:space="preserve">. L’intention de la propriété (telle qu’elle est établie dans sa </w:t>
            </w:r>
            <w:hyperlink r:id="rId182" w:anchor="note-dapplication">
              <w:r>
                <w:rPr>
                  <w:color w:val="4F81BD"/>
                </w:rPr>
                <w:t>note d’application</w:t>
              </w:r>
            </w:hyperlink>
            <w:r>
              <w:t xml:space="preserve">) détermine si elle est symétrique ou non. Un exemple de propriété symétrique est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P122_est_limitrophe_de</w:t>
            </w:r>
            <w:r>
              <w:t xml:space="preserve"> : </w:t>
            </w:r>
            <w:r>
              <w:rPr>
                <w:rFonts w:ascii="Consolas" w:eastAsia="Consolas" w:hAnsi="Consolas" w:cs="Consolas"/>
                <w:sz w:val="22"/>
                <w:szCs w:val="22"/>
                <w:shd w:val="clear" w:color="auto" w:fill="EAEEF3"/>
              </w:rPr>
              <w:t>E53_Lieu</w:t>
            </w:r>
            <w:r>
              <w:t>. Les noms de propriétés symétriques n’ont pas de forme parenthétique, car les lire depuis la portée vers le domaine revient au même que les lire depuis le domaine vers la portée.</w:t>
            </w:r>
          </w:p>
        </w:tc>
      </w:tr>
      <w:tr w:rsidR="00BF18CF" w14:paraId="5C7D276A" w14:textId="77777777" w:rsidTr="005675C3">
        <w:tc>
          <w:tcPr>
            <w:tcW w:w="1975" w:type="dxa"/>
          </w:tcPr>
          <w:p w14:paraId="22D54A2D" w14:textId="46F04F7E" w:rsidR="00BF18CF" w:rsidRDefault="00F27208">
            <w:r>
              <w:rPr>
                <w:i/>
              </w:rPr>
              <w:t>Note de traduction</w:t>
            </w:r>
          </w:p>
        </w:tc>
        <w:tc>
          <w:tcPr>
            <w:tcW w:w="8715" w:type="dxa"/>
          </w:tcPr>
          <w:p w14:paraId="6B8B5D0A" w14:textId="77777777" w:rsidR="00BF18CF" w:rsidRDefault="00BF18CF">
            <w:pPr>
              <w:pBdr>
                <w:top w:val="nil"/>
                <w:left w:val="nil"/>
                <w:bottom w:val="nil"/>
                <w:right w:val="nil"/>
                <w:between w:val="nil"/>
              </w:pBdr>
              <w:spacing w:before="36" w:after="36"/>
              <w:rPr>
                <w:color w:val="000000"/>
              </w:rPr>
            </w:pPr>
          </w:p>
        </w:tc>
      </w:tr>
      <w:tr w:rsidR="00BF18CF" w14:paraId="453B873D" w14:textId="77777777" w:rsidTr="005675C3">
        <w:tc>
          <w:tcPr>
            <w:tcW w:w="1975" w:type="dxa"/>
          </w:tcPr>
          <w:p w14:paraId="485E052B" w14:textId="77777777" w:rsidR="00BF18CF" w:rsidRDefault="00E51347">
            <w:r>
              <w:rPr>
                <w:i/>
              </w:rPr>
              <w:t>Références</w:t>
            </w:r>
          </w:p>
        </w:tc>
        <w:tc>
          <w:tcPr>
            <w:tcW w:w="8715" w:type="dxa"/>
          </w:tcPr>
          <w:p w14:paraId="59F91F88" w14:textId="77777777" w:rsidR="00BF18CF" w:rsidRDefault="00BF18CF">
            <w:pPr>
              <w:pBdr>
                <w:top w:val="nil"/>
                <w:left w:val="nil"/>
                <w:bottom w:val="nil"/>
                <w:right w:val="nil"/>
                <w:between w:val="nil"/>
              </w:pBdr>
              <w:spacing w:before="36" w:after="36"/>
              <w:rPr>
                <w:color w:val="000000"/>
              </w:rPr>
            </w:pPr>
          </w:p>
        </w:tc>
      </w:tr>
      <w:tr w:rsidR="00BF18CF" w14:paraId="0076AD6A" w14:textId="77777777" w:rsidTr="005675C3">
        <w:tc>
          <w:tcPr>
            <w:tcW w:w="1975" w:type="dxa"/>
          </w:tcPr>
          <w:p w14:paraId="17BFF90B" w14:textId="77777777" w:rsidR="00BF18CF" w:rsidRDefault="00BF18CF">
            <w:pPr>
              <w:pBdr>
                <w:top w:val="nil"/>
                <w:left w:val="nil"/>
                <w:bottom w:val="nil"/>
                <w:right w:val="nil"/>
                <w:between w:val="nil"/>
              </w:pBdr>
              <w:spacing w:before="36" w:after="36"/>
              <w:rPr>
                <w:color w:val="000000"/>
              </w:rPr>
            </w:pPr>
            <w:bookmarkStart w:id="46" w:name="bookmark=id.1hmsyys" w:colFirst="0" w:colLast="0"/>
            <w:bookmarkEnd w:id="46"/>
          </w:p>
          <w:p w14:paraId="3AC1D238" w14:textId="77777777" w:rsidR="00BF18CF" w:rsidRDefault="00E51347">
            <w:r>
              <w:t>Réflexivité</w:t>
            </w:r>
          </w:p>
        </w:tc>
        <w:tc>
          <w:tcPr>
            <w:tcW w:w="8715" w:type="dxa"/>
          </w:tcPr>
          <w:p w14:paraId="38AA832A" w14:textId="77777777" w:rsidR="00BF18CF" w:rsidRDefault="00E51347">
            <w:r>
              <w:t xml:space="preserve">La réflexivité (définie selon des principes mathématiques et logiques standards) signifie qu’une </w:t>
            </w:r>
            <w:hyperlink r:id="rId183" w:anchor="propriete">
              <w:r>
                <w:rPr>
                  <w:color w:val="4F81BD"/>
                </w:rPr>
                <w:t>propriété</w:t>
              </w:r>
            </w:hyperlink>
            <w:r>
              <w:t xml:space="preserve"> </w:t>
            </w:r>
            <w:r>
              <w:rPr>
                <w:rFonts w:ascii="Consolas" w:eastAsia="Consolas" w:hAnsi="Consolas" w:cs="Consolas"/>
                <w:sz w:val="22"/>
                <w:szCs w:val="22"/>
                <w:shd w:val="clear" w:color="auto" w:fill="EAEEF3"/>
              </w:rPr>
              <w:t>P</w:t>
            </w:r>
            <w:r>
              <w:t xml:space="preserve"> est réflexive si son </w:t>
            </w:r>
            <w:hyperlink r:id="rId184" w:anchor="domaine">
              <w:r>
                <w:rPr>
                  <w:color w:val="4F81BD"/>
                </w:rPr>
                <w:t>domaine</w:t>
              </w:r>
            </w:hyperlink>
            <w:r>
              <w:t xml:space="preserve"> et sa </w:t>
            </w:r>
            <w:hyperlink r:id="rId185" w:anchor="portee">
              <w:r>
                <w:rPr>
                  <w:color w:val="4F81BD"/>
                </w:rPr>
                <w:t>portée</w:t>
              </w:r>
            </w:hyperlink>
            <w:r>
              <w:t xml:space="preserve"> sont la même </w:t>
            </w:r>
            <w:hyperlink r:id="rId186" w:anchor="classe">
              <w:r>
                <w:rPr>
                  <w:color w:val="4F81BD"/>
                </w:rPr>
                <w:t>classe</w:t>
              </w:r>
            </w:hyperlink>
            <w:r>
              <w:t xml:space="preserve">, et que pour toutes les </w:t>
            </w:r>
            <w:hyperlink r:id="rId187" w:anchor="instance">
              <w:r>
                <w:rPr>
                  <w:color w:val="4F81BD"/>
                </w:rPr>
                <w:t>instances</w:t>
              </w:r>
            </w:hyperlink>
            <w:r>
              <w:t xml:space="preserve"> </w:t>
            </w:r>
            <w:r>
              <w:rPr>
                <w:rFonts w:ascii="Consolas" w:eastAsia="Consolas" w:hAnsi="Consolas" w:cs="Consolas"/>
                <w:sz w:val="22"/>
                <w:szCs w:val="22"/>
                <w:shd w:val="clear" w:color="auto" w:fill="EAEEF3"/>
              </w:rPr>
              <w:t>x</w:t>
            </w:r>
            <w:r>
              <w:t xml:space="preserve"> de cette classe </w:t>
            </w:r>
            <w:r>
              <w:rPr>
                <w:rFonts w:ascii="Consolas" w:eastAsia="Consolas" w:hAnsi="Consolas" w:cs="Consolas"/>
                <w:sz w:val="22"/>
                <w:szCs w:val="22"/>
                <w:shd w:val="clear" w:color="auto" w:fill="EAEEF3"/>
              </w:rPr>
              <w:t>x</w:t>
            </w:r>
            <w:r>
              <w:t xml:space="preserve"> est relié à lui-même par </w:t>
            </w:r>
            <w:r>
              <w:rPr>
                <w:rFonts w:ascii="Consolas" w:eastAsia="Consolas" w:hAnsi="Consolas" w:cs="Consolas"/>
                <w:sz w:val="22"/>
                <w:szCs w:val="22"/>
                <w:shd w:val="clear" w:color="auto" w:fill="EAEEF3"/>
              </w:rPr>
              <w:t>P</w:t>
            </w:r>
            <w:r>
              <w:t xml:space="preserve">. L’intention de la propriété (telle qu’elle est établie dans sa note d’application) détermine si elle réflexive ou non. Un exemple de propriété réflexive est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P89_s’insère_dans (contient)</w:t>
            </w:r>
            <w:r>
              <w:t xml:space="preserve"> : </w:t>
            </w:r>
            <w:r>
              <w:rPr>
                <w:rFonts w:ascii="Consolas" w:eastAsia="Consolas" w:hAnsi="Consolas" w:cs="Consolas"/>
                <w:sz w:val="22"/>
                <w:szCs w:val="22"/>
                <w:shd w:val="clear" w:color="auto" w:fill="EAEEF3"/>
              </w:rPr>
              <w:t>E53_Lieu</w:t>
            </w:r>
            <w:r>
              <w:t>.</w:t>
            </w:r>
          </w:p>
        </w:tc>
      </w:tr>
      <w:tr w:rsidR="00BF18CF" w14:paraId="49A013CF" w14:textId="77777777" w:rsidTr="005675C3">
        <w:tc>
          <w:tcPr>
            <w:tcW w:w="1975" w:type="dxa"/>
          </w:tcPr>
          <w:p w14:paraId="63E7761A" w14:textId="394050C7" w:rsidR="00BF18CF" w:rsidRDefault="00F27208">
            <w:r>
              <w:rPr>
                <w:i/>
              </w:rPr>
              <w:t>Note de traduction</w:t>
            </w:r>
          </w:p>
        </w:tc>
        <w:tc>
          <w:tcPr>
            <w:tcW w:w="8715" w:type="dxa"/>
          </w:tcPr>
          <w:p w14:paraId="41AA9EEF" w14:textId="77777777" w:rsidR="00BF18CF" w:rsidRDefault="00BF18CF">
            <w:pPr>
              <w:pBdr>
                <w:top w:val="nil"/>
                <w:left w:val="nil"/>
                <w:bottom w:val="nil"/>
                <w:right w:val="nil"/>
                <w:between w:val="nil"/>
              </w:pBdr>
              <w:spacing w:before="36" w:after="36"/>
              <w:rPr>
                <w:color w:val="000000"/>
              </w:rPr>
            </w:pPr>
          </w:p>
        </w:tc>
      </w:tr>
      <w:tr w:rsidR="00BF18CF" w14:paraId="11F58771" w14:textId="77777777" w:rsidTr="005675C3">
        <w:tc>
          <w:tcPr>
            <w:tcW w:w="1975" w:type="dxa"/>
          </w:tcPr>
          <w:p w14:paraId="1D24D600" w14:textId="77777777" w:rsidR="00BF18CF" w:rsidRDefault="00E51347">
            <w:r>
              <w:rPr>
                <w:i/>
              </w:rPr>
              <w:t>Références</w:t>
            </w:r>
          </w:p>
        </w:tc>
        <w:tc>
          <w:tcPr>
            <w:tcW w:w="8715" w:type="dxa"/>
          </w:tcPr>
          <w:p w14:paraId="293283C3" w14:textId="77777777" w:rsidR="00BF18CF" w:rsidRDefault="00BF18CF">
            <w:pPr>
              <w:pBdr>
                <w:top w:val="nil"/>
                <w:left w:val="nil"/>
                <w:bottom w:val="nil"/>
                <w:right w:val="nil"/>
                <w:between w:val="nil"/>
              </w:pBdr>
              <w:spacing w:before="36" w:after="36"/>
              <w:rPr>
                <w:color w:val="000000"/>
              </w:rPr>
            </w:pPr>
          </w:p>
        </w:tc>
      </w:tr>
    </w:tbl>
    <w:p w14:paraId="1359A4FD" w14:textId="77777777" w:rsidR="00BF18CF" w:rsidRDefault="00E51347">
      <w:pPr>
        <w:pStyle w:val="Heading1"/>
      </w:pPr>
      <w:bookmarkStart w:id="47" w:name="bookmark=id.41mghml" w:colFirst="0" w:colLast="0"/>
      <w:bookmarkStart w:id="48" w:name="_Toc144360768"/>
      <w:bookmarkEnd w:id="47"/>
      <w:r>
        <w:t>Compatibilité avec le CIDOC CRM</w:t>
      </w:r>
      <w:bookmarkEnd w:id="48"/>
    </w:p>
    <w:tbl>
      <w:tblPr>
        <w:tblStyle w:val="a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18FDE89E" w14:textId="77777777" w:rsidTr="00BF18CF">
        <w:tc>
          <w:tcPr>
            <w:tcW w:w="10690" w:type="dxa"/>
          </w:tcPr>
          <w:p w14:paraId="711B3475" w14:textId="77777777" w:rsidR="00BF18CF" w:rsidRDefault="00E51347">
            <w:r>
              <w:t>Les utilisateurs voulant tirer avantage de l’interopérabilité sémantique du CIDOC CRM devraient s’assurer de la conformité de leurs structures de données avec celui-ci. La conformité des données réfère à leur accessibilité dans le contexte d’un environnement [n.d.t. d’utilisateur] intégré ou de leur transfert vers d’autres environnements.</w:t>
            </w:r>
          </w:p>
          <w:p w14:paraId="3BB84F56" w14:textId="77777777" w:rsidR="00BF18CF" w:rsidRDefault="00E51347">
            <w:r>
              <w:t>Tout encodage de données dans un langage formel qui maintient les relations des classes, des propriétés, ainsi que des règles d’</w:t>
            </w:r>
            <w:hyperlink r:id="rId188" w:anchor="heritage">
              <w:r>
                <w:rPr>
                  <w:color w:val="4F81BD"/>
                </w:rPr>
                <w:t>héritage</w:t>
              </w:r>
            </w:hyperlink>
            <w:r>
              <w:t xml:space="preserve"> définies par le CIDOC CRM est considéré y être conforme. </w:t>
            </w:r>
            <w:proofErr w:type="gramStart"/>
            <w:r>
              <w:t>Ceci dit</w:t>
            </w:r>
            <w:proofErr w:type="gramEnd"/>
            <w:r>
              <w:t>, cette conformité ne requiert pas une équivalence complète de toutes les structures de documentation locales, ni que tous les concepts et structures du CIDOC CRM ne soient implémentés.</w:t>
            </w:r>
          </w:p>
          <w:p w14:paraId="28C86033" w14:textId="77777777" w:rsidR="00BF18CF" w:rsidRDefault="00E51347">
            <w:r>
              <w:t xml:space="preserve">Ce standard international a pour objectif de permettre la mise en place d’extensions nécessaires pour saisir la richesse des phénomènes culturels et de leur documentation, et ce, tout en prônant la parcimonie. Un système est considéré partiellement conforme s’il soutient un sous-ensemble des </w:t>
            </w:r>
            <w:hyperlink r:id="rId189" w:anchor="sous-classe">
              <w:r>
                <w:rPr>
                  <w:color w:val="4F81BD"/>
                </w:rPr>
                <w:t>sous-classes</w:t>
              </w:r>
            </w:hyperlink>
            <w:r>
              <w:t xml:space="preserve"> et </w:t>
            </w:r>
            <w:hyperlink r:id="rId190" w:anchor="sous-propriete">
              <w:r>
                <w:rPr>
                  <w:color w:val="4F81BD"/>
                </w:rPr>
                <w:t xml:space="preserve">sous-propriétés </w:t>
              </w:r>
            </w:hyperlink>
            <w:r>
              <w:t>définies par ce standard. Les concepteurs de systèmes devraient publier le détail des construits qui sont supportés par leur système.</w:t>
            </w:r>
          </w:p>
          <w:p w14:paraId="2A1F42B8" w14:textId="77777777" w:rsidR="00BF18CF" w:rsidRDefault="00E51347">
            <w:r>
              <w:t>Le CIDOC CRM porte principalement sur l’échange et la médiation d’information structurée et n’exige pas l’interprétation d’information non structurée dans une forme logique. L’information non structurée peut être traitée par le CIDOC CRM, mais les résultats qui en découlent ne sont pas pris en compte dans l’évaluation de la conformité d’un système.</w:t>
            </w:r>
          </w:p>
          <w:p w14:paraId="0C4F5D8C" w14:textId="77777777" w:rsidR="00BF18CF" w:rsidRDefault="00E51347">
            <w:r>
              <w:lastRenderedPageBreak/>
              <w:t>Tout système documentaire sera considéré conforme [n.d.t. avec les règles du CIDOC CRM], peu importe les structures de données internes qu’il utilise, si des algorithmes peuvent transformer les données non structurées du système en une forme compatible avec le CIDOC CRM sans que la signification n’en soit affectée.</w:t>
            </w:r>
          </w:p>
          <w:p w14:paraId="5BC46906" w14:textId="77777777" w:rsidR="00BF18CF" w:rsidRDefault="00E51347">
            <w:r>
              <w:t>« Sans que la signification n’en soit affectée » signifie que les concepteurs et les utilisateurs du système considèrent que la représentation résultant de l’utilisation de cet algorithme correspond aux définitions sémantiques fournies dans ce standard.</w:t>
            </w:r>
          </w:p>
        </w:tc>
      </w:tr>
    </w:tbl>
    <w:p w14:paraId="5FD1BC47" w14:textId="77777777" w:rsidR="00BF18CF" w:rsidRDefault="00BF18CF"/>
    <w:tbl>
      <w:tblPr>
        <w:tblStyle w:val="a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612"/>
        <w:gridCol w:w="9078"/>
      </w:tblGrid>
      <w:tr w:rsidR="00BF18CF" w14:paraId="762B3224" w14:textId="77777777" w:rsidTr="00BF18CF">
        <w:tc>
          <w:tcPr>
            <w:tcW w:w="1612" w:type="dxa"/>
          </w:tcPr>
          <w:p w14:paraId="0C30E98E" w14:textId="6BFA096C" w:rsidR="00BF18CF" w:rsidRDefault="00F27208">
            <w:r>
              <w:rPr>
                <w:i/>
              </w:rPr>
              <w:t>Note de traduction</w:t>
            </w:r>
          </w:p>
        </w:tc>
        <w:tc>
          <w:tcPr>
            <w:tcW w:w="9078" w:type="dxa"/>
          </w:tcPr>
          <w:p w14:paraId="4B7CA66E" w14:textId="77777777" w:rsidR="00BF18CF" w:rsidRDefault="00E51347">
            <w:r>
              <w:t>Certains paragraphes ont été édités dans la version francophone à des fins de compréhension. Les sections concernées sont indiquées de [n.d.t. texte concerné].</w:t>
            </w:r>
          </w:p>
          <w:p w14:paraId="0809AC7F" w14:textId="77777777" w:rsidR="00BF18CF" w:rsidRDefault="00E51347">
            <w:r>
              <w:t>Le terme « construct » n’a pas d’équivalent français parfait, mais une recherche sommaire révèle que le terme « construit » (n.m.) semble répandu dans les domaines de la philosophie et de la sociologie et est celui dont le sens se rapproche le plus de la forme originale.</w:t>
            </w:r>
          </w:p>
        </w:tc>
      </w:tr>
      <w:tr w:rsidR="00BF18CF" w14:paraId="2A1EFAD0" w14:textId="77777777" w:rsidTr="00BF18CF">
        <w:tc>
          <w:tcPr>
            <w:tcW w:w="1612" w:type="dxa"/>
          </w:tcPr>
          <w:p w14:paraId="722F7D25" w14:textId="77777777" w:rsidR="00BF18CF" w:rsidRDefault="00E51347">
            <w:r>
              <w:rPr>
                <w:i/>
              </w:rPr>
              <w:t>Références</w:t>
            </w:r>
          </w:p>
        </w:tc>
        <w:tc>
          <w:tcPr>
            <w:tcW w:w="9078" w:type="dxa"/>
          </w:tcPr>
          <w:p w14:paraId="22E0EE34" w14:textId="77777777" w:rsidR="00BF18CF" w:rsidRDefault="00E51347">
            <w:r>
              <w:t xml:space="preserve">Termium. « </w:t>
            </w:r>
            <w:proofErr w:type="gramStart"/>
            <w:r>
              <w:t>construct</w:t>
            </w:r>
            <w:proofErr w:type="gramEnd"/>
            <w:r>
              <w:t xml:space="preserve"> ». Dans </w:t>
            </w:r>
            <w:r>
              <w:rPr>
                <w:i/>
              </w:rPr>
              <w:t>Termium Plus</w:t>
            </w:r>
            <w:r>
              <w:t>. Ottawa, CA-ON: Gouvernement du Canada, 8 octobre 2009.</w:t>
            </w:r>
            <w:hyperlink r:id="rId191" w:anchor="resultrecs">
              <w:r>
                <w:rPr>
                  <w:color w:val="4F81BD"/>
                </w:rPr>
                <w:t xml:space="preserve"> https://www.btb.termiumplus.gc.ca/tpv2alpha/alpha-fra.html?lang=fra&amp;i=1&amp;srchtxt=construct&amp;index=ent&amp;codom2nd_wet=1#resultrecs</w:t>
              </w:r>
            </w:hyperlink>
            <w:r>
              <w:t>.</w:t>
            </w:r>
          </w:p>
        </w:tc>
      </w:tr>
    </w:tbl>
    <w:p w14:paraId="0188C0B4" w14:textId="77777777" w:rsidR="00BF18CF" w:rsidRDefault="00E51347">
      <w:pPr>
        <w:pStyle w:val="Heading2"/>
      </w:pPr>
      <w:bookmarkStart w:id="49" w:name="bookmark=id.2grqrue" w:colFirst="0" w:colLast="0"/>
      <w:bookmarkStart w:id="50" w:name="_Toc144360769"/>
      <w:bookmarkEnd w:id="49"/>
      <w:r>
        <w:t>Quantificateurs de propriétés</w:t>
      </w:r>
      <w:bookmarkEnd w:id="50"/>
    </w:p>
    <w:tbl>
      <w:tblPr>
        <w:tblStyle w:val="a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3CB406B7" w14:textId="77777777" w:rsidTr="00BF18CF">
        <w:tc>
          <w:tcPr>
            <w:tcW w:w="10690" w:type="dxa"/>
          </w:tcPr>
          <w:p w14:paraId="76556346" w14:textId="77777777" w:rsidR="00BF18CF" w:rsidRDefault="00E51347">
            <w:r>
              <w:t xml:space="preserve">Les </w:t>
            </w:r>
            <w:hyperlink r:id="rId192" w:anchor="quantificateurs-de-propriete">
              <w:r>
                <w:rPr>
                  <w:color w:val="4F81BD"/>
                </w:rPr>
                <w:t>quantificateurs des propriétés</w:t>
              </w:r>
            </w:hyperlink>
            <w:r>
              <w:t xml:space="preserve"> sont présentés ici à des fins de clarification sémantique seulement et ne devraient </w:t>
            </w:r>
            <w:r>
              <w:rPr>
                <w:b/>
              </w:rPr>
              <w:t>pas</w:t>
            </w:r>
            <w:r>
              <w:t xml:space="preserve"> être considérés comme des recommandations d’implémentation. Le CIDOC CRM a été conçu afin d'accommoder des options alternatives ou des informations incomplètes [n.d.t. afin d’accommoder plusieurs interprétations ou compréhensions d’un même phénomène], de sorte que </w:t>
            </w:r>
            <w:r>
              <w:rPr>
                <w:b/>
              </w:rPr>
              <w:t>toutes</w:t>
            </w:r>
            <w:r>
              <w:t xml:space="preserve"> les </w:t>
            </w:r>
            <w:hyperlink r:id="rId193" w:anchor="propriete">
              <w:r>
                <w:rPr>
                  <w:color w:val="4F81BD"/>
                </w:rPr>
                <w:t>propriétés</w:t>
              </w:r>
            </w:hyperlink>
            <w:r>
              <w:t xml:space="preserve"> devraient être implémentées avec un </w:t>
            </w:r>
            <w:hyperlink r:id="rId194" w:anchor="domaine">
              <w:r>
                <w:rPr>
                  <w:color w:val="4F81BD"/>
                </w:rPr>
                <w:t>domaine</w:t>
              </w:r>
            </w:hyperlink>
            <w:r>
              <w:t xml:space="preserve"> et une </w:t>
            </w:r>
            <w:hyperlink r:id="rId195" w:anchor="portee">
              <w:r>
                <w:rPr>
                  <w:color w:val="4F81BD"/>
                </w:rPr>
                <w:t>portée</w:t>
              </w:r>
            </w:hyperlink>
            <w:r>
              <w:t xml:space="preserve"> optionnels et répétables [n.d.t. c.-à-d. qu’une même propriété peut être utilisée à plusieurs reprises avec de mêmes instances de son domaine et de sa portée] (« relation plusieurs-à-plusieurs (0,n:0,n) »). [</w:t>
            </w:r>
            <w:proofErr w:type="gramStart"/>
            <w:r>
              <w:t>n.d.t.</w:t>
            </w:r>
            <w:proofErr w:type="gramEnd"/>
            <w:r>
              <w:t xml:space="preserve"> Cette question des contraintes de cardinalité, qui précise les principes de généralisation d’une </w:t>
            </w:r>
            <w:hyperlink r:id="rId196" w:anchor="classe">
              <w:r>
                <w:rPr>
                  <w:color w:val="4F81BD"/>
                </w:rPr>
                <w:t>classe</w:t>
              </w:r>
            </w:hyperlink>
            <w:r>
              <w:t>], porte généralement sur les implémentations d’un système [n.d.t. plutôt que sur sa conception], de sorte qu’il n’en est pas exhaustivement question ici et que l’expression « contraintes de cardinalité » n'est pas préconisée.</w:t>
            </w:r>
          </w:p>
          <w:p w14:paraId="44CE62E0" w14:textId="77777777" w:rsidR="00BF18CF" w:rsidRDefault="00E51347">
            <w:r>
              <w:t>Le tableau suivant énumère les quantificateurs de propriété utilisés dans ce document (dans l’ordre de leur notation) ainsi qu’une explication en langage naturel [n.d.t. de chacun d’entre eux]. Les notations verbale et numérique sont juxtaposées dans ce document à des fins de clarté : la notation verbale utilise des syntagmes tels que « un à plusieurs » alors que la notation numérique utilise des expressions telles que « (</w:t>
            </w:r>
            <w:proofErr w:type="gramStart"/>
            <w:r>
              <w:t>0,n</w:t>
            </w:r>
            <w:proofErr w:type="gramEnd"/>
            <w:r>
              <w:t xml:space="preserve">:0,1) ». Les termes « un », « plusieurs » et « nécessaire » [n.d.t. revêtent leur sens habituel et] intuitif; le terme « dépendant » indique une situation où une </w:t>
            </w:r>
            <w:hyperlink r:id="rId197" w:anchor="instance">
              <w:r>
                <w:rPr>
                  <w:color w:val="4F81BD"/>
                </w:rPr>
                <w:t>instance</w:t>
              </w:r>
            </w:hyperlink>
            <w:r>
              <w:t xml:space="preserve"> de la portée d’une propriété ne peut pas exister sans une instance de cette propriété elle-même. En d’autres termes, la propriété est « nécessaire » à sa portée (Meghini, C. &amp; Doerr, M., 2018).</w:t>
            </w:r>
          </w:p>
        </w:tc>
      </w:tr>
    </w:tbl>
    <w:p w14:paraId="61725E10" w14:textId="77777777" w:rsidR="00BF18CF" w:rsidRDefault="00BF18CF"/>
    <w:tbl>
      <w:tblPr>
        <w:tblStyle w:val="a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612"/>
        <w:gridCol w:w="9078"/>
      </w:tblGrid>
      <w:tr w:rsidR="00BF18CF" w14:paraId="6E38670D" w14:textId="77777777" w:rsidTr="00BF18CF">
        <w:tc>
          <w:tcPr>
            <w:tcW w:w="1612" w:type="dxa"/>
          </w:tcPr>
          <w:p w14:paraId="7B8F85DE" w14:textId="5B7D79EC" w:rsidR="00BF18CF" w:rsidRDefault="00F27208">
            <w:r>
              <w:rPr>
                <w:i/>
              </w:rPr>
              <w:t>Note de traduction</w:t>
            </w:r>
          </w:p>
        </w:tc>
        <w:tc>
          <w:tcPr>
            <w:tcW w:w="9078" w:type="dxa"/>
          </w:tcPr>
          <w:p w14:paraId="4C0F91BB" w14:textId="77777777" w:rsidR="00BF18CF" w:rsidRDefault="00E51347">
            <w:r>
              <w:t>Certains paragraphes ont été édités dans la version francophone à des fins de compréhension. Les sections concernées sont indiquées de [n.d.t. texte concerné].</w:t>
            </w:r>
          </w:p>
          <w:p w14:paraId="0C5684FC" w14:textId="77777777" w:rsidR="00BF18CF" w:rsidRDefault="00E51347">
            <w:proofErr w:type="gramStart"/>
            <w:r>
              <w:lastRenderedPageBreak/>
              <w:t>Un contrainte</w:t>
            </w:r>
            <w:proofErr w:type="gramEnd"/>
            <w:r>
              <w:t xml:space="preserve"> de cardinalité précise si une entité parent peut appartenir à plusieurs entités enfants (principe du recouvrement ou </w:t>
            </w:r>
            <w:r>
              <w:rPr>
                <w:i/>
              </w:rPr>
              <w:t>overlapping</w:t>
            </w:r>
            <w:r>
              <w:t>) ou à un seul (principe de la disjonction).</w:t>
            </w:r>
          </w:p>
        </w:tc>
      </w:tr>
      <w:tr w:rsidR="00BF18CF" w14:paraId="600C47D7" w14:textId="77777777" w:rsidTr="00BF18CF">
        <w:tc>
          <w:tcPr>
            <w:tcW w:w="1612" w:type="dxa"/>
          </w:tcPr>
          <w:p w14:paraId="04D63DB6" w14:textId="77777777" w:rsidR="00BF18CF" w:rsidRDefault="00E51347">
            <w:r>
              <w:rPr>
                <w:i/>
              </w:rPr>
              <w:lastRenderedPageBreak/>
              <w:t>Références</w:t>
            </w:r>
          </w:p>
        </w:tc>
        <w:tc>
          <w:tcPr>
            <w:tcW w:w="9078" w:type="dxa"/>
          </w:tcPr>
          <w:p w14:paraId="2A0A1675" w14:textId="77777777" w:rsidR="00BF18CF" w:rsidRDefault="00E51347">
            <w:r>
              <w:t xml:space="preserve">Termium. « </w:t>
            </w:r>
            <w:proofErr w:type="gramStart"/>
            <w:r>
              <w:t>cardinalité</w:t>
            </w:r>
            <w:proofErr w:type="gramEnd"/>
            <w:r>
              <w:t xml:space="preserve"> ». Dans </w:t>
            </w:r>
            <w:r>
              <w:rPr>
                <w:i/>
              </w:rPr>
              <w:t>Termium Plus</w:t>
            </w:r>
            <w:r>
              <w:t>. Ottawa, CA-ON: Gouvernement du Canada, 8 octobre 2009.</w:t>
            </w:r>
            <w:hyperlink r:id="rId198" w:anchor="resultrecs">
              <w:r>
                <w:rPr>
                  <w:color w:val="4F81BD"/>
                </w:rPr>
                <w:t xml:space="preserve"> https://www.btb.termiumplus.gc.ca/tpv2alpha/alpha-fra.html?lang=fra&amp;i=1&amp;srchtxt=cardinalit%C3%A9&amp;index=frt&amp;codom2nd_wet=1#resultrecs</w:t>
              </w:r>
            </w:hyperlink>
            <w:r>
              <w:t>.</w:t>
            </w:r>
          </w:p>
        </w:tc>
      </w:tr>
    </w:tbl>
    <w:p w14:paraId="522CEBEE" w14:textId="77777777" w:rsidR="00BF18CF" w:rsidRDefault="00BF18CF"/>
    <w:p w14:paraId="2063E7B9" w14:textId="77777777" w:rsidR="00BF18CF" w:rsidRDefault="00BF18CF"/>
    <w:tbl>
      <w:tblPr>
        <w:tblStyle w:val="a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656"/>
        <w:gridCol w:w="9034"/>
      </w:tblGrid>
      <w:tr w:rsidR="00BF18CF" w14:paraId="38C25011" w14:textId="77777777" w:rsidTr="00BF18CF">
        <w:tc>
          <w:tcPr>
            <w:tcW w:w="1656" w:type="dxa"/>
          </w:tcPr>
          <w:p w14:paraId="33BD6B04" w14:textId="77777777" w:rsidR="00BF18CF" w:rsidRDefault="00E51347">
            <w:proofErr w:type="gramStart"/>
            <w:r>
              <w:rPr>
                <w:b/>
              </w:rPr>
              <w:t>plusieurs</w:t>
            </w:r>
            <w:proofErr w:type="gramEnd"/>
            <w:r>
              <w:rPr>
                <w:b/>
              </w:rPr>
              <w:t xml:space="preserve"> à plusieurs (0,n:0,n)</w:t>
            </w:r>
          </w:p>
        </w:tc>
        <w:tc>
          <w:tcPr>
            <w:tcW w:w="9034" w:type="dxa"/>
          </w:tcPr>
          <w:p w14:paraId="04BF44E2" w14:textId="77777777" w:rsidR="00BF18CF" w:rsidRDefault="00E51347">
            <w:r>
              <w:t xml:space="preserve">Illimité : Une </w:t>
            </w:r>
            <w:hyperlink r:id="rId199" w:anchor="instance">
              <w:r>
                <w:rPr>
                  <w:color w:val="4F81BD"/>
                </w:rPr>
                <w:t>instance</w:t>
              </w:r>
            </w:hyperlink>
            <w:r>
              <w:t xml:space="preserve"> du </w:t>
            </w:r>
            <w:hyperlink r:id="rId200" w:anchor="domaine">
              <w:r>
                <w:rPr>
                  <w:color w:val="4F81BD"/>
                </w:rPr>
                <w:t>domaine</w:t>
              </w:r>
            </w:hyperlink>
            <w:r>
              <w:t xml:space="preserve"> et une instance de la </w:t>
            </w:r>
            <w:hyperlink r:id="rId201" w:anchor="portee">
              <w:r>
                <w:rPr>
                  <w:color w:val="4F81BD"/>
                </w:rPr>
                <w:t>portée</w:t>
              </w:r>
            </w:hyperlink>
            <w:r>
              <w:t xml:space="preserve"> de cette </w:t>
            </w:r>
            <w:hyperlink r:id="rId202" w:anchor="propriete">
              <w:r>
                <w:rPr>
                  <w:color w:val="4F81BD"/>
                </w:rPr>
                <w:t>propriété</w:t>
              </w:r>
            </w:hyperlink>
            <w:r>
              <w:t xml:space="preserve"> peuvent n’avoir aucune, une ou plusieurs instances de cette propriété. En d’autres termes, cette propriété est optionnelle et répétable [n.d.t. c.-à-d. qu’une même propriété peut être utilisée à plusieurs reprises avec de mêmes instances de] son domaine et de sa portée.</w:t>
            </w:r>
          </w:p>
        </w:tc>
      </w:tr>
      <w:tr w:rsidR="00BF18CF" w14:paraId="4F0C13E1" w14:textId="77777777" w:rsidTr="00BF18CF">
        <w:tc>
          <w:tcPr>
            <w:tcW w:w="1656" w:type="dxa"/>
          </w:tcPr>
          <w:p w14:paraId="11867E56" w14:textId="66082E46" w:rsidR="00BF18CF" w:rsidRDefault="00F27208">
            <w:r>
              <w:rPr>
                <w:i/>
              </w:rPr>
              <w:t>Note de traduction</w:t>
            </w:r>
          </w:p>
        </w:tc>
        <w:tc>
          <w:tcPr>
            <w:tcW w:w="9034" w:type="dxa"/>
          </w:tcPr>
          <w:p w14:paraId="6FA95AC4" w14:textId="77777777" w:rsidR="00BF18CF" w:rsidRDefault="00E51347">
            <w:r>
              <w:t>Une propriété répétable est une propriété pouvant apparaître plus d'une fois dans un enregistrement avec le(s) même(s) domaine et/ou portée.</w:t>
            </w:r>
          </w:p>
        </w:tc>
      </w:tr>
      <w:tr w:rsidR="00BF18CF" w14:paraId="74912952" w14:textId="77777777" w:rsidTr="00BF18CF">
        <w:tc>
          <w:tcPr>
            <w:tcW w:w="1656" w:type="dxa"/>
          </w:tcPr>
          <w:p w14:paraId="1D637030" w14:textId="77777777" w:rsidR="00BF18CF" w:rsidRDefault="00E51347">
            <w:r>
              <w:rPr>
                <w:i/>
              </w:rPr>
              <w:t>Références</w:t>
            </w:r>
          </w:p>
        </w:tc>
        <w:tc>
          <w:tcPr>
            <w:tcW w:w="9034" w:type="dxa"/>
          </w:tcPr>
          <w:p w14:paraId="0AD3A5ED" w14:textId="77777777" w:rsidR="00BF18CF" w:rsidRDefault="00E51347">
            <w:r>
              <w:t xml:space="preserve">Termium. « </w:t>
            </w:r>
            <w:proofErr w:type="gramStart"/>
            <w:r>
              <w:t>répétable</w:t>
            </w:r>
            <w:proofErr w:type="gramEnd"/>
            <w:r>
              <w:t xml:space="preserve"> ». Dans </w:t>
            </w:r>
            <w:r>
              <w:rPr>
                <w:i/>
              </w:rPr>
              <w:t>Termium Plus</w:t>
            </w:r>
            <w:r>
              <w:t>. Ottawa, CA-ON: Gouvernement du Canada, 8 octobre 2009.</w:t>
            </w:r>
            <w:hyperlink r:id="rId203">
              <w:r>
                <w:rPr>
                  <w:color w:val="4F81BD"/>
                </w:rPr>
                <w:t xml:space="preserve"> https://www.btb.termiumplus.gc.ca/tpv2alpha/alpha-fra.html?lang=fra&amp;i=&amp;index=alt&amp;srchtxt=CATEGORIE%20REPETABLE</w:t>
              </w:r>
            </w:hyperlink>
            <w:r>
              <w:t>.</w:t>
            </w:r>
          </w:p>
        </w:tc>
      </w:tr>
      <w:tr w:rsidR="00BF18CF" w14:paraId="1854DD59" w14:textId="77777777" w:rsidTr="00BF18CF">
        <w:tc>
          <w:tcPr>
            <w:tcW w:w="1656" w:type="dxa"/>
          </w:tcPr>
          <w:p w14:paraId="7FEB1FC7" w14:textId="77777777" w:rsidR="00BF18CF" w:rsidRDefault="00E51347">
            <w:proofErr w:type="gramStart"/>
            <w:r>
              <w:rPr>
                <w:b/>
              </w:rPr>
              <w:t>un</w:t>
            </w:r>
            <w:proofErr w:type="gramEnd"/>
            <w:r>
              <w:rPr>
                <w:b/>
              </w:rPr>
              <w:t xml:space="preserve"> à plusieurs</w:t>
            </w:r>
          </w:p>
          <w:p w14:paraId="7A2F1232" w14:textId="77777777" w:rsidR="00BF18CF" w:rsidRDefault="00E51347">
            <w:r>
              <w:rPr>
                <w:b/>
              </w:rPr>
              <w:t>(</w:t>
            </w:r>
            <w:proofErr w:type="gramStart"/>
            <w:r>
              <w:rPr>
                <w:b/>
              </w:rPr>
              <w:t>0,n</w:t>
            </w:r>
            <w:proofErr w:type="gramEnd"/>
            <w:r>
              <w:rPr>
                <w:b/>
              </w:rPr>
              <w:t>:0,1)</w:t>
            </w:r>
          </w:p>
        </w:tc>
        <w:tc>
          <w:tcPr>
            <w:tcW w:w="9034" w:type="dxa"/>
          </w:tcPr>
          <w:p w14:paraId="7ADA0092" w14:textId="77777777" w:rsidR="00BF18CF" w:rsidRDefault="00E51347">
            <w:r>
              <w:t xml:space="preserve">Une </w:t>
            </w:r>
            <w:hyperlink r:id="rId204" w:anchor="instance">
              <w:r>
                <w:rPr>
                  <w:color w:val="4F81BD"/>
                </w:rPr>
                <w:t>instance</w:t>
              </w:r>
            </w:hyperlink>
            <w:r>
              <w:t xml:space="preserve"> individuelle du </w:t>
            </w:r>
            <w:hyperlink r:id="rId205" w:anchor="domaine">
              <w:r>
                <w:rPr>
                  <w:color w:val="4F81BD"/>
                </w:rPr>
                <w:t>domaine</w:t>
              </w:r>
            </w:hyperlink>
            <w:r>
              <w:t xml:space="preserve"> de cette </w:t>
            </w:r>
            <w:hyperlink r:id="rId206" w:anchor="propriete">
              <w:r>
                <w:rPr>
                  <w:color w:val="4F81BD"/>
                </w:rPr>
                <w:t>propriété</w:t>
              </w:r>
            </w:hyperlink>
            <w:r>
              <w:t xml:space="preserve"> peut n’avoir aucune, une ou plusieurs instance(s) de cette propriété, mais une instance individuelle de sa </w:t>
            </w:r>
            <w:hyperlink r:id="rId207" w:anchor="portee">
              <w:r>
                <w:rPr>
                  <w:color w:val="4F81BD"/>
                </w:rPr>
                <w:t>portée</w:t>
              </w:r>
            </w:hyperlink>
            <w:r>
              <w:t xml:space="preserve"> ne peut pas faire l’objet d’une référence par plus d’une instance de cette même propriété. En d’autres termes, le domaine et la portée de cette propriété sont optionnels, mais seul son domaine est répétable [n.d.t. c.-à-d. qu’une même propriété peut être utilisée à plusieurs reprises avec une même instance de son domaine]. Cette situation est parfois qualifiée de « sortance ».</w:t>
            </w:r>
          </w:p>
        </w:tc>
      </w:tr>
      <w:tr w:rsidR="00BF18CF" w14:paraId="65A0B567" w14:textId="77777777" w:rsidTr="00BF18CF">
        <w:tc>
          <w:tcPr>
            <w:tcW w:w="1656" w:type="dxa"/>
          </w:tcPr>
          <w:p w14:paraId="0ABC6000" w14:textId="6644AF0A" w:rsidR="00BF18CF" w:rsidRDefault="00F27208">
            <w:r>
              <w:rPr>
                <w:i/>
              </w:rPr>
              <w:t>Note de traduction</w:t>
            </w:r>
          </w:p>
        </w:tc>
        <w:tc>
          <w:tcPr>
            <w:tcW w:w="9034" w:type="dxa"/>
          </w:tcPr>
          <w:p w14:paraId="77BB8A1B" w14:textId="77777777" w:rsidR="00BF18CF" w:rsidRDefault="00E51347">
            <w:r>
              <w:t>Une propriété répétable est une propriété pouvant apparaître plus d'une fois dans un enregistrement avec le(s) même(s) domaine et/ou portée.</w:t>
            </w:r>
          </w:p>
          <w:p w14:paraId="70AE3128" w14:textId="77777777" w:rsidR="00BF18CF" w:rsidRDefault="00E51347">
            <w:r>
              <w:t>Une recherche sommaire indique que le terme « fan-out » est surtout usité dans le domaine des circuits booléens et de l’intelligence artificielle, où il est parfois question d’arité sortante ou de sortance.</w:t>
            </w:r>
          </w:p>
        </w:tc>
      </w:tr>
      <w:tr w:rsidR="00BF18CF" w:rsidRPr="000467B7" w14:paraId="7E35974C" w14:textId="77777777" w:rsidTr="00BF18CF">
        <w:tc>
          <w:tcPr>
            <w:tcW w:w="1656" w:type="dxa"/>
          </w:tcPr>
          <w:p w14:paraId="615C2395" w14:textId="77777777" w:rsidR="00BF18CF" w:rsidRDefault="00E51347">
            <w:r>
              <w:rPr>
                <w:i/>
              </w:rPr>
              <w:t>Références</w:t>
            </w:r>
          </w:p>
        </w:tc>
        <w:tc>
          <w:tcPr>
            <w:tcW w:w="9034" w:type="dxa"/>
          </w:tcPr>
          <w:p w14:paraId="26CDEBF0" w14:textId="77777777" w:rsidR="00BF18CF" w:rsidRDefault="00E51347">
            <w:r>
              <w:t xml:space="preserve">Termium. « </w:t>
            </w:r>
            <w:proofErr w:type="gramStart"/>
            <w:r>
              <w:t>fan</w:t>
            </w:r>
            <w:proofErr w:type="gramEnd"/>
            <w:r>
              <w:t xml:space="preserve">-out ». Dans </w:t>
            </w:r>
            <w:r>
              <w:rPr>
                <w:i/>
              </w:rPr>
              <w:t>Termium Plus</w:t>
            </w:r>
            <w:r>
              <w:t>. Ottawa, CA-ON: Gouvernement du Canada, 8 octobre 2009.</w:t>
            </w:r>
            <w:hyperlink r:id="rId208" w:anchor="resultrecs">
              <w:r>
                <w:rPr>
                  <w:color w:val="4F81BD"/>
                </w:rPr>
                <w:t xml:space="preserve"> https://www.btb.termiumplus.gc.ca/tpv2alpha/alpha-fra.html?lang=fra&amp;i=1&amp;srchtxt=fan-out&amp;index=ent&amp;codom2nd_wet=1#resultrecs</w:t>
              </w:r>
            </w:hyperlink>
            <w:r>
              <w:t>.</w:t>
            </w:r>
          </w:p>
          <w:p w14:paraId="44E123BD" w14:textId="77777777" w:rsidR="00BF18CF" w:rsidRDefault="00E51347">
            <w:r>
              <w:t xml:space="preserve">———. « </w:t>
            </w:r>
            <w:proofErr w:type="gramStart"/>
            <w:r>
              <w:t>répétable</w:t>
            </w:r>
            <w:proofErr w:type="gramEnd"/>
            <w:r>
              <w:t xml:space="preserve"> ». Dans </w:t>
            </w:r>
            <w:r>
              <w:rPr>
                <w:i/>
              </w:rPr>
              <w:t>Termium Plus</w:t>
            </w:r>
            <w:r>
              <w:t>. Ottawa, CA-ON: Gouvernement du Canada, 8 octobre 2009.</w:t>
            </w:r>
            <w:hyperlink r:id="rId209">
              <w:r>
                <w:rPr>
                  <w:color w:val="4F81BD"/>
                </w:rPr>
                <w:t xml:space="preserve"> https://www.btb.termiumplus.gc.ca/tpv2alpha/alpha-fra.html?lang=fra&amp;i=&amp;index=alt&amp;srchtxt=CATEGORIE%20REPETABLE</w:t>
              </w:r>
            </w:hyperlink>
            <w:r>
              <w:t>.</w:t>
            </w:r>
          </w:p>
          <w:p w14:paraId="0C24E36E" w14:textId="77777777" w:rsidR="00BF18CF" w:rsidRPr="00EE61A5" w:rsidRDefault="00E51347">
            <w:pPr>
              <w:rPr>
                <w:lang w:val="en-CA"/>
              </w:rPr>
            </w:pPr>
            <w:r w:rsidRPr="00EE61A5">
              <w:rPr>
                <w:lang w:val="en-CA"/>
              </w:rPr>
              <w:t xml:space="preserve">Wikipédia. « Fan-out ». Dans </w:t>
            </w:r>
            <w:r w:rsidRPr="00EE61A5">
              <w:rPr>
                <w:i/>
                <w:lang w:val="en-CA"/>
              </w:rPr>
              <w:t>Wikipédia</w:t>
            </w:r>
            <w:r w:rsidRPr="00EE61A5">
              <w:rPr>
                <w:lang w:val="en-CA"/>
              </w:rPr>
              <w:t>. San Francisco, US-CA: Wikipédia, 11 novembre 2020.</w:t>
            </w:r>
            <w:r w:rsidR="000467B7">
              <w:fldChar w:fldCharType="begin"/>
            </w:r>
            <w:r w:rsidR="000467B7" w:rsidRPr="000467B7">
              <w:rPr>
                <w:lang w:val="en-CA"/>
              </w:rPr>
              <w:instrText>HYPERLINK "https://fr.wikipedia.org/w/index.php?title=Fan-out&amp;oldid=176479075" \h</w:instrText>
            </w:r>
            <w:r w:rsidR="000467B7">
              <w:fldChar w:fldCharType="separate"/>
            </w:r>
            <w:r w:rsidRPr="00EE61A5">
              <w:rPr>
                <w:color w:val="4F81BD"/>
                <w:lang w:val="en-CA"/>
              </w:rPr>
              <w:t xml:space="preserve"> https://fr.wikipedia.org/w/index.php?title=Fan-out&amp;oldid=176479075</w:t>
            </w:r>
            <w:r w:rsidR="000467B7">
              <w:rPr>
                <w:color w:val="4F81BD"/>
                <w:lang w:val="en-CA"/>
              </w:rPr>
              <w:fldChar w:fldCharType="end"/>
            </w:r>
            <w:r w:rsidRPr="00EE61A5">
              <w:rPr>
                <w:lang w:val="en-CA"/>
              </w:rPr>
              <w:t>.</w:t>
            </w:r>
          </w:p>
        </w:tc>
      </w:tr>
      <w:tr w:rsidR="00BF18CF" w14:paraId="0B2E4F9A" w14:textId="77777777" w:rsidTr="00BF18CF">
        <w:tc>
          <w:tcPr>
            <w:tcW w:w="1656" w:type="dxa"/>
          </w:tcPr>
          <w:p w14:paraId="68FA427B" w14:textId="77777777" w:rsidR="00BF18CF" w:rsidRDefault="00E51347">
            <w:proofErr w:type="gramStart"/>
            <w:r>
              <w:rPr>
                <w:b/>
              </w:rPr>
              <w:lastRenderedPageBreak/>
              <w:t>plusieurs</w:t>
            </w:r>
            <w:proofErr w:type="gramEnd"/>
            <w:r>
              <w:rPr>
                <w:b/>
              </w:rPr>
              <w:t xml:space="preserve"> à un</w:t>
            </w:r>
          </w:p>
          <w:p w14:paraId="63D55CE5" w14:textId="77777777" w:rsidR="00BF18CF" w:rsidRDefault="00E51347">
            <w:r>
              <w:rPr>
                <w:b/>
              </w:rPr>
              <w:t>(0,1:</w:t>
            </w:r>
            <w:proofErr w:type="gramStart"/>
            <w:r>
              <w:rPr>
                <w:b/>
              </w:rPr>
              <w:t>0,n</w:t>
            </w:r>
            <w:proofErr w:type="gramEnd"/>
            <w:r>
              <w:rPr>
                <w:b/>
              </w:rPr>
              <w:t>)</w:t>
            </w:r>
          </w:p>
        </w:tc>
        <w:tc>
          <w:tcPr>
            <w:tcW w:w="9034" w:type="dxa"/>
          </w:tcPr>
          <w:p w14:paraId="0B59B2D5" w14:textId="77777777" w:rsidR="00BF18CF" w:rsidRDefault="00E51347">
            <w:r>
              <w:t xml:space="preserve">Une </w:t>
            </w:r>
            <w:hyperlink r:id="rId210" w:anchor="instance">
              <w:r>
                <w:rPr>
                  <w:color w:val="4F81BD"/>
                </w:rPr>
                <w:t>instance</w:t>
              </w:r>
            </w:hyperlink>
            <w:r>
              <w:t xml:space="preserve"> du </w:t>
            </w:r>
            <w:hyperlink r:id="rId211" w:anchor="domaine">
              <w:r>
                <w:rPr>
                  <w:color w:val="4F81BD"/>
                </w:rPr>
                <w:t>domaine</w:t>
              </w:r>
            </w:hyperlink>
            <w:r>
              <w:t xml:space="preserve"> de cette </w:t>
            </w:r>
            <w:hyperlink r:id="rId212" w:anchor="propriete">
              <w:r>
                <w:rPr>
                  <w:color w:val="4F81BD"/>
                </w:rPr>
                <w:t>propriété</w:t>
              </w:r>
            </w:hyperlink>
            <w:r>
              <w:t xml:space="preserve"> peut n’avoir aucune ou une seule instance de cette propriété, mais une instance de sa </w:t>
            </w:r>
            <w:hyperlink r:id="rId213" w:anchor="portee">
              <w:r>
                <w:rPr>
                  <w:color w:val="4F81BD"/>
                </w:rPr>
                <w:t>portée</w:t>
              </w:r>
            </w:hyperlink>
            <w:r>
              <w:t xml:space="preserve"> peut être référencée par aucune, une ou plusieurs instances de cette même propriété. En d’autres termes, le domaine et la portée de cette propriété sont optionnels, mais seule sa portée est répétable [n.d.t. c.-à-d. qu’une même propriété peut être utilisée à plusieurs reprises avec une même instance de sa portée]. Cette situation est parfois qualifiée d</w:t>
            </w:r>
            <w:proofErr w:type="gramStart"/>
            <w:r>
              <w:t>’«</w:t>
            </w:r>
            <w:proofErr w:type="gramEnd"/>
            <w:r>
              <w:t> entrance ».</w:t>
            </w:r>
          </w:p>
        </w:tc>
      </w:tr>
      <w:tr w:rsidR="00BF18CF" w14:paraId="45D99DB3" w14:textId="77777777" w:rsidTr="00BF18CF">
        <w:tc>
          <w:tcPr>
            <w:tcW w:w="1656" w:type="dxa"/>
          </w:tcPr>
          <w:p w14:paraId="0AB07F98" w14:textId="27B9356F" w:rsidR="00BF18CF" w:rsidRDefault="00F27208">
            <w:r>
              <w:rPr>
                <w:i/>
              </w:rPr>
              <w:t>Note de traduction</w:t>
            </w:r>
          </w:p>
        </w:tc>
        <w:tc>
          <w:tcPr>
            <w:tcW w:w="9034" w:type="dxa"/>
          </w:tcPr>
          <w:p w14:paraId="301BA9FC" w14:textId="77777777" w:rsidR="00BF18CF" w:rsidRDefault="00E51347">
            <w:r>
              <w:t>Une propriété répétable est une propriété pouvant apparaître plus d'une fois dans un enregistrement avec le(s) même(s) domaine et/ou portée.</w:t>
            </w:r>
          </w:p>
          <w:p w14:paraId="3054F221" w14:textId="77777777" w:rsidR="00BF18CF" w:rsidRDefault="00E51347">
            <w:r>
              <w:t>Une recherche sommaire indique que le terme « fan-in » est surtout usité dans le domaine des circuits booléens et de l’intelligence artificielle où il est parfois question d’arité entrante ou d’entrance.</w:t>
            </w:r>
          </w:p>
        </w:tc>
      </w:tr>
      <w:tr w:rsidR="00BF18CF" w:rsidRPr="000467B7" w14:paraId="42E8DE03" w14:textId="77777777" w:rsidTr="00BF18CF">
        <w:tc>
          <w:tcPr>
            <w:tcW w:w="1656" w:type="dxa"/>
          </w:tcPr>
          <w:p w14:paraId="4883C155" w14:textId="77777777" w:rsidR="00BF18CF" w:rsidRDefault="00E51347">
            <w:r>
              <w:rPr>
                <w:i/>
              </w:rPr>
              <w:t>Références</w:t>
            </w:r>
          </w:p>
        </w:tc>
        <w:tc>
          <w:tcPr>
            <w:tcW w:w="9034" w:type="dxa"/>
          </w:tcPr>
          <w:p w14:paraId="019CA38A" w14:textId="77777777" w:rsidR="00BF18CF" w:rsidRDefault="00E51347">
            <w:r>
              <w:t xml:space="preserve">Termium. « </w:t>
            </w:r>
            <w:proofErr w:type="gramStart"/>
            <w:r>
              <w:t>fan</w:t>
            </w:r>
            <w:proofErr w:type="gramEnd"/>
            <w:r>
              <w:t xml:space="preserve">-in ». Dans </w:t>
            </w:r>
            <w:r>
              <w:rPr>
                <w:i/>
              </w:rPr>
              <w:t>Termium Plus</w:t>
            </w:r>
            <w:r>
              <w:t>. Ottawa, CA-ON: Gouvernement du Canada, 8 octobre 2009.</w:t>
            </w:r>
            <w:hyperlink r:id="rId214" w:anchor="resultrecs">
              <w:r>
                <w:rPr>
                  <w:color w:val="4F81BD"/>
                </w:rPr>
                <w:t xml:space="preserve"> https://www.btb.termiumplus.gc.ca/tpv2alpha/alpha-fra.html?lang=fra&amp;i=1&amp;srchtxt=fan-in&amp;index=ent&amp;codom2nd_wet=1#resultrecs</w:t>
              </w:r>
            </w:hyperlink>
            <w:r>
              <w:t>.</w:t>
            </w:r>
          </w:p>
          <w:p w14:paraId="713A8773" w14:textId="77777777" w:rsidR="00BF18CF" w:rsidRDefault="00E51347">
            <w:r>
              <w:t xml:space="preserve">———. « </w:t>
            </w:r>
            <w:proofErr w:type="gramStart"/>
            <w:r>
              <w:t>répétable</w:t>
            </w:r>
            <w:proofErr w:type="gramEnd"/>
            <w:r>
              <w:t xml:space="preserve"> ». Dans </w:t>
            </w:r>
            <w:r>
              <w:rPr>
                <w:i/>
              </w:rPr>
              <w:t>Termium Plus</w:t>
            </w:r>
            <w:r>
              <w:t>. Ottawa, CA-ON: Gouvernement du Canada, 8 octobre 2009.</w:t>
            </w:r>
            <w:hyperlink r:id="rId215">
              <w:r>
                <w:rPr>
                  <w:color w:val="4F81BD"/>
                </w:rPr>
                <w:t xml:space="preserve"> https://www.btb.termiumplus.gc.ca/tpv2alpha/alpha-fra.html?lang=fra&amp;i=&amp;index=alt&amp;srchtxt=CATEGORIE%20REPETABLE</w:t>
              </w:r>
            </w:hyperlink>
            <w:r>
              <w:t>.</w:t>
            </w:r>
          </w:p>
          <w:p w14:paraId="6D6B27F5" w14:textId="77777777" w:rsidR="00BF18CF" w:rsidRPr="00EE61A5" w:rsidRDefault="00E51347">
            <w:pPr>
              <w:rPr>
                <w:lang w:val="en-CA"/>
              </w:rPr>
            </w:pPr>
            <w:r w:rsidRPr="00EE61A5">
              <w:rPr>
                <w:lang w:val="en-CA"/>
              </w:rPr>
              <w:t xml:space="preserve">Wikipédia. « Fan-in ». Dans </w:t>
            </w:r>
            <w:r w:rsidRPr="00EE61A5">
              <w:rPr>
                <w:i/>
                <w:lang w:val="en-CA"/>
              </w:rPr>
              <w:t>Wikipédia</w:t>
            </w:r>
            <w:r w:rsidRPr="00EE61A5">
              <w:rPr>
                <w:lang w:val="en-CA"/>
              </w:rPr>
              <w:t>. San Francisco, US-CA: Wikipédia, 11 novembre 2020.</w:t>
            </w:r>
            <w:r w:rsidR="000467B7">
              <w:fldChar w:fldCharType="begin"/>
            </w:r>
            <w:r w:rsidR="000467B7" w:rsidRPr="000467B7">
              <w:rPr>
                <w:lang w:val="en-CA"/>
              </w:rPr>
              <w:instrText>HYPERLINK "https://fr.wikipedia.org/w/index.php?title=Fan-in&amp;oldid=176479056" \h</w:instrText>
            </w:r>
            <w:r w:rsidR="000467B7">
              <w:fldChar w:fldCharType="separate"/>
            </w:r>
            <w:r w:rsidRPr="00EE61A5">
              <w:rPr>
                <w:color w:val="4F81BD"/>
                <w:lang w:val="en-CA"/>
              </w:rPr>
              <w:t xml:space="preserve"> https://fr.wikipedia.org/w/index.php?title=Fan-in&amp;oldid=176479056</w:t>
            </w:r>
            <w:r w:rsidR="000467B7">
              <w:rPr>
                <w:color w:val="4F81BD"/>
                <w:lang w:val="en-CA"/>
              </w:rPr>
              <w:fldChar w:fldCharType="end"/>
            </w:r>
            <w:r w:rsidRPr="00EE61A5">
              <w:rPr>
                <w:lang w:val="en-CA"/>
              </w:rPr>
              <w:t>.</w:t>
            </w:r>
          </w:p>
        </w:tc>
      </w:tr>
      <w:tr w:rsidR="00BF18CF" w14:paraId="38B6ED52" w14:textId="77777777" w:rsidTr="00BF18CF">
        <w:tc>
          <w:tcPr>
            <w:tcW w:w="1656" w:type="dxa"/>
          </w:tcPr>
          <w:p w14:paraId="7A99E43D" w14:textId="77777777" w:rsidR="00BF18CF" w:rsidRDefault="00E51347">
            <w:proofErr w:type="gramStart"/>
            <w:r>
              <w:rPr>
                <w:b/>
              </w:rPr>
              <w:t>plusieurs</w:t>
            </w:r>
            <w:proofErr w:type="gramEnd"/>
            <w:r>
              <w:rPr>
                <w:b/>
              </w:rPr>
              <w:t xml:space="preserve"> à plusieurs, nécessaire (1,n:0,n)</w:t>
            </w:r>
          </w:p>
        </w:tc>
        <w:tc>
          <w:tcPr>
            <w:tcW w:w="9034" w:type="dxa"/>
          </w:tcPr>
          <w:p w14:paraId="7CD5FF7A" w14:textId="77777777" w:rsidR="00BF18CF" w:rsidRDefault="00E51347">
            <w:r>
              <w:t xml:space="preserve">Une </w:t>
            </w:r>
            <w:hyperlink r:id="rId216" w:anchor="instance">
              <w:r>
                <w:rPr>
                  <w:color w:val="4F81BD"/>
                </w:rPr>
                <w:t>instance</w:t>
              </w:r>
            </w:hyperlink>
            <w:r>
              <w:t xml:space="preserve"> individuelle du </w:t>
            </w:r>
            <w:hyperlink r:id="rId217" w:anchor="domaine">
              <w:r>
                <w:rPr>
                  <w:color w:val="4F81BD"/>
                </w:rPr>
                <w:t>domaine</w:t>
              </w:r>
            </w:hyperlink>
            <w:r>
              <w:t xml:space="preserve"> de cette </w:t>
            </w:r>
            <w:hyperlink r:id="rId218" w:anchor="propriete">
              <w:r>
                <w:rPr>
                  <w:color w:val="4F81BD"/>
                </w:rPr>
                <w:t>propriété</w:t>
              </w:r>
            </w:hyperlink>
            <w:r>
              <w:t xml:space="preserve"> peut avoir une ou plusieurs instance(s) de cette propriété, mais une instance individuelle de sa </w:t>
            </w:r>
            <w:hyperlink r:id="rId219" w:anchor="portee">
              <w:r>
                <w:rPr>
                  <w:color w:val="4F81BD"/>
                </w:rPr>
                <w:t>portée</w:t>
              </w:r>
            </w:hyperlink>
            <w:r>
              <w:t xml:space="preserve"> peut n’avoir aucune, une ou plusieurs instances de cette même propriété. En d’autres termes, le domaine de cette propriété est nécessaire et répétable [n.d.t. c.-à-d. qu’une même propriété peut être utilisée à plusieurs reprises avec une même instance de son domaine] alors que sa portée est optionnelle et répétable [n.d.t. c.-à-d. qu’une même propriété peut être utilisée à plusieurs reprises avec une même instance de sa portée].</w:t>
            </w:r>
          </w:p>
        </w:tc>
      </w:tr>
      <w:tr w:rsidR="00BF18CF" w14:paraId="7EA073F9" w14:textId="77777777" w:rsidTr="00BF18CF">
        <w:tc>
          <w:tcPr>
            <w:tcW w:w="1656" w:type="dxa"/>
          </w:tcPr>
          <w:p w14:paraId="5CBB4252" w14:textId="4AB75D35" w:rsidR="00BF18CF" w:rsidRDefault="00F27208">
            <w:r>
              <w:rPr>
                <w:i/>
              </w:rPr>
              <w:t>Note de traduction</w:t>
            </w:r>
          </w:p>
        </w:tc>
        <w:tc>
          <w:tcPr>
            <w:tcW w:w="9034" w:type="dxa"/>
          </w:tcPr>
          <w:p w14:paraId="16EC3456" w14:textId="77777777" w:rsidR="00BF18CF" w:rsidRDefault="00BF18CF">
            <w:pPr>
              <w:pBdr>
                <w:top w:val="nil"/>
                <w:left w:val="nil"/>
                <w:bottom w:val="nil"/>
                <w:right w:val="nil"/>
                <w:between w:val="nil"/>
              </w:pBdr>
              <w:spacing w:before="36" w:after="36"/>
              <w:rPr>
                <w:color w:val="000000"/>
              </w:rPr>
            </w:pPr>
          </w:p>
        </w:tc>
      </w:tr>
      <w:tr w:rsidR="00BF18CF" w14:paraId="4C032F05" w14:textId="77777777" w:rsidTr="00BF18CF">
        <w:tc>
          <w:tcPr>
            <w:tcW w:w="1656" w:type="dxa"/>
          </w:tcPr>
          <w:p w14:paraId="6C8E0227" w14:textId="77777777" w:rsidR="00BF18CF" w:rsidRDefault="00E51347">
            <w:r>
              <w:rPr>
                <w:i/>
              </w:rPr>
              <w:t>Références</w:t>
            </w:r>
          </w:p>
        </w:tc>
        <w:tc>
          <w:tcPr>
            <w:tcW w:w="9034" w:type="dxa"/>
          </w:tcPr>
          <w:p w14:paraId="1EF5852F" w14:textId="77777777" w:rsidR="00BF18CF" w:rsidRDefault="00BF18CF">
            <w:pPr>
              <w:pBdr>
                <w:top w:val="nil"/>
                <w:left w:val="nil"/>
                <w:bottom w:val="nil"/>
                <w:right w:val="nil"/>
                <w:between w:val="nil"/>
              </w:pBdr>
              <w:spacing w:before="36" w:after="36"/>
              <w:rPr>
                <w:color w:val="000000"/>
              </w:rPr>
            </w:pPr>
          </w:p>
        </w:tc>
      </w:tr>
      <w:tr w:rsidR="00BF18CF" w14:paraId="3A1712CA" w14:textId="77777777" w:rsidTr="00BF18CF">
        <w:tc>
          <w:tcPr>
            <w:tcW w:w="1656" w:type="dxa"/>
          </w:tcPr>
          <w:p w14:paraId="312FAF94" w14:textId="77777777" w:rsidR="00BF18CF" w:rsidRDefault="00E51347">
            <w:proofErr w:type="gramStart"/>
            <w:r>
              <w:rPr>
                <w:b/>
              </w:rPr>
              <w:t>un</w:t>
            </w:r>
            <w:proofErr w:type="gramEnd"/>
            <w:r>
              <w:rPr>
                <w:b/>
              </w:rPr>
              <w:t xml:space="preserve"> à plusieurs, nécessaire</w:t>
            </w:r>
          </w:p>
          <w:p w14:paraId="0D6F95AA" w14:textId="77777777" w:rsidR="00BF18CF" w:rsidRDefault="00E51347">
            <w:r>
              <w:rPr>
                <w:b/>
              </w:rPr>
              <w:t>(</w:t>
            </w:r>
            <w:proofErr w:type="gramStart"/>
            <w:r>
              <w:rPr>
                <w:b/>
              </w:rPr>
              <w:t>1,n</w:t>
            </w:r>
            <w:proofErr w:type="gramEnd"/>
            <w:r>
              <w:rPr>
                <w:b/>
              </w:rPr>
              <w:t>:0,1)</w:t>
            </w:r>
          </w:p>
        </w:tc>
        <w:tc>
          <w:tcPr>
            <w:tcW w:w="9034" w:type="dxa"/>
          </w:tcPr>
          <w:p w14:paraId="0CCD4685" w14:textId="77777777" w:rsidR="00BF18CF" w:rsidRDefault="00E51347">
            <w:r>
              <w:t xml:space="preserve">Une </w:t>
            </w:r>
            <w:hyperlink r:id="rId220" w:anchor="instance">
              <w:r>
                <w:rPr>
                  <w:color w:val="4F81BD"/>
                </w:rPr>
                <w:t>instance</w:t>
              </w:r>
            </w:hyperlink>
            <w:r>
              <w:t xml:space="preserve"> individuelle du </w:t>
            </w:r>
            <w:hyperlink r:id="rId221" w:anchor="domaine">
              <w:r>
                <w:rPr>
                  <w:color w:val="4F81BD"/>
                </w:rPr>
                <w:t>domaine</w:t>
              </w:r>
            </w:hyperlink>
            <w:r>
              <w:t xml:space="preserve"> de cette </w:t>
            </w:r>
            <w:hyperlink r:id="rId222" w:anchor="propriete">
              <w:r>
                <w:rPr>
                  <w:color w:val="4F81BD"/>
                </w:rPr>
                <w:t>propriété</w:t>
              </w:r>
            </w:hyperlink>
            <w:r>
              <w:t xml:space="preserve"> peut n’avoir qu’une seule ou plusieurs instance(s) de cette propriété, mais une instance individuelle de sa </w:t>
            </w:r>
            <w:hyperlink r:id="rId223" w:anchor="portee">
              <w:r>
                <w:rPr>
                  <w:color w:val="4F81BD"/>
                </w:rPr>
                <w:t>portée</w:t>
              </w:r>
            </w:hyperlink>
            <w:r>
              <w:t xml:space="preserve"> ne peut pas être référencée par plus d’une instance de cette même propriété. En d’autres termes, le domaine de cette propriété est nécessaire et répétable [n.d.t. c.-à-d. qu’une même propriété peut être utilisée à plusieurs reprises avec une même instance de son domaine], mais sa portée est optionnelle. Dans certains contextes, cette situation est qualifiée de « sortance ».</w:t>
            </w:r>
          </w:p>
        </w:tc>
      </w:tr>
      <w:tr w:rsidR="00BF18CF" w14:paraId="44848730" w14:textId="77777777" w:rsidTr="00BF18CF">
        <w:tc>
          <w:tcPr>
            <w:tcW w:w="1656" w:type="dxa"/>
          </w:tcPr>
          <w:p w14:paraId="2238AB3F" w14:textId="763E58EB" w:rsidR="00BF18CF" w:rsidRDefault="00F27208">
            <w:r>
              <w:rPr>
                <w:i/>
              </w:rPr>
              <w:t>Note de traduction</w:t>
            </w:r>
          </w:p>
        </w:tc>
        <w:tc>
          <w:tcPr>
            <w:tcW w:w="9034" w:type="dxa"/>
          </w:tcPr>
          <w:p w14:paraId="730E5DE2" w14:textId="77777777" w:rsidR="00BF18CF" w:rsidRDefault="00E51347">
            <w:r>
              <w:t>Une propriété répétable est une propriété pouvant apparaître plus d'une fois dans un enregistrement avec le(s) même(s) domaine et/ou portée.</w:t>
            </w:r>
          </w:p>
          <w:p w14:paraId="0934AAAE" w14:textId="77777777" w:rsidR="00BF18CF" w:rsidRDefault="00E51347">
            <w:r>
              <w:lastRenderedPageBreak/>
              <w:t>Une recherche sommaire indique que le terme « fan-out » est surtout usité dans le domaine des circuits booléens et de l’intelligence artificielle, où il est parfois question d’arité sortante ou de sortance.</w:t>
            </w:r>
          </w:p>
        </w:tc>
      </w:tr>
      <w:tr w:rsidR="00BF18CF" w:rsidRPr="000467B7" w14:paraId="101285D1" w14:textId="77777777" w:rsidTr="00BF18CF">
        <w:tc>
          <w:tcPr>
            <w:tcW w:w="1656" w:type="dxa"/>
          </w:tcPr>
          <w:p w14:paraId="2B431C33" w14:textId="77777777" w:rsidR="00BF18CF" w:rsidRDefault="00E51347">
            <w:r>
              <w:rPr>
                <w:i/>
              </w:rPr>
              <w:lastRenderedPageBreak/>
              <w:t>Références</w:t>
            </w:r>
          </w:p>
        </w:tc>
        <w:tc>
          <w:tcPr>
            <w:tcW w:w="9034" w:type="dxa"/>
          </w:tcPr>
          <w:p w14:paraId="489D893F" w14:textId="77777777" w:rsidR="00BF18CF" w:rsidRDefault="00E51347">
            <w:r>
              <w:t xml:space="preserve">Termium. « </w:t>
            </w:r>
            <w:proofErr w:type="gramStart"/>
            <w:r>
              <w:t>fan</w:t>
            </w:r>
            <w:proofErr w:type="gramEnd"/>
            <w:r>
              <w:t xml:space="preserve">-out ». Dans </w:t>
            </w:r>
            <w:r>
              <w:rPr>
                <w:i/>
              </w:rPr>
              <w:t>Termium Plus</w:t>
            </w:r>
            <w:r>
              <w:t>. Ottawa, CA-ON: Gouvernement du Canada, 8 octobre 2009.</w:t>
            </w:r>
            <w:hyperlink r:id="rId224" w:anchor="resultrecs">
              <w:r>
                <w:rPr>
                  <w:color w:val="4F81BD"/>
                </w:rPr>
                <w:t xml:space="preserve"> https://www.btb.termiumplus.gc.ca/tpv2alpha/alpha-fra.html?lang=fra&amp;i=1&amp;srchtxt=fan-out&amp;index=ent&amp;codom2nd_wet=1#resultrecs</w:t>
              </w:r>
            </w:hyperlink>
            <w:r>
              <w:t>.</w:t>
            </w:r>
          </w:p>
          <w:p w14:paraId="5EA722FB" w14:textId="77777777" w:rsidR="00BF18CF" w:rsidRDefault="00E51347">
            <w:r>
              <w:t xml:space="preserve">———. « </w:t>
            </w:r>
            <w:proofErr w:type="gramStart"/>
            <w:r>
              <w:t>répétable</w:t>
            </w:r>
            <w:proofErr w:type="gramEnd"/>
            <w:r>
              <w:t xml:space="preserve"> ». Dans </w:t>
            </w:r>
            <w:r>
              <w:rPr>
                <w:i/>
              </w:rPr>
              <w:t>Termium Plus</w:t>
            </w:r>
            <w:r>
              <w:t>. Ottawa, CA-ON: Gouvernement du Canada, 8 octobre 2009.</w:t>
            </w:r>
            <w:hyperlink r:id="rId225">
              <w:r>
                <w:rPr>
                  <w:color w:val="4F81BD"/>
                </w:rPr>
                <w:t xml:space="preserve"> https://www.btb.termiumplus.gc.ca/tpv2alpha/alpha-fra.html?lang=fra&amp;i=&amp;index=alt&amp;srchtxt=CATEGORIE%20REPETABLE</w:t>
              </w:r>
            </w:hyperlink>
            <w:r>
              <w:t>.</w:t>
            </w:r>
          </w:p>
          <w:p w14:paraId="4CF5E301" w14:textId="77777777" w:rsidR="00BF18CF" w:rsidRPr="00EE61A5" w:rsidRDefault="00E51347">
            <w:pPr>
              <w:rPr>
                <w:lang w:val="en-CA"/>
              </w:rPr>
            </w:pPr>
            <w:r w:rsidRPr="00EE61A5">
              <w:rPr>
                <w:lang w:val="en-CA"/>
              </w:rPr>
              <w:t xml:space="preserve">Wikipédia. « Fan-out ». Dans </w:t>
            </w:r>
            <w:r w:rsidRPr="00EE61A5">
              <w:rPr>
                <w:i/>
                <w:lang w:val="en-CA"/>
              </w:rPr>
              <w:t>Wikipédia</w:t>
            </w:r>
            <w:r w:rsidRPr="00EE61A5">
              <w:rPr>
                <w:lang w:val="en-CA"/>
              </w:rPr>
              <w:t>. San Francisco, US-CA: Wikipédia, 11 novembre 2020.</w:t>
            </w:r>
            <w:r w:rsidR="000467B7">
              <w:fldChar w:fldCharType="begin"/>
            </w:r>
            <w:r w:rsidR="000467B7" w:rsidRPr="000467B7">
              <w:rPr>
                <w:lang w:val="en-CA"/>
              </w:rPr>
              <w:instrText>HYPERLINK "https://fr.wikipedia.org/w/index.php?title=Fan-out&amp;oldid=176479075" \h</w:instrText>
            </w:r>
            <w:r w:rsidR="000467B7">
              <w:fldChar w:fldCharType="separate"/>
            </w:r>
            <w:r w:rsidRPr="00EE61A5">
              <w:rPr>
                <w:color w:val="4F81BD"/>
                <w:lang w:val="en-CA"/>
              </w:rPr>
              <w:t xml:space="preserve"> https://fr.wikipedia.org/w/index.php?title=Fan-out&amp;oldid=176479075</w:t>
            </w:r>
            <w:r w:rsidR="000467B7">
              <w:rPr>
                <w:color w:val="4F81BD"/>
                <w:lang w:val="en-CA"/>
              </w:rPr>
              <w:fldChar w:fldCharType="end"/>
            </w:r>
            <w:r w:rsidRPr="00EE61A5">
              <w:rPr>
                <w:lang w:val="en-CA"/>
              </w:rPr>
              <w:t>.</w:t>
            </w:r>
          </w:p>
        </w:tc>
      </w:tr>
      <w:tr w:rsidR="00BF18CF" w14:paraId="46A74728" w14:textId="77777777" w:rsidTr="00BF18CF">
        <w:tc>
          <w:tcPr>
            <w:tcW w:w="1656" w:type="dxa"/>
          </w:tcPr>
          <w:p w14:paraId="31A45E58" w14:textId="77777777" w:rsidR="00BF18CF" w:rsidRDefault="00E51347">
            <w:proofErr w:type="gramStart"/>
            <w:r>
              <w:rPr>
                <w:b/>
              </w:rPr>
              <w:t>plusieurs</w:t>
            </w:r>
            <w:proofErr w:type="gramEnd"/>
            <w:r>
              <w:rPr>
                <w:b/>
              </w:rPr>
              <w:t xml:space="preserve"> à un, nécessaire (1,1:0,n)</w:t>
            </w:r>
          </w:p>
        </w:tc>
        <w:tc>
          <w:tcPr>
            <w:tcW w:w="9034" w:type="dxa"/>
          </w:tcPr>
          <w:p w14:paraId="09C43163" w14:textId="77777777" w:rsidR="00BF18CF" w:rsidRDefault="00E51347">
            <w:r>
              <w:t xml:space="preserve">Une </w:t>
            </w:r>
            <w:hyperlink r:id="rId226" w:anchor="instance">
              <w:r>
                <w:rPr>
                  <w:color w:val="4F81BD"/>
                </w:rPr>
                <w:t>instance</w:t>
              </w:r>
            </w:hyperlink>
            <w:r>
              <w:t xml:space="preserve"> du </w:t>
            </w:r>
            <w:hyperlink r:id="rId227" w:anchor="domaine">
              <w:r>
                <w:rPr>
                  <w:color w:val="4F81BD"/>
                </w:rPr>
                <w:t>domaine</w:t>
              </w:r>
            </w:hyperlink>
            <w:r>
              <w:t xml:space="preserve"> de cette </w:t>
            </w:r>
            <w:hyperlink r:id="rId228" w:anchor="propriete">
              <w:r>
                <w:rPr>
                  <w:color w:val="4F81BD"/>
                </w:rPr>
                <w:t>propriété</w:t>
              </w:r>
            </w:hyperlink>
            <w:r>
              <w:t xml:space="preserve"> peut n’avoir qu’une seule instance de cette propriété, mais une instance de sa </w:t>
            </w:r>
            <w:hyperlink r:id="rId229" w:anchor="portee">
              <w:r>
                <w:rPr>
                  <w:color w:val="4F81BD"/>
                </w:rPr>
                <w:t>portée</w:t>
              </w:r>
            </w:hyperlink>
            <w:r>
              <w:t xml:space="preserve"> peut être référencée par aucune, une ou plusieurs instances de cette même propriété. En d’autres termes, le domaine de cette propriété est nécessaire et non répétable [n.d.t. c.-à-d. qu’une même propriété ne peut être utilisée qu'une seule fois avec une instance spécifique de son domaine], mais sa portée est optionnelle et répétable [n.d.t. c.-à-d. qu’une même propriété peut être utilisée à plusieurs reprises avec une même instance de sa portée]. Cette situation est parfois qualifiée d</w:t>
            </w:r>
            <w:proofErr w:type="gramStart"/>
            <w:r>
              <w:t>’«</w:t>
            </w:r>
            <w:proofErr w:type="gramEnd"/>
            <w:r>
              <w:t> entrance ».</w:t>
            </w:r>
          </w:p>
        </w:tc>
      </w:tr>
      <w:tr w:rsidR="00BF18CF" w14:paraId="792DB8AC" w14:textId="77777777" w:rsidTr="00BF18CF">
        <w:tc>
          <w:tcPr>
            <w:tcW w:w="1656" w:type="dxa"/>
          </w:tcPr>
          <w:p w14:paraId="1A61991C" w14:textId="2AA1E1CE" w:rsidR="00BF18CF" w:rsidRDefault="00F27208">
            <w:r>
              <w:rPr>
                <w:i/>
              </w:rPr>
              <w:t>Note de traduction</w:t>
            </w:r>
          </w:p>
        </w:tc>
        <w:tc>
          <w:tcPr>
            <w:tcW w:w="9034" w:type="dxa"/>
          </w:tcPr>
          <w:p w14:paraId="2D3B76E7" w14:textId="77777777" w:rsidR="00BF18CF" w:rsidRDefault="00E51347">
            <w:r>
              <w:t>Une propriété répétable est une propriété pouvant apparaître plus d'une fois dans un enregistrement avec le(s) même(s) domaine et/ou portée.</w:t>
            </w:r>
          </w:p>
          <w:p w14:paraId="5D4D4A71" w14:textId="77777777" w:rsidR="00BF18CF" w:rsidRDefault="00E51347">
            <w:r>
              <w:t>Une recherche sommaire indique que le terme « fan-in » est surtout usité dans le domaine des circuits booléens et de l’intelligence artificielle, où il est parfois question d’arité entrante ou d’entrance.</w:t>
            </w:r>
          </w:p>
        </w:tc>
      </w:tr>
      <w:tr w:rsidR="00BF18CF" w:rsidRPr="000467B7" w14:paraId="31335146" w14:textId="77777777" w:rsidTr="00BF18CF">
        <w:tc>
          <w:tcPr>
            <w:tcW w:w="1656" w:type="dxa"/>
          </w:tcPr>
          <w:p w14:paraId="6A12A6B4" w14:textId="77777777" w:rsidR="00BF18CF" w:rsidRDefault="00E51347">
            <w:r>
              <w:rPr>
                <w:i/>
              </w:rPr>
              <w:t>Références</w:t>
            </w:r>
          </w:p>
        </w:tc>
        <w:tc>
          <w:tcPr>
            <w:tcW w:w="9034" w:type="dxa"/>
          </w:tcPr>
          <w:p w14:paraId="689229EB" w14:textId="77777777" w:rsidR="00BF18CF" w:rsidRDefault="00E51347">
            <w:r>
              <w:t xml:space="preserve">Termium. « </w:t>
            </w:r>
            <w:proofErr w:type="gramStart"/>
            <w:r>
              <w:t>fan</w:t>
            </w:r>
            <w:proofErr w:type="gramEnd"/>
            <w:r>
              <w:t xml:space="preserve">-in ». Dans </w:t>
            </w:r>
            <w:r>
              <w:rPr>
                <w:i/>
              </w:rPr>
              <w:t>Termium Plus</w:t>
            </w:r>
            <w:r>
              <w:t>. Ottawa, CA-ON: Gouvernement du Canada, 8 octobre 2009.</w:t>
            </w:r>
            <w:hyperlink r:id="rId230" w:anchor="resultrecs">
              <w:r>
                <w:rPr>
                  <w:color w:val="4F81BD"/>
                </w:rPr>
                <w:t xml:space="preserve"> https://www.btb.termiumplus.gc.ca/tpv2alpha/alpha-fra.html?lang=fra&amp;i=1&amp;srchtxt=fan-in&amp;index=ent&amp;codom2nd_wet=1#resultrecs</w:t>
              </w:r>
            </w:hyperlink>
            <w:r>
              <w:t>.</w:t>
            </w:r>
          </w:p>
          <w:p w14:paraId="4A5F171A" w14:textId="77777777" w:rsidR="00BF18CF" w:rsidRDefault="00E51347">
            <w:r>
              <w:t xml:space="preserve">———. « </w:t>
            </w:r>
            <w:proofErr w:type="gramStart"/>
            <w:r>
              <w:t>répétable</w:t>
            </w:r>
            <w:proofErr w:type="gramEnd"/>
            <w:r>
              <w:t xml:space="preserve"> ». Dans </w:t>
            </w:r>
            <w:r>
              <w:rPr>
                <w:i/>
              </w:rPr>
              <w:t>Termium Plus</w:t>
            </w:r>
            <w:r>
              <w:t>. Ottawa, CA-ON: Gouvernement du Canada, 8 octobre 2009.</w:t>
            </w:r>
            <w:hyperlink r:id="rId231">
              <w:r>
                <w:rPr>
                  <w:color w:val="4F81BD"/>
                </w:rPr>
                <w:t xml:space="preserve"> https://www.btb.termiumplus.gc.ca/tpv2alpha/alpha-fra.html?lang=fra&amp;i=&amp;index=alt&amp;srchtxt=CATEGORIE%20REPETABLE</w:t>
              </w:r>
            </w:hyperlink>
            <w:r>
              <w:t>.</w:t>
            </w:r>
          </w:p>
          <w:p w14:paraId="3D062E84" w14:textId="77777777" w:rsidR="00BF18CF" w:rsidRPr="00EE61A5" w:rsidRDefault="00E51347">
            <w:pPr>
              <w:rPr>
                <w:lang w:val="en-CA"/>
              </w:rPr>
            </w:pPr>
            <w:r w:rsidRPr="00EE61A5">
              <w:rPr>
                <w:lang w:val="en-CA"/>
              </w:rPr>
              <w:t xml:space="preserve">Wikipédia. « Fan-in ». Dans </w:t>
            </w:r>
            <w:r w:rsidRPr="00EE61A5">
              <w:rPr>
                <w:i/>
                <w:lang w:val="en-CA"/>
              </w:rPr>
              <w:t>Wikipédia</w:t>
            </w:r>
            <w:r w:rsidRPr="00EE61A5">
              <w:rPr>
                <w:lang w:val="en-CA"/>
              </w:rPr>
              <w:t>. San Francisco, US-CA: Wikipédia, 11 novembre 2020.</w:t>
            </w:r>
            <w:r w:rsidR="000467B7">
              <w:fldChar w:fldCharType="begin"/>
            </w:r>
            <w:r w:rsidR="000467B7" w:rsidRPr="000467B7">
              <w:rPr>
                <w:lang w:val="en-CA"/>
              </w:rPr>
              <w:instrText>HYPERLINK "https://fr.wikipedia.org/w/index.php?title=Fan-in&amp;oldid=176479056" \h</w:instrText>
            </w:r>
            <w:r w:rsidR="000467B7">
              <w:fldChar w:fldCharType="separate"/>
            </w:r>
            <w:r w:rsidRPr="00EE61A5">
              <w:rPr>
                <w:color w:val="4F81BD"/>
                <w:lang w:val="en-CA"/>
              </w:rPr>
              <w:t xml:space="preserve"> https://fr.wikipedia.org/w/index.php?title=Fan-in&amp;oldid=176479056</w:t>
            </w:r>
            <w:r w:rsidR="000467B7">
              <w:rPr>
                <w:color w:val="4F81BD"/>
                <w:lang w:val="en-CA"/>
              </w:rPr>
              <w:fldChar w:fldCharType="end"/>
            </w:r>
            <w:r w:rsidRPr="00EE61A5">
              <w:rPr>
                <w:lang w:val="en-CA"/>
              </w:rPr>
              <w:t>.</w:t>
            </w:r>
          </w:p>
        </w:tc>
      </w:tr>
      <w:tr w:rsidR="00BF18CF" w14:paraId="19C87754" w14:textId="77777777" w:rsidTr="00BF18CF">
        <w:tc>
          <w:tcPr>
            <w:tcW w:w="1656" w:type="dxa"/>
          </w:tcPr>
          <w:p w14:paraId="18C1C3AC" w14:textId="77777777" w:rsidR="00BF18CF" w:rsidRDefault="00E51347">
            <w:proofErr w:type="gramStart"/>
            <w:r>
              <w:rPr>
                <w:b/>
              </w:rPr>
              <w:t>un</w:t>
            </w:r>
            <w:proofErr w:type="gramEnd"/>
            <w:r>
              <w:rPr>
                <w:b/>
              </w:rPr>
              <w:t xml:space="preserve"> à plusieurs, dépendant</w:t>
            </w:r>
          </w:p>
          <w:p w14:paraId="5C7C5DC5" w14:textId="77777777" w:rsidR="00BF18CF" w:rsidRDefault="00E51347">
            <w:r>
              <w:rPr>
                <w:b/>
              </w:rPr>
              <w:t>(</w:t>
            </w:r>
            <w:proofErr w:type="gramStart"/>
            <w:r>
              <w:rPr>
                <w:b/>
              </w:rPr>
              <w:t>0,n</w:t>
            </w:r>
            <w:proofErr w:type="gramEnd"/>
            <w:r>
              <w:rPr>
                <w:b/>
              </w:rPr>
              <w:t>:1,1)</w:t>
            </w:r>
          </w:p>
        </w:tc>
        <w:tc>
          <w:tcPr>
            <w:tcW w:w="9034" w:type="dxa"/>
          </w:tcPr>
          <w:p w14:paraId="2A2648ED" w14:textId="77777777" w:rsidR="00BF18CF" w:rsidRDefault="00E51347">
            <w:r>
              <w:t xml:space="preserve">Une </w:t>
            </w:r>
            <w:hyperlink r:id="rId232" w:anchor="instance">
              <w:r>
                <w:rPr>
                  <w:color w:val="4F81BD"/>
                </w:rPr>
                <w:t>instance</w:t>
              </w:r>
            </w:hyperlink>
            <w:r>
              <w:t xml:space="preserve"> individuelle du </w:t>
            </w:r>
            <w:hyperlink r:id="rId233" w:anchor="domaine">
              <w:r>
                <w:rPr>
                  <w:color w:val="4F81BD"/>
                </w:rPr>
                <w:t>domaine</w:t>
              </w:r>
            </w:hyperlink>
            <w:r>
              <w:t xml:space="preserve"> de cette </w:t>
            </w:r>
            <w:hyperlink r:id="rId234" w:anchor="propriete">
              <w:r>
                <w:rPr>
                  <w:color w:val="4F81BD"/>
                </w:rPr>
                <w:t>propriété</w:t>
              </w:r>
            </w:hyperlink>
            <w:r>
              <w:t xml:space="preserve"> peut n’avoir aucune, une ou plusieurs instance(s) de cette propriété, mais une instance individuelle de sa </w:t>
            </w:r>
            <w:hyperlink r:id="rId235" w:anchor="portee">
              <w:r>
                <w:rPr>
                  <w:color w:val="4F81BD"/>
                </w:rPr>
                <w:t>portée</w:t>
              </w:r>
            </w:hyperlink>
            <w:r>
              <w:t xml:space="preserve"> ne doit être référencée que par une seule instance de cette même propriété. En d’autres termes, le domaine de cette propriété est optionnel et répétable [n.d.t. c.-à-d. qu’une même propriété peut être utilisée à plusieurs reprises avec une même instance de son domaine], mais sa portée est nécessaire et non répétable [n.d.t. c.-à-d. qu’une même propriété ne peut être utilisée qu'une seule fois avec une instance spécifique de sa portée]. Cette situation est parfois qualifiée de « sortance ».</w:t>
            </w:r>
          </w:p>
        </w:tc>
      </w:tr>
      <w:tr w:rsidR="00BF18CF" w14:paraId="04692AAF" w14:textId="77777777" w:rsidTr="00BF18CF">
        <w:tc>
          <w:tcPr>
            <w:tcW w:w="1656" w:type="dxa"/>
          </w:tcPr>
          <w:p w14:paraId="3A969314" w14:textId="501F7B95" w:rsidR="00BF18CF" w:rsidRDefault="00F27208">
            <w:r>
              <w:rPr>
                <w:i/>
              </w:rPr>
              <w:lastRenderedPageBreak/>
              <w:t>Note de traduction</w:t>
            </w:r>
          </w:p>
        </w:tc>
        <w:tc>
          <w:tcPr>
            <w:tcW w:w="9034" w:type="dxa"/>
          </w:tcPr>
          <w:p w14:paraId="3D953DA2" w14:textId="77777777" w:rsidR="00BF18CF" w:rsidRDefault="00E51347">
            <w:r>
              <w:t>Une propriété répétable est une propriété pouvant apparaître plus d'une fois dans un enregistrement avec le(s) même(s) domaine et/ou portée.</w:t>
            </w:r>
          </w:p>
          <w:p w14:paraId="216A41C0" w14:textId="77777777" w:rsidR="00BF18CF" w:rsidRDefault="00E51347">
            <w:r>
              <w:t>Une recherche sommaire indique que le terme « fan-out » est surtout usité dans le domaine des circuits booléens et de l’intelligence artificielle où il est parfois question d’arité sortante ou de sortance.</w:t>
            </w:r>
          </w:p>
        </w:tc>
      </w:tr>
      <w:tr w:rsidR="00BF18CF" w:rsidRPr="000467B7" w14:paraId="29717A29" w14:textId="77777777" w:rsidTr="00BF18CF">
        <w:tc>
          <w:tcPr>
            <w:tcW w:w="1656" w:type="dxa"/>
          </w:tcPr>
          <w:p w14:paraId="51973D6F" w14:textId="77777777" w:rsidR="00BF18CF" w:rsidRDefault="00E51347">
            <w:r>
              <w:rPr>
                <w:i/>
              </w:rPr>
              <w:t>Références</w:t>
            </w:r>
          </w:p>
        </w:tc>
        <w:tc>
          <w:tcPr>
            <w:tcW w:w="9034" w:type="dxa"/>
          </w:tcPr>
          <w:p w14:paraId="321CBE91" w14:textId="77777777" w:rsidR="00BF18CF" w:rsidRDefault="00E51347">
            <w:r>
              <w:t xml:space="preserve">Termium. « </w:t>
            </w:r>
            <w:proofErr w:type="gramStart"/>
            <w:r>
              <w:t>fan</w:t>
            </w:r>
            <w:proofErr w:type="gramEnd"/>
            <w:r>
              <w:t xml:space="preserve">-out ». Dans </w:t>
            </w:r>
            <w:r>
              <w:rPr>
                <w:i/>
              </w:rPr>
              <w:t>Termium Plus</w:t>
            </w:r>
            <w:r>
              <w:t>. Ottawa, CA-ON: Gouvernement du Canada, 8 octobre 2009.</w:t>
            </w:r>
            <w:hyperlink r:id="rId236" w:anchor="resultrecs">
              <w:r>
                <w:rPr>
                  <w:color w:val="4F81BD"/>
                </w:rPr>
                <w:t xml:space="preserve"> https://www.btb.termiumplus.gc.ca/tpv2alpha/alpha-fra.html?lang=fra&amp;i=1&amp;srchtxt=fan-out&amp;index=ent&amp;codom2nd_wet=1#resultrecs</w:t>
              </w:r>
            </w:hyperlink>
            <w:r>
              <w:t>.</w:t>
            </w:r>
          </w:p>
          <w:p w14:paraId="13C78217" w14:textId="77777777" w:rsidR="00BF18CF" w:rsidRDefault="00E51347">
            <w:r>
              <w:t xml:space="preserve">———. « </w:t>
            </w:r>
            <w:proofErr w:type="gramStart"/>
            <w:r>
              <w:t>répétable</w:t>
            </w:r>
            <w:proofErr w:type="gramEnd"/>
            <w:r>
              <w:t xml:space="preserve"> ». Dans </w:t>
            </w:r>
            <w:r>
              <w:rPr>
                <w:i/>
              </w:rPr>
              <w:t>Termium Plus</w:t>
            </w:r>
            <w:r>
              <w:t>. Ottawa, CA-ON: Gouvernement du Canada, 8 octobre 2009.</w:t>
            </w:r>
            <w:hyperlink r:id="rId237">
              <w:r>
                <w:rPr>
                  <w:color w:val="4F81BD"/>
                </w:rPr>
                <w:t xml:space="preserve"> https://www.btb.termiumplus.gc.ca/tpv2alpha/alpha-fra.html?lang=fra&amp;i=&amp;index=alt&amp;srchtxt=CATEGORIE%20REPETABLE</w:t>
              </w:r>
            </w:hyperlink>
            <w:r>
              <w:t>.</w:t>
            </w:r>
          </w:p>
          <w:p w14:paraId="67D675C8" w14:textId="77777777" w:rsidR="00BF18CF" w:rsidRPr="00EE61A5" w:rsidRDefault="00E51347">
            <w:pPr>
              <w:rPr>
                <w:lang w:val="en-CA"/>
              </w:rPr>
            </w:pPr>
            <w:r w:rsidRPr="00EE61A5">
              <w:rPr>
                <w:lang w:val="en-CA"/>
              </w:rPr>
              <w:t xml:space="preserve">Wikipédia. « Fan-out ». Dans </w:t>
            </w:r>
            <w:r w:rsidRPr="00EE61A5">
              <w:rPr>
                <w:i/>
                <w:lang w:val="en-CA"/>
              </w:rPr>
              <w:t>Wikipédia</w:t>
            </w:r>
            <w:r w:rsidRPr="00EE61A5">
              <w:rPr>
                <w:lang w:val="en-CA"/>
              </w:rPr>
              <w:t>. San Francisco, US-CA: Wikipédia, 11 novembre 2020.</w:t>
            </w:r>
            <w:r w:rsidR="000467B7">
              <w:fldChar w:fldCharType="begin"/>
            </w:r>
            <w:r w:rsidR="000467B7" w:rsidRPr="000467B7">
              <w:rPr>
                <w:lang w:val="en-CA"/>
              </w:rPr>
              <w:instrText>H</w:instrText>
            </w:r>
            <w:r w:rsidR="000467B7" w:rsidRPr="000467B7">
              <w:rPr>
                <w:lang w:val="en-CA"/>
              </w:rPr>
              <w:instrText>YPERLINK "https://fr.wikipedia.org/w/index.php?title=Fan-out&amp;oldid=176479075" \h</w:instrText>
            </w:r>
            <w:r w:rsidR="000467B7">
              <w:fldChar w:fldCharType="separate"/>
            </w:r>
            <w:r w:rsidRPr="00EE61A5">
              <w:rPr>
                <w:color w:val="4F81BD"/>
                <w:lang w:val="en-CA"/>
              </w:rPr>
              <w:t xml:space="preserve"> https://fr.wikipedia.org/w/index.php?title=Fan-out&amp;oldid=176479075</w:t>
            </w:r>
            <w:r w:rsidR="000467B7">
              <w:rPr>
                <w:color w:val="4F81BD"/>
                <w:lang w:val="en-CA"/>
              </w:rPr>
              <w:fldChar w:fldCharType="end"/>
            </w:r>
            <w:r w:rsidRPr="00EE61A5">
              <w:rPr>
                <w:lang w:val="en-CA"/>
              </w:rPr>
              <w:t>.</w:t>
            </w:r>
          </w:p>
        </w:tc>
      </w:tr>
      <w:tr w:rsidR="00BF18CF" w14:paraId="63C19D73" w14:textId="77777777" w:rsidTr="00BF18CF">
        <w:tc>
          <w:tcPr>
            <w:tcW w:w="1656" w:type="dxa"/>
          </w:tcPr>
          <w:p w14:paraId="01683E15" w14:textId="77777777" w:rsidR="00BF18CF" w:rsidRDefault="00E51347">
            <w:proofErr w:type="gramStart"/>
            <w:r>
              <w:rPr>
                <w:b/>
              </w:rPr>
              <w:t>un</w:t>
            </w:r>
            <w:proofErr w:type="gramEnd"/>
            <w:r>
              <w:rPr>
                <w:b/>
              </w:rPr>
              <w:t xml:space="preserve"> à plusieurs,</w:t>
            </w:r>
          </w:p>
          <w:p w14:paraId="17224E2C" w14:textId="77777777" w:rsidR="00BF18CF" w:rsidRDefault="00E51347">
            <w:proofErr w:type="gramStart"/>
            <w:r>
              <w:rPr>
                <w:b/>
              </w:rPr>
              <w:t>nécessaire</w:t>
            </w:r>
            <w:proofErr w:type="gramEnd"/>
            <w:r>
              <w:rPr>
                <w:b/>
              </w:rPr>
              <w:t>, dépendant</w:t>
            </w:r>
          </w:p>
          <w:p w14:paraId="1A1DBDB6" w14:textId="77777777" w:rsidR="00BF18CF" w:rsidRDefault="00E51347">
            <w:r>
              <w:rPr>
                <w:b/>
              </w:rPr>
              <w:t>(</w:t>
            </w:r>
            <w:proofErr w:type="gramStart"/>
            <w:r>
              <w:rPr>
                <w:b/>
              </w:rPr>
              <w:t>1,n</w:t>
            </w:r>
            <w:proofErr w:type="gramEnd"/>
            <w:r>
              <w:rPr>
                <w:b/>
              </w:rPr>
              <w:t>:1,1)</w:t>
            </w:r>
          </w:p>
        </w:tc>
        <w:tc>
          <w:tcPr>
            <w:tcW w:w="9034" w:type="dxa"/>
          </w:tcPr>
          <w:p w14:paraId="0203B84A" w14:textId="77777777" w:rsidR="00BF18CF" w:rsidRDefault="00E51347">
            <w:r>
              <w:t xml:space="preserve">Une </w:t>
            </w:r>
            <w:hyperlink r:id="rId238" w:anchor="instance">
              <w:r>
                <w:rPr>
                  <w:color w:val="4F81BD"/>
                </w:rPr>
                <w:t>instance</w:t>
              </w:r>
            </w:hyperlink>
            <w:r>
              <w:t xml:space="preserve"> individuelle du </w:t>
            </w:r>
            <w:hyperlink r:id="rId239" w:anchor="domaine">
              <w:r>
                <w:rPr>
                  <w:color w:val="4F81BD"/>
                </w:rPr>
                <w:t>domaine</w:t>
              </w:r>
            </w:hyperlink>
            <w:r>
              <w:t xml:space="preserve"> de cette </w:t>
            </w:r>
            <w:hyperlink r:id="rId240" w:anchor="propriete">
              <w:r>
                <w:rPr>
                  <w:color w:val="4F81BD"/>
                </w:rPr>
                <w:t>propriété</w:t>
              </w:r>
            </w:hyperlink>
            <w:r>
              <w:t xml:space="preserve"> peut n’avoir qu’une seule ou plusieurs instance(s) de cette propriété, mais une instance individuelle de sa </w:t>
            </w:r>
            <w:hyperlink r:id="rId241" w:anchor="portee">
              <w:r>
                <w:rPr>
                  <w:color w:val="4F81BD"/>
                </w:rPr>
                <w:t>portée</w:t>
              </w:r>
            </w:hyperlink>
            <w:r>
              <w:t xml:space="preserve"> ne doit être référencée que par une seule instance de cette même propriété. En d’autres termes, le domaine de cette propriété est nécessaire et répétable [n.d.t. c.-à-d. qu’une même propriété peut être utilisée à plusieurs reprises avec une même instance de son domaine] et sa portée est nécessaire mais non répétable [n.d.t. c.-à-d. qu’une même propriété ne peut être utilisée qu'une seule fois avec une instance spécifique de sa portée]. Cette situation est parfois qualifiée de « sortance ».</w:t>
            </w:r>
          </w:p>
        </w:tc>
      </w:tr>
      <w:tr w:rsidR="00BF18CF" w14:paraId="68638CA0" w14:textId="77777777" w:rsidTr="00BF18CF">
        <w:tc>
          <w:tcPr>
            <w:tcW w:w="1656" w:type="dxa"/>
          </w:tcPr>
          <w:p w14:paraId="15C22D92" w14:textId="1CE5B3FB" w:rsidR="00BF18CF" w:rsidRDefault="00F27208">
            <w:r>
              <w:rPr>
                <w:i/>
              </w:rPr>
              <w:t>Note de traduction</w:t>
            </w:r>
          </w:p>
        </w:tc>
        <w:tc>
          <w:tcPr>
            <w:tcW w:w="9034" w:type="dxa"/>
          </w:tcPr>
          <w:p w14:paraId="555AF23C" w14:textId="77777777" w:rsidR="00BF18CF" w:rsidRDefault="00E51347">
            <w:r>
              <w:t>Une propriété répétable est une propriété pouvant apparaître plus d'une fois dans un enregistrement avec le(s) même(s) domaine et/ou portée.</w:t>
            </w:r>
          </w:p>
          <w:p w14:paraId="1D0BCA7B" w14:textId="77777777" w:rsidR="00BF18CF" w:rsidRDefault="00E51347">
            <w:r>
              <w:t>Une recherche sommaire indique que le terme « fan-in » est surtout usité dans le domaine des circuits booléens et de l’intelligence artificielle, où il est parfois question d’arité entrante ou d’entrance.</w:t>
            </w:r>
          </w:p>
        </w:tc>
      </w:tr>
      <w:tr w:rsidR="00BF18CF" w:rsidRPr="000467B7" w14:paraId="488CF364" w14:textId="77777777" w:rsidTr="00BF18CF">
        <w:tc>
          <w:tcPr>
            <w:tcW w:w="1656" w:type="dxa"/>
          </w:tcPr>
          <w:p w14:paraId="4E16BBF4" w14:textId="77777777" w:rsidR="00BF18CF" w:rsidRDefault="00E51347">
            <w:r>
              <w:rPr>
                <w:i/>
              </w:rPr>
              <w:t>Références</w:t>
            </w:r>
          </w:p>
        </w:tc>
        <w:tc>
          <w:tcPr>
            <w:tcW w:w="9034" w:type="dxa"/>
          </w:tcPr>
          <w:p w14:paraId="593553B5" w14:textId="77777777" w:rsidR="00BF18CF" w:rsidRDefault="00E51347">
            <w:r>
              <w:t xml:space="preserve">Termium. « </w:t>
            </w:r>
            <w:proofErr w:type="gramStart"/>
            <w:r>
              <w:t>fan</w:t>
            </w:r>
            <w:proofErr w:type="gramEnd"/>
            <w:r>
              <w:t xml:space="preserve">-in ». Dans </w:t>
            </w:r>
            <w:r>
              <w:rPr>
                <w:i/>
              </w:rPr>
              <w:t>Termium Plus</w:t>
            </w:r>
            <w:r>
              <w:t>. Ottawa, CA-ON: Gouvernement du Canada, 8 octobre 2009.</w:t>
            </w:r>
            <w:hyperlink r:id="rId242" w:anchor="resultrecs">
              <w:r>
                <w:rPr>
                  <w:color w:val="4F81BD"/>
                </w:rPr>
                <w:t xml:space="preserve"> https://www.btb.termiumplus.gc.ca/tpv2alpha/alpha-fra.html?lang=fra&amp;i=1&amp;srchtxt=fan-in&amp;index=ent&amp;codom2nd_wet=1#resultrecs</w:t>
              </w:r>
            </w:hyperlink>
            <w:r>
              <w:t>.</w:t>
            </w:r>
          </w:p>
          <w:p w14:paraId="6DD93F50" w14:textId="77777777" w:rsidR="00BF18CF" w:rsidRDefault="00E51347">
            <w:r>
              <w:t xml:space="preserve">———. « </w:t>
            </w:r>
            <w:proofErr w:type="gramStart"/>
            <w:r>
              <w:t>répétable</w:t>
            </w:r>
            <w:proofErr w:type="gramEnd"/>
            <w:r>
              <w:t xml:space="preserve"> ». Dans </w:t>
            </w:r>
            <w:r>
              <w:rPr>
                <w:i/>
              </w:rPr>
              <w:t>Termium Plus</w:t>
            </w:r>
            <w:r>
              <w:t>. Ottawa, CA-ON: Gouvernement du Canada, 8 octobre 2009.</w:t>
            </w:r>
            <w:hyperlink r:id="rId243">
              <w:r>
                <w:rPr>
                  <w:color w:val="4F81BD"/>
                </w:rPr>
                <w:t xml:space="preserve"> https://www.btb.termiumplus.gc.ca/tpv2alpha/alpha-fra.html?lang=fra&amp;i=&amp;index=alt&amp;srchtxt=CATEGORIE%20REPETABLE</w:t>
              </w:r>
            </w:hyperlink>
            <w:r>
              <w:t>.</w:t>
            </w:r>
          </w:p>
          <w:p w14:paraId="425EC3DE" w14:textId="77777777" w:rsidR="00BF18CF" w:rsidRPr="00EE61A5" w:rsidRDefault="00E51347">
            <w:pPr>
              <w:rPr>
                <w:lang w:val="en-CA"/>
              </w:rPr>
            </w:pPr>
            <w:r w:rsidRPr="00EE61A5">
              <w:rPr>
                <w:lang w:val="en-CA"/>
              </w:rPr>
              <w:t xml:space="preserve">Wikipédia. « Fan-in ». Dans </w:t>
            </w:r>
            <w:r w:rsidRPr="00EE61A5">
              <w:rPr>
                <w:i/>
                <w:lang w:val="en-CA"/>
              </w:rPr>
              <w:t>Wikipédia</w:t>
            </w:r>
            <w:r w:rsidRPr="00EE61A5">
              <w:rPr>
                <w:lang w:val="en-CA"/>
              </w:rPr>
              <w:t>. San Francisco, US-CA: Wikipédia, 11 novembre 2020.</w:t>
            </w:r>
            <w:r w:rsidR="000467B7">
              <w:fldChar w:fldCharType="begin"/>
            </w:r>
            <w:r w:rsidR="000467B7" w:rsidRPr="000467B7">
              <w:rPr>
                <w:lang w:val="en-CA"/>
              </w:rPr>
              <w:instrText>HYPERLINK "https://fr.wikipedia.org/w/index.php?title=Fan-in&amp;o</w:instrText>
            </w:r>
            <w:r w:rsidR="000467B7" w:rsidRPr="000467B7">
              <w:rPr>
                <w:lang w:val="en-CA"/>
              </w:rPr>
              <w:instrText>ldid=176479056" \h</w:instrText>
            </w:r>
            <w:r w:rsidR="000467B7">
              <w:fldChar w:fldCharType="separate"/>
            </w:r>
            <w:r w:rsidRPr="00EE61A5">
              <w:rPr>
                <w:color w:val="4F81BD"/>
                <w:lang w:val="en-CA"/>
              </w:rPr>
              <w:t xml:space="preserve"> https://fr.wikipedia.org/w/index.php?title=Fan-in&amp;oldid=176479056</w:t>
            </w:r>
            <w:r w:rsidR="000467B7">
              <w:rPr>
                <w:color w:val="4F81BD"/>
                <w:lang w:val="en-CA"/>
              </w:rPr>
              <w:fldChar w:fldCharType="end"/>
            </w:r>
            <w:r w:rsidRPr="00EE61A5">
              <w:rPr>
                <w:lang w:val="en-CA"/>
              </w:rPr>
              <w:t>.</w:t>
            </w:r>
          </w:p>
        </w:tc>
      </w:tr>
      <w:tr w:rsidR="00BF18CF" w14:paraId="38E9B459" w14:textId="77777777" w:rsidTr="00BF18CF">
        <w:tc>
          <w:tcPr>
            <w:tcW w:w="1656" w:type="dxa"/>
          </w:tcPr>
          <w:p w14:paraId="626211B4" w14:textId="77777777" w:rsidR="00BF18CF" w:rsidRDefault="00E51347">
            <w:proofErr w:type="gramStart"/>
            <w:r>
              <w:rPr>
                <w:b/>
              </w:rPr>
              <w:t>plusieurs</w:t>
            </w:r>
            <w:proofErr w:type="gramEnd"/>
            <w:r>
              <w:rPr>
                <w:b/>
              </w:rPr>
              <w:t xml:space="preserve"> à un, nécessaire,</w:t>
            </w:r>
          </w:p>
          <w:p w14:paraId="674E0014" w14:textId="77777777" w:rsidR="00BF18CF" w:rsidRDefault="00E51347">
            <w:proofErr w:type="gramStart"/>
            <w:r>
              <w:rPr>
                <w:b/>
              </w:rPr>
              <w:t>dépendant</w:t>
            </w:r>
            <w:proofErr w:type="gramEnd"/>
          </w:p>
          <w:p w14:paraId="3665E95D" w14:textId="77777777" w:rsidR="00BF18CF" w:rsidRDefault="00E51347">
            <w:r>
              <w:rPr>
                <w:b/>
              </w:rPr>
              <w:lastRenderedPageBreak/>
              <w:t>(1,1:</w:t>
            </w:r>
            <w:proofErr w:type="gramStart"/>
            <w:r>
              <w:rPr>
                <w:b/>
              </w:rPr>
              <w:t>1,n</w:t>
            </w:r>
            <w:proofErr w:type="gramEnd"/>
            <w:r>
              <w:rPr>
                <w:b/>
              </w:rPr>
              <w:t>)</w:t>
            </w:r>
          </w:p>
        </w:tc>
        <w:tc>
          <w:tcPr>
            <w:tcW w:w="9034" w:type="dxa"/>
          </w:tcPr>
          <w:p w14:paraId="7EB6766A" w14:textId="77777777" w:rsidR="00BF18CF" w:rsidRDefault="00E51347">
            <w:r>
              <w:lastRenderedPageBreak/>
              <w:t xml:space="preserve">Une </w:t>
            </w:r>
            <w:hyperlink r:id="rId244" w:anchor="instance">
              <w:r>
                <w:rPr>
                  <w:color w:val="4F81BD"/>
                </w:rPr>
                <w:t>instance</w:t>
              </w:r>
            </w:hyperlink>
            <w:r>
              <w:t xml:space="preserve"> individuelle du </w:t>
            </w:r>
            <w:hyperlink r:id="rId245" w:anchor="domaine">
              <w:r>
                <w:rPr>
                  <w:color w:val="4F81BD"/>
                </w:rPr>
                <w:t>domaine</w:t>
              </w:r>
            </w:hyperlink>
            <w:r>
              <w:t xml:space="preserve"> de cette </w:t>
            </w:r>
            <w:hyperlink r:id="rId246" w:anchor="propriete">
              <w:r>
                <w:rPr>
                  <w:color w:val="4F81BD"/>
                </w:rPr>
                <w:t>propriété</w:t>
              </w:r>
            </w:hyperlink>
            <w:r>
              <w:t xml:space="preserve"> doit n’avoir qu’une seule instance de cette propriété, mais une instance individuelle de sa </w:t>
            </w:r>
            <w:hyperlink r:id="rId247" w:anchor="portee">
              <w:r>
                <w:rPr>
                  <w:color w:val="4F81BD"/>
                </w:rPr>
                <w:t>portée</w:t>
              </w:r>
            </w:hyperlink>
            <w:r>
              <w:t xml:space="preserve"> peut être référencée par une ou plusieurs instances de cette même propriété. En d'autres termes, le domaine de cette propriété est nécessaire et non répétable [n.d.t. c.-à-d. qu’une même propriété ne peut être utilisée qu'une seule fois avec une instance spécifique de son domaine], tandis que la portée est nécessaire et répétable [n.d.t. c.-</w:t>
            </w:r>
            <w:r>
              <w:lastRenderedPageBreak/>
              <w:t>à-d. qu’une même propriété peut être utilisée à plusieurs reprises avec une même instance de sa portée]. Cette situation est parfois qualifiée d</w:t>
            </w:r>
            <w:proofErr w:type="gramStart"/>
            <w:r>
              <w:t>’«</w:t>
            </w:r>
            <w:proofErr w:type="gramEnd"/>
            <w:r>
              <w:t> entrance ».</w:t>
            </w:r>
          </w:p>
        </w:tc>
      </w:tr>
      <w:tr w:rsidR="00BF18CF" w14:paraId="66676D8B" w14:textId="77777777" w:rsidTr="00BF18CF">
        <w:tc>
          <w:tcPr>
            <w:tcW w:w="1656" w:type="dxa"/>
          </w:tcPr>
          <w:p w14:paraId="78B88D46" w14:textId="49FB3B78" w:rsidR="00BF18CF" w:rsidRDefault="00F27208">
            <w:r>
              <w:rPr>
                <w:i/>
              </w:rPr>
              <w:lastRenderedPageBreak/>
              <w:t>Note de traduction</w:t>
            </w:r>
          </w:p>
        </w:tc>
        <w:tc>
          <w:tcPr>
            <w:tcW w:w="9034" w:type="dxa"/>
          </w:tcPr>
          <w:p w14:paraId="5B10B98E" w14:textId="77777777" w:rsidR="00BF18CF" w:rsidRDefault="00E51347">
            <w:r>
              <w:t>Une propriété répétable est une propriété pouvant apparaître plus d'une fois dans un enregistrement avec le(s) même(s) domaine et/ou portée.</w:t>
            </w:r>
          </w:p>
          <w:p w14:paraId="2BAB51A2" w14:textId="77777777" w:rsidR="00BF18CF" w:rsidRDefault="00E51347">
            <w:r>
              <w:t>Une recherche sommaire indique que le terme « fan-in » est surtout usité dans le domaine des circuits booléens et de l’intelligence artificielle, où il est parfois question d’arité entrante ou d’entrance.</w:t>
            </w:r>
          </w:p>
        </w:tc>
      </w:tr>
      <w:tr w:rsidR="00BF18CF" w:rsidRPr="000467B7" w14:paraId="2337FF02" w14:textId="77777777" w:rsidTr="00BF18CF">
        <w:tc>
          <w:tcPr>
            <w:tcW w:w="1656" w:type="dxa"/>
          </w:tcPr>
          <w:p w14:paraId="28E26875" w14:textId="77777777" w:rsidR="00BF18CF" w:rsidRDefault="00E51347">
            <w:r>
              <w:rPr>
                <w:i/>
              </w:rPr>
              <w:t>Références</w:t>
            </w:r>
          </w:p>
        </w:tc>
        <w:tc>
          <w:tcPr>
            <w:tcW w:w="9034" w:type="dxa"/>
          </w:tcPr>
          <w:p w14:paraId="10CE06C1" w14:textId="77777777" w:rsidR="00BF18CF" w:rsidRDefault="00E51347">
            <w:r>
              <w:t xml:space="preserve">Termium. « </w:t>
            </w:r>
            <w:proofErr w:type="gramStart"/>
            <w:r>
              <w:t>fan</w:t>
            </w:r>
            <w:proofErr w:type="gramEnd"/>
            <w:r>
              <w:t xml:space="preserve">-in ». Dans </w:t>
            </w:r>
            <w:r>
              <w:rPr>
                <w:i/>
              </w:rPr>
              <w:t>Termium Plus</w:t>
            </w:r>
            <w:r>
              <w:t>. Ottawa, CA-ON: Gouvernement du Canada, 8 octobre 2009.</w:t>
            </w:r>
            <w:hyperlink r:id="rId248" w:anchor="resultrecs">
              <w:r>
                <w:rPr>
                  <w:color w:val="4F81BD"/>
                </w:rPr>
                <w:t xml:space="preserve"> https://www.btb.termiumplus.gc.ca/tpv2alpha/alpha-fra.html?lang=fra&amp;i=1&amp;srchtxt=fan-in&amp;index=ent&amp;codom2nd_wet=1#resultrecs</w:t>
              </w:r>
            </w:hyperlink>
            <w:r>
              <w:t>.</w:t>
            </w:r>
          </w:p>
          <w:p w14:paraId="4AE5E112" w14:textId="77777777" w:rsidR="00BF18CF" w:rsidRDefault="00E51347">
            <w:r>
              <w:t xml:space="preserve">———. « </w:t>
            </w:r>
            <w:proofErr w:type="gramStart"/>
            <w:r>
              <w:t>répétable</w:t>
            </w:r>
            <w:proofErr w:type="gramEnd"/>
            <w:r>
              <w:t xml:space="preserve"> ». Dans </w:t>
            </w:r>
            <w:r>
              <w:rPr>
                <w:i/>
              </w:rPr>
              <w:t>Termium Plus</w:t>
            </w:r>
            <w:r>
              <w:t>. Ottawa, CA-ON: Gouvernement du Canada, 8 octobre 2009.</w:t>
            </w:r>
            <w:hyperlink r:id="rId249">
              <w:r>
                <w:rPr>
                  <w:color w:val="4F81BD"/>
                </w:rPr>
                <w:t xml:space="preserve"> https://www.btb.termiumplus.gc.ca/tpv2alpha/alpha-fra.html?lang=fra&amp;i=&amp;index=alt&amp;srchtxt=CATEGORIE%20REPETABLE</w:t>
              </w:r>
            </w:hyperlink>
            <w:r>
              <w:t>.</w:t>
            </w:r>
          </w:p>
          <w:p w14:paraId="6FF849E6" w14:textId="77777777" w:rsidR="00BF18CF" w:rsidRPr="00EE61A5" w:rsidRDefault="00E51347">
            <w:pPr>
              <w:rPr>
                <w:lang w:val="en-CA"/>
              </w:rPr>
            </w:pPr>
            <w:r w:rsidRPr="00EE61A5">
              <w:rPr>
                <w:lang w:val="en-CA"/>
              </w:rPr>
              <w:t xml:space="preserve">Wikipédia. « Fan-in ». Dans </w:t>
            </w:r>
            <w:r w:rsidRPr="00EE61A5">
              <w:rPr>
                <w:i/>
                <w:lang w:val="en-CA"/>
              </w:rPr>
              <w:t>Wikipédia</w:t>
            </w:r>
            <w:r w:rsidRPr="00EE61A5">
              <w:rPr>
                <w:lang w:val="en-CA"/>
              </w:rPr>
              <w:t>. San Francisco, US-CA: Wikipédia, 11 novembre 2020.</w:t>
            </w:r>
            <w:r w:rsidR="000467B7">
              <w:fldChar w:fldCharType="begin"/>
            </w:r>
            <w:r w:rsidR="000467B7" w:rsidRPr="000467B7">
              <w:rPr>
                <w:lang w:val="en-CA"/>
              </w:rPr>
              <w:instrText>HYPERLINK "https://fr.wikipedia.org/w/index.php?title=Fan-in&amp;oldid=176479056" \h</w:instrText>
            </w:r>
            <w:r w:rsidR="000467B7">
              <w:fldChar w:fldCharType="separate"/>
            </w:r>
            <w:r w:rsidRPr="00EE61A5">
              <w:rPr>
                <w:color w:val="4F81BD"/>
                <w:lang w:val="en-CA"/>
              </w:rPr>
              <w:t xml:space="preserve"> https://fr.wikipedia.org/w/index.php?title=Fan-in&amp;oldid=176479056</w:t>
            </w:r>
            <w:r w:rsidR="000467B7">
              <w:rPr>
                <w:color w:val="4F81BD"/>
                <w:lang w:val="en-CA"/>
              </w:rPr>
              <w:fldChar w:fldCharType="end"/>
            </w:r>
            <w:r w:rsidRPr="00EE61A5">
              <w:rPr>
                <w:lang w:val="en-CA"/>
              </w:rPr>
              <w:t>.</w:t>
            </w:r>
          </w:p>
        </w:tc>
      </w:tr>
      <w:tr w:rsidR="00BF18CF" w14:paraId="5B21445A" w14:textId="77777777" w:rsidTr="00BF18CF">
        <w:tc>
          <w:tcPr>
            <w:tcW w:w="1656" w:type="dxa"/>
          </w:tcPr>
          <w:p w14:paraId="363EAC58" w14:textId="77777777" w:rsidR="00BF18CF" w:rsidRDefault="00E51347">
            <w:proofErr w:type="gramStart"/>
            <w:r>
              <w:rPr>
                <w:b/>
              </w:rPr>
              <w:t>un</w:t>
            </w:r>
            <w:proofErr w:type="gramEnd"/>
            <w:r>
              <w:rPr>
                <w:b/>
              </w:rPr>
              <w:t xml:space="preserve"> à un</w:t>
            </w:r>
          </w:p>
          <w:p w14:paraId="1D6683CA" w14:textId="77777777" w:rsidR="00BF18CF" w:rsidRDefault="00E51347">
            <w:r>
              <w:rPr>
                <w:b/>
              </w:rPr>
              <w:t>(1,1:1,1)</w:t>
            </w:r>
          </w:p>
        </w:tc>
        <w:tc>
          <w:tcPr>
            <w:tcW w:w="9034" w:type="dxa"/>
          </w:tcPr>
          <w:p w14:paraId="00DA8B5E" w14:textId="77777777" w:rsidR="00BF18CF" w:rsidRDefault="00E51347">
            <w:r>
              <w:t xml:space="preserve">Une </w:t>
            </w:r>
            <w:hyperlink r:id="rId250" w:anchor="instance">
              <w:r>
                <w:rPr>
                  <w:color w:val="4F81BD"/>
                </w:rPr>
                <w:t>instance</w:t>
              </w:r>
            </w:hyperlink>
            <w:r>
              <w:t xml:space="preserve"> individuelle du </w:t>
            </w:r>
            <w:hyperlink r:id="rId251" w:anchor="domaine">
              <w:r>
                <w:rPr>
                  <w:color w:val="4F81BD"/>
                </w:rPr>
                <w:t>domaine</w:t>
              </w:r>
            </w:hyperlink>
            <w:r>
              <w:t xml:space="preserve"> et une instance de la </w:t>
            </w:r>
            <w:hyperlink r:id="rId252" w:anchor="portee">
              <w:r>
                <w:rPr>
                  <w:color w:val="4F81BD"/>
                </w:rPr>
                <w:t>portée</w:t>
              </w:r>
            </w:hyperlink>
            <w:r>
              <w:t xml:space="preserve"> de cette </w:t>
            </w:r>
            <w:hyperlink r:id="rId253" w:anchor="propriete">
              <w:r>
                <w:rPr>
                  <w:color w:val="4F81BD"/>
                </w:rPr>
                <w:t>propriété</w:t>
              </w:r>
            </w:hyperlink>
            <w:r>
              <w:t xml:space="preserve"> doivent avoir exactement une instance de cette propriété. En d’autres termes, le domaine et la portée de cette propriété sont nécessaires et non répétables [n.d.t. c.-à-d. qu’une même propriété ne peut être utilisée qu’une seule fois avec une instance spécifique de son domaine et une instance spécifique de sa portée].</w:t>
            </w:r>
          </w:p>
        </w:tc>
      </w:tr>
      <w:tr w:rsidR="00BF18CF" w14:paraId="402A9762" w14:textId="77777777" w:rsidTr="00BF18CF">
        <w:tc>
          <w:tcPr>
            <w:tcW w:w="1656" w:type="dxa"/>
          </w:tcPr>
          <w:p w14:paraId="26481B2C" w14:textId="1C60A349" w:rsidR="00BF18CF" w:rsidRDefault="00F27208">
            <w:r>
              <w:rPr>
                <w:i/>
              </w:rPr>
              <w:t>Note de traduction</w:t>
            </w:r>
          </w:p>
        </w:tc>
        <w:tc>
          <w:tcPr>
            <w:tcW w:w="9034" w:type="dxa"/>
          </w:tcPr>
          <w:p w14:paraId="37472A32" w14:textId="77777777" w:rsidR="00BF18CF" w:rsidRDefault="00E51347">
            <w:r>
              <w:t>Une propriété répétable est une propriété pouvant apparaître plus d'une fois dans un enregistrement avec le(s) même(s) domaine et/ou portée.</w:t>
            </w:r>
          </w:p>
        </w:tc>
      </w:tr>
      <w:tr w:rsidR="00BF18CF" w14:paraId="66B70E85" w14:textId="77777777" w:rsidTr="00BF18CF">
        <w:tc>
          <w:tcPr>
            <w:tcW w:w="1656" w:type="dxa"/>
          </w:tcPr>
          <w:p w14:paraId="3CFE4E90" w14:textId="77777777" w:rsidR="00BF18CF" w:rsidRDefault="00E51347">
            <w:r>
              <w:rPr>
                <w:i/>
              </w:rPr>
              <w:t>Références</w:t>
            </w:r>
          </w:p>
        </w:tc>
        <w:tc>
          <w:tcPr>
            <w:tcW w:w="9034" w:type="dxa"/>
          </w:tcPr>
          <w:p w14:paraId="0318BA7D" w14:textId="77777777" w:rsidR="00BF18CF" w:rsidRDefault="00E51347">
            <w:r>
              <w:t xml:space="preserve">Termium. « </w:t>
            </w:r>
            <w:proofErr w:type="gramStart"/>
            <w:r>
              <w:t>répétable</w:t>
            </w:r>
            <w:proofErr w:type="gramEnd"/>
            <w:r>
              <w:t xml:space="preserve"> ». Dans </w:t>
            </w:r>
            <w:r>
              <w:rPr>
                <w:i/>
              </w:rPr>
              <w:t>Termium Plus</w:t>
            </w:r>
            <w:r>
              <w:t>. Ottawa, CA-ON: Gouvernement du Canada, 8 octobre 2009.</w:t>
            </w:r>
            <w:hyperlink r:id="rId254">
              <w:r>
                <w:rPr>
                  <w:color w:val="4F81BD"/>
                </w:rPr>
                <w:t xml:space="preserve"> https://www.btb.termiumplus.gc.ca/tpv2alpha/alpha-fra.html?lang=fra&amp;i=&amp;index=alt&amp;srchtxt=CATEGORIE%20REPETABLE</w:t>
              </w:r>
            </w:hyperlink>
            <w:r>
              <w:t>.</w:t>
            </w:r>
          </w:p>
        </w:tc>
      </w:tr>
    </w:tbl>
    <w:p w14:paraId="17B4FE9B" w14:textId="77777777" w:rsidR="00BF18CF" w:rsidRDefault="00BF18CF"/>
    <w:tbl>
      <w:tblPr>
        <w:tblStyle w:val="a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31FC70CF" w14:textId="77777777" w:rsidTr="00BF18CF">
        <w:tc>
          <w:tcPr>
            <w:tcW w:w="10690" w:type="dxa"/>
          </w:tcPr>
          <w:p w14:paraId="15983536" w14:textId="77777777" w:rsidR="00BF18CF" w:rsidRDefault="00E51347">
            <w:r>
              <w:t xml:space="preserve">Le CIDOC CRM définit certains dépendants entre les </w:t>
            </w:r>
            <w:hyperlink r:id="rId255" w:anchor="propriete">
              <w:r>
                <w:rPr>
                  <w:color w:val="4F81BD"/>
                </w:rPr>
                <w:t>propriétés</w:t>
              </w:r>
            </w:hyperlink>
            <w:r>
              <w:t xml:space="preserve"> et les </w:t>
            </w:r>
            <w:hyperlink r:id="rId256" w:anchor="classe">
              <w:r>
                <w:rPr>
                  <w:color w:val="4F81BD"/>
                </w:rPr>
                <w:t>classes</w:t>
              </w:r>
            </w:hyperlink>
            <w:r>
              <w:t xml:space="preserve"> sous la forme de leur </w:t>
            </w:r>
            <w:hyperlink r:id="rId257" w:anchor="domaine">
              <w:r>
                <w:rPr>
                  <w:color w:val="4F81BD"/>
                </w:rPr>
                <w:t>domaine</w:t>
              </w:r>
            </w:hyperlink>
            <w:r>
              <w:t xml:space="preserve"> et de leur </w:t>
            </w:r>
            <w:hyperlink r:id="rId258" w:anchor="portee">
              <w:r>
                <w:rPr>
                  <w:color w:val="4F81BD"/>
                </w:rPr>
                <w:t>portée</w:t>
              </w:r>
            </w:hyperlink>
            <w:r>
              <w:t>. Ceux-ci peuvent être l’une ou une combinaison des options suivantes :</w:t>
            </w:r>
          </w:p>
          <w:p w14:paraId="0B3E153D" w14:textId="77777777" w:rsidR="00BF18CF" w:rsidRDefault="00E51347">
            <w:pPr>
              <w:numPr>
                <w:ilvl w:val="0"/>
                <w:numId w:val="13"/>
              </w:numPr>
            </w:pPr>
            <w:proofErr w:type="gramStart"/>
            <w:r>
              <w:t>la</w:t>
            </w:r>
            <w:proofErr w:type="gramEnd"/>
            <w:r>
              <w:t xml:space="preserve"> propriété est nécessaire pour le domaine;</w:t>
            </w:r>
          </w:p>
          <w:p w14:paraId="67C1769C" w14:textId="77777777" w:rsidR="00BF18CF" w:rsidRDefault="00E51347">
            <w:pPr>
              <w:numPr>
                <w:ilvl w:val="0"/>
                <w:numId w:val="13"/>
              </w:numPr>
            </w:pPr>
            <w:proofErr w:type="gramStart"/>
            <w:r>
              <w:t>la</w:t>
            </w:r>
            <w:proofErr w:type="gramEnd"/>
            <w:r>
              <w:t xml:space="preserve"> propriété est nécessaire pour la portée ou, en d’autres termes, la portée dépend de la propriété.</w:t>
            </w:r>
          </w:p>
          <w:p w14:paraId="03F03A62" w14:textId="77777777" w:rsidR="00BF18CF" w:rsidRDefault="00E51347">
            <w:r>
              <w:t xml:space="preserve">Les dépendants possibles sont définis dans le tableau ci-haut. Si une propriété n’est pas spécifiée pour une </w:t>
            </w:r>
            <w:hyperlink r:id="rId259" w:anchor="instance">
              <w:r>
                <w:rPr>
                  <w:color w:val="4F81BD"/>
                </w:rPr>
                <w:t>instance</w:t>
              </w:r>
            </w:hyperlink>
            <w:r>
              <w:t xml:space="preserve"> de son domaine ou de sa portée, il est entendu que la propriété existe, mais qu’une valeur associée à une part ou à l’autre de la propriété est inconnue. Dans le cas des propriétés optionnelles, la méthodologie proposée par le CIDOC CRM n’établit pas de distinction entre une valeur inconnue et une propriété qui ne serait pas du tout applicable. Par exemple, un objet peut avoir un•e propriétaire sans que l’identité de ce•tte propriétaire ne soit connue. Dans le cadre du CIDOC CRM, une telle situation ne peut être distinguée d’un cas où l’objet n’aurait aucun•e propriétaire. Bien entendu, de tels détails peuvent être indiqués à l’aide de notes textuelles.</w:t>
            </w:r>
          </w:p>
        </w:tc>
      </w:tr>
    </w:tbl>
    <w:p w14:paraId="3C80794F" w14:textId="77777777" w:rsidR="00BF18CF" w:rsidRDefault="00BF18CF"/>
    <w:tbl>
      <w:tblPr>
        <w:tblStyle w:val="a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430"/>
        <w:gridCol w:w="9260"/>
      </w:tblGrid>
      <w:tr w:rsidR="00BF18CF" w14:paraId="153AFBFF" w14:textId="77777777" w:rsidTr="00BF18CF">
        <w:tc>
          <w:tcPr>
            <w:tcW w:w="1430" w:type="dxa"/>
          </w:tcPr>
          <w:p w14:paraId="27BAA9D0" w14:textId="35F52EFC" w:rsidR="00BF18CF" w:rsidRDefault="00F27208">
            <w:r>
              <w:rPr>
                <w:i/>
              </w:rPr>
              <w:t>Note de traduction</w:t>
            </w:r>
          </w:p>
        </w:tc>
        <w:tc>
          <w:tcPr>
            <w:tcW w:w="9260" w:type="dxa"/>
          </w:tcPr>
          <w:p w14:paraId="3F11496F" w14:textId="77777777" w:rsidR="00BF18CF" w:rsidRDefault="00E51347">
            <w:r>
              <w:t>Le terme « dépendant » a été préféré au terme « dépendance » en guise de traduction de « dependencies » puisqu’il transmet davantage le fait qu’il s’agit d’un élément qui s’inscrit dans la suite d’un autre (qui en dépend) plutôt qu’un élément qui a lui-même « besoin » d’un autre élément (qui est en situation de dépendance).</w:t>
            </w:r>
          </w:p>
        </w:tc>
      </w:tr>
      <w:tr w:rsidR="00BF18CF" w14:paraId="6349736E" w14:textId="77777777" w:rsidTr="00BF18CF">
        <w:tc>
          <w:tcPr>
            <w:tcW w:w="1430" w:type="dxa"/>
          </w:tcPr>
          <w:p w14:paraId="12E222DB" w14:textId="77777777" w:rsidR="00BF18CF" w:rsidRDefault="00E51347">
            <w:r>
              <w:rPr>
                <w:i/>
              </w:rPr>
              <w:t>Références</w:t>
            </w:r>
          </w:p>
        </w:tc>
        <w:tc>
          <w:tcPr>
            <w:tcW w:w="9260" w:type="dxa"/>
          </w:tcPr>
          <w:p w14:paraId="085FEE66" w14:textId="77777777" w:rsidR="00BF18CF" w:rsidRDefault="00BF18CF">
            <w:pPr>
              <w:pBdr>
                <w:top w:val="nil"/>
                <w:left w:val="nil"/>
                <w:bottom w:val="nil"/>
                <w:right w:val="nil"/>
                <w:between w:val="nil"/>
              </w:pBdr>
              <w:spacing w:before="36" w:after="36"/>
              <w:rPr>
                <w:color w:val="000000"/>
              </w:rPr>
            </w:pPr>
          </w:p>
        </w:tc>
      </w:tr>
    </w:tbl>
    <w:p w14:paraId="13DE1B87" w14:textId="77777777" w:rsidR="00BF18CF" w:rsidRDefault="00E51347">
      <w:pPr>
        <w:pStyle w:val="Heading2"/>
      </w:pPr>
      <w:bookmarkStart w:id="51" w:name="bookmark=id.vx1227" w:colFirst="0" w:colLast="0"/>
      <w:bookmarkStart w:id="52" w:name="_Toc144360770"/>
      <w:bookmarkEnd w:id="51"/>
      <w:r>
        <w:t>Convention d’appellation</w:t>
      </w:r>
      <w:bookmarkEnd w:id="52"/>
    </w:p>
    <w:tbl>
      <w:tblPr>
        <w:tblStyle w:val="a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421D9217" w14:textId="77777777" w:rsidTr="00BF18CF">
        <w:tc>
          <w:tcPr>
            <w:tcW w:w="10690" w:type="dxa"/>
          </w:tcPr>
          <w:p w14:paraId="4AD2D858" w14:textId="77777777" w:rsidR="00BF18CF" w:rsidRDefault="00E51347">
            <w:r>
              <w:t>La convention suivante a été appliquée à travers le CIDOC CRM :</w:t>
            </w:r>
          </w:p>
          <w:p w14:paraId="15C27AB1" w14:textId="77777777" w:rsidR="00BF18CF" w:rsidRDefault="00E51347">
            <w:pPr>
              <w:numPr>
                <w:ilvl w:val="0"/>
                <w:numId w:val="15"/>
              </w:numPr>
            </w:pPr>
            <w:r>
              <w:t xml:space="preserve">Les </w:t>
            </w:r>
            <w:hyperlink r:id="rId260" w:anchor="classe">
              <w:r>
                <w:rPr>
                  <w:color w:val="4F81BD"/>
                </w:rPr>
                <w:t>classes</w:t>
              </w:r>
            </w:hyperlink>
            <w:r>
              <w:t xml:space="preserve"> sont identifiées par des numéros précédés de la lettre majuscule « E » (historiquement, les classes de CIDOC CRM étaient parfois appelées des « entités ») et leurs appellations sont constituées de groupes nominaux, les initiales des noms sont en majuscules. Par exemple, </w:t>
            </w:r>
            <w:r>
              <w:rPr>
                <w:rFonts w:ascii="Consolas" w:eastAsia="Consolas" w:hAnsi="Consolas" w:cs="Consolas"/>
                <w:sz w:val="22"/>
                <w:szCs w:val="22"/>
                <w:shd w:val="clear" w:color="auto" w:fill="EAEEF3"/>
              </w:rPr>
              <w:t>E63_Début_d'existence</w:t>
            </w:r>
            <w:r>
              <w:t xml:space="preserve"> [n.d.t. Dans la version francophone, les classes sont toujours conjuguées au féminin singulier, p. ex. « une </w:t>
            </w:r>
            <w:r>
              <w:rPr>
                <w:rFonts w:ascii="Consolas" w:eastAsia="Consolas" w:hAnsi="Consolas" w:cs="Consolas"/>
                <w:sz w:val="22"/>
                <w:szCs w:val="22"/>
                <w:shd w:val="clear" w:color="auto" w:fill="EAEEF3"/>
              </w:rPr>
              <w:t>E63_Début_d'existence</w:t>
            </w:r>
            <w:r>
              <w:t> »].</w:t>
            </w:r>
          </w:p>
          <w:p w14:paraId="60E9A028" w14:textId="77777777" w:rsidR="00BF18CF" w:rsidRDefault="00E51347">
            <w:pPr>
              <w:numPr>
                <w:ilvl w:val="0"/>
                <w:numId w:val="15"/>
              </w:numPr>
            </w:pPr>
            <w:r>
              <w:t xml:space="preserve">Les </w:t>
            </w:r>
            <w:hyperlink r:id="rId261" w:anchor="propriete">
              <w:r>
                <w:rPr>
                  <w:color w:val="4F81BD"/>
                </w:rPr>
                <w:t>propriétés</w:t>
              </w:r>
            </w:hyperlink>
            <w:r>
              <w:t xml:space="preserve"> sont identifiées par des numéros précédés de la lettre majuscule « P » et leurs appellations sont bi-directionnelles et constituées de syntagmes verbaux dont tous les termes sont en minuscules. Les propriétés ayant les caractéristiques d’états utilisent le présent (p. ex. « a pout type »), alors que les propriétés liées à des évènements sont nommées au passé (p. ex. a été effectué par). Par exemple, </w:t>
            </w:r>
            <w:r>
              <w:rPr>
                <w:rFonts w:ascii="Consolas" w:eastAsia="Consolas" w:hAnsi="Consolas" w:cs="Consolas"/>
                <w:sz w:val="22"/>
                <w:szCs w:val="22"/>
                <w:shd w:val="clear" w:color="auto" w:fill="EAEEF3"/>
              </w:rPr>
              <w:t>P126_a_employé (a_été_employé_dans)</w:t>
            </w:r>
            <w:r>
              <w:t xml:space="preserve"> [n.d.t. Dans la version francophone, les propriétés sont toujours conjuguées au féminin singulier, p. ex. « une </w:t>
            </w:r>
            <w:r>
              <w:rPr>
                <w:rFonts w:ascii="Consolas" w:eastAsia="Consolas" w:hAnsi="Consolas" w:cs="Consolas"/>
                <w:sz w:val="22"/>
                <w:szCs w:val="22"/>
                <w:shd w:val="clear" w:color="auto" w:fill="EAEEF3"/>
              </w:rPr>
              <w:t>P126_a_employé (a_été_employé_dans)</w:t>
            </w:r>
            <w:r>
              <w:t> »].</w:t>
            </w:r>
          </w:p>
          <w:p w14:paraId="7DB1FFC9" w14:textId="77777777" w:rsidR="00BF18CF" w:rsidRDefault="00E51347">
            <w:pPr>
              <w:numPr>
                <w:ilvl w:val="0"/>
                <w:numId w:val="15"/>
              </w:numPr>
            </w:pPr>
            <w:r>
              <w:t xml:space="preserve">Les noms des propriétés devraient être lus dans leur forme non parenthétique lors d’une lecture dirigée depuis le </w:t>
            </w:r>
            <w:hyperlink r:id="rId262" w:anchor="domaine">
              <w:r>
                <w:rPr>
                  <w:color w:val="4F81BD"/>
                </w:rPr>
                <w:t>domaine</w:t>
              </w:r>
            </w:hyperlink>
            <w:r>
              <w:t xml:space="preserve"> vers la </w:t>
            </w:r>
            <w:hyperlink r:id="rId263" w:anchor="portee">
              <w:r>
                <w:rPr>
                  <w:color w:val="4F81BD"/>
                </w:rPr>
                <w:t>portée</w:t>
              </w:r>
            </w:hyperlink>
            <w:r>
              <w:t xml:space="preserve">, et dans leur forme parenthétique lors d’une lecture dirigée depuis la portée vers le domaine. Lire une propriété depuis la portée vers le domaine équivaut à l’inverse de cette propriété. En adéquation avec les pratiques de notation </w:t>
            </w:r>
            <w:hyperlink r:id="rId264">
              <w:r>
                <w:rPr>
                  <w:color w:val="4F81BD"/>
                </w:rPr>
                <w:t>OWL</w:t>
              </w:r>
            </w:hyperlink>
            <w:r>
              <w:t xml:space="preserve"> actuelles, les </w:t>
            </w:r>
            <w:hyperlink r:id="rId265" w:anchor="propriete-inverse">
              <w:r>
                <w:rPr>
                  <w:color w:val="4F81BD"/>
                </w:rPr>
                <w:t xml:space="preserve">propriétés inverses </w:t>
              </w:r>
            </w:hyperlink>
            <w:r>
              <w:t xml:space="preserve">sont identifiées par l’ajout d’un « i » minuscule à la suite du numéro d’identification et de la forme parenthétique complète de la propriété (p. ex. </w:t>
            </w:r>
            <w:r>
              <w:rPr>
                <w:rFonts w:ascii="Consolas" w:eastAsia="Consolas" w:hAnsi="Consolas" w:cs="Consolas"/>
                <w:sz w:val="22"/>
                <w:szCs w:val="22"/>
                <w:shd w:val="clear" w:color="auto" w:fill="EAEEF3"/>
              </w:rPr>
              <w:t>P59i_se_situe_sur_ou_dans</w:t>
            </w:r>
            <w:r>
              <w:t xml:space="preserve"> est la propriété inverse de </w:t>
            </w:r>
            <w:r>
              <w:rPr>
                <w:rFonts w:ascii="Consolas" w:eastAsia="Consolas" w:hAnsi="Consolas" w:cs="Consolas"/>
                <w:sz w:val="22"/>
                <w:szCs w:val="22"/>
                <w:shd w:val="clear" w:color="auto" w:fill="EAEEF3"/>
              </w:rPr>
              <w:t>P59_a_pour_section (se_situe_sur_ou_dans)</w:t>
            </w:r>
            <w:r>
              <w:t>).</w:t>
            </w:r>
          </w:p>
          <w:p w14:paraId="30AEB962" w14:textId="77777777" w:rsidR="00BF18CF" w:rsidRDefault="00E51347">
            <w:pPr>
              <w:numPr>
                <w:ilvl w:val="0"/>
                <w:numId w:val="15"/>
              </w:numPr>
            </w:pPr>
            <w:r>
              <w:t xml:space="preserve">Les propriétés dont la portée est une </w:t>
            </w:r>
            <w:hyperlink r:id="rId266" w:anchor="sous-classe">
              <w:r>
                <w:rPr>
                  <w:color w:val="4F81BD"/>
                </w:rPr>
                <w:t>sous-classe</w:t>
              </w:r>
            </w:hyperlink>
            <w:r>
              <w:t xml:space="preserve"> de </w:t>
            </w:r>
            <w:r>
              <w:rPr>
                <w:rFonts w:ascii="Consolas" w:eastAsia="Consolas" w:hAnsi="Consolas" w:cs="Consolas"/>
                <w:sz w:val="22"/>
                <w:szCs w:val="22"/>
                <w:shd w:val="clear" w:color="auto" w:fill="EAEEF3"/>
              </w:rPr>
              <w:t>E59_Valeur_primitive</w:t>
            </w:r>
            <w:r>
              <w:t xml:space="preserve"> (p. ex.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P3_a_pour_note</w:t>
            </w:r>
            <w:r>
              <w:t xml:space="preserve"> : </w:t>
            </w:r>
            <w:r>
              <w:rPr>
                <w:rFonts w:ascii="Consolas" w:eastAsia="Consolas" w:hAnsi="Consolas" w:cs="Consolas"/>
                <w:sz w:val="22"/>
                <w:szCs w:val="22"/>
                <w:shd w:val="clear" w:color="auto" w:fill="EAEEF3"/>
              </w:rPr>
              <w:t>E62_Chaîne_de_caractères</w:t>
            </w:r>
            <w:r>
              <w:t>) n’ont pas de forme appellative parenthétique, car la lecture depuis la portée vers le domaine n’est pas porteuse de sens.</w:t>
            </w:r>
          </w:p>
          <w:p w14:paraId="3A0AA5B7" w14:textId="77777777" w:rsidR="00BF18CF" w:rsidRDefault="00E51347">
            <w:pPr>
              <w:numPr>
                <w:ilvl w:val="0"/>
                <w:numId w:val="15"/>
              </w:numPr>
            </w:pPr>
            <w:r>
              <w:t xml:space="preserve">Les propriétés qui ont des domaine et portée identiques sont soit </w:t>
            </w:r>
            <w:hyperlink r:id="rId267" w:anchor="symetrie">
              <w:r>
                <w:rPr>
                  <w:color w:val="4F81BD"/>
                </w:rPr>
                <w:t>symétriques</w:t>
              </w:r>
            </w:hyperlink>
            <w:r>
              <w:t xml:space="preserve">, soit </w:t>
            </w:r>
            <w:hyperlink r:id="rId268" w:anchor="transitivite">
              <w:r>
                <w:rPr>
                  <w:color w:val="4F81BD"/>
                </w:rPr>
                <w:t>transitives</w:t>
              </w:r>
            </w:hyperlink>
            <w:r>
              <w:t xml:space="preserve">. Instancier une propriété symétrique implique que la même relation est applicable lors de la lecture depuis le domaine vers la portée et depuis la portée vers le domaine (p. ex.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P122_est_limitrophe_de</w:t>
            </w:r>
            <w:r>
              <w:t xml:space="preserve"> : </w:t>
            </w:r>
            <w:r>
              <w:rPr>
                <w:rFonts w:ascii="Consolas" w:eastAsia="Consolas" w:hAnsi="Consolas" w:cs="Consolas"/>
                <w:sz w:val="22"/>
                <w:szCs w:val="22"/>
                <w:shd w:val="clear" w:color="auto" w:fill="EAEEF3"/>
              </w:rPr>
              <w:t>E53_Lieu</w:t>
            </w:r>
            <w:r>
              <w:t xml:space="preserve">). Les formes appellatives de propriétés symétriques n’ont pas de forme parenthétique, car la lecture depuis la portée vers le domaine équivaut à la lecture depuis le domaine vers la portée. Les propriétés transitives asymétriques (p. ex. </w:t>
            </w:r>
            <w:r>
              <w:rPr>
                <w:rFonts w:ascii="Consolas" w:eastAsia="Consolas" w:hAnsi="Consolas" w:cs="Consolas"/>
                <w:sz w:val="22"/>
                <w:szCs w:val="22"/>
                <w:shd w:val="clear" w:color="auto" w:fill="EAEEF3"/>
              </w:rPr>
              <w:t>E4_Période</w:t>
            </w:r>
            <w:r>
              <w:t xml:space="preserve">. </w:t>
            </w:r>
            <w:r>
              <w:rPr>
                <w:rFonts w:ascii="Consolas" w:eastAsia="Consolas" w:hAnsi="Consolas" w:cs="Consolas"/>
                <w:sz w:val="22"/>
                <w:szCs w:val="22"/>
                <w:shd w:val="clear" w:color="auto" w:fill="EAEEF3"/>
              </w:rPr>
              <w:t>P9_comprend (fait_partie_de)</w:t>
            </w:r>
            <w:r>
              <w:t xml:space="preserve"> : </w:t>
            </w:r>
            <w:r>
              <w:rPr>
                <w:rFonts w:ascii="Consolas" w:eastAsia="Consolas" w:hAnsi="Consolas" w:cs="Consolas"/>
                <w:sz w:val="22"/>
                <w:szCs w:val="22"/>
                <w:shd w:val="clear" w:color="auto" w:fill="EAEEF3"/>
              </w:rPr>
              <w:t>E4_Période</w:t>
            </w:r>
            <w:r>
              <w:t>) ont une forme parenthétique qui porte sur la signification de leur direction inverse.</w:t>
            </w:r>
          </w:p>
          <w:p w14:paraId="45843166" w14:textId="77777777" w:rsidR="00BF18CF" w:rsidRDefault="00E51347">
            <w:pPr>
              <w:numPr>
                <w:ilvl w:val="0"/>
                <w:numId w:val="15"/>
              </w:numPr>
            </w:pPr>
            <w:r>
              <w:t>Le choix du domaine des propriétés, et donc de l’ordre de leur appellation, est établi selon les priorités suivantes :</w:t>
            </w:r>
          </w:p>
          <w:p w14:paraId="7B6800AD" w14:textId="77777777" w:rsidR="00BF18CF" w:rsidRDefault="00E51347">
            <w:pPr>
              <w:numPr>
                <w:ilvl w:val="0"/>
                <w:numId w:val="15"/>
              </w:numPr>
            </w:pPr>
            <w:r>
              <w:lastRenderedPageBreak/>
              <w:t>Entités temporelles (</w:t>
            </w:r>
            <w:r>
              <w:rPr>
                <w:rFonts w:ascii="Consolas" w:eastAsia="Consolas" w:hAnsi="Consolas" w:cs="Consolas"/>
                <w:sz w:val="22"/>
                <w:szCs w:val="22"/>
                <w:shd w:val="clear" w:color="auto" w:fill="EAEEF3"/>
              </w:rPr>
              <w:t>E2_Entité_temporelle</w:t>
            </w:r>
            <w:r>
              <w:t xml:space="preserve"> et ses sous-classes)</w:t>
            </w:r>
          </w:p>
          <w:p w14:paraId="5FEED8E5" w14:textId="77777777" w:rsidR="00BF18CF" w:rsidRDefault="00E51347">
            <w:pPr>
              <w:numPr>
                <w:ilvl w:val="0"/>
                <w:numId w:val="15"/>
              </w:numPr>
            </w:pPr>
            <w:r>
              <w:t>Choses (</w:t>
            </w:r>
            <w:r>
              <w:rPr>
                <w:rFonts w:ascii="Consolas" w:eastAsia="Consolas" w:hAnsi="Consolas" w:cs="Consolas"/>
                <w:sz w:val="22"/>
                <w:szCs w:val="22"/>
                <w:shd w:val="clear" w:color="auto" w:fill="EAEEF3"/>
              </w:rPr>
              <w:t>E70_Chose</w:t>
            </w:r>
            <w:r>
              <w:t xml:space="preserve"> et ses sous-classes)</w:t>
            </w:r>
          </w:p>
          <w:p w14:paraId="6903A055" w14:textId="77777777" w:rsidR="00BF18CF" w:rsidRDefault="00E51347">
            <w:pPr>
              <w:numPr>
                <w:ilvl w:val="0"/>
                <w:numId w:val="15"/>
              </w:numPr>
            </w:pPr>
            <w:r>
              <w:t>Acteurs (</w:t>
            </w:r>
            <w:r>
              <w:rPr>
                <w:rFonts w:ascii="Consolas" w:eastAsia="Consolas" w:hAnsi="Consolas" w:cs="Consolas"/>
                <w:sz w:val="22"/>
                <w:szCs w:val="22"/>
                <w:shd w:val="clear" w:color="auto" w:fill="EAEEF3"/>
              </w:rPr>
              <w:t>E39_Actant</w:t>
            </w:r>
            <w:r>
              <w:t xml:space="preserve"> et ses sous-classes)</w:t>
            </w:r>
          </w:p>
          <w:p w14:paraId="4B2AC03C" w14:textId="77777777" w:rsidR="00BF18CF" w:rsidRDefault="00E51347">
            <w:pPr>
              <w:numPr>
                <w:ilvl w:val="0"/>
                <w:numId w:val="15"/>
              </w:numPr>
            </w:pPr>
            <w:r>
              <w:t>Autres</w:t>
            </w:r>
          </w:p>
        </w:tc>
      </w:tr>
    </w:tbl>
    <w:p w14:paraId="037A6376" w14:textId="77777777" w:rsidR="00BF18CF" w:rsidRDefault="00BF18CF"/>
    <w:tbl>
      <w:tblPr>
        <w:tblStyle w:val="af0"/>
        <w:tblW w:w="10701" w:type="dxa"/>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622"/>
        <w:gridCol w:w="9079"/>
      </w:tblGrid>
      <w:tr w:rsidR="00BF18CF" w14:paraId="25E16E78" w14:textId="77777777" w:rsidTr="00BF18CF">
        <w:tc>
          <w:tcPr>
            <w:tcW w:w="1622" w:type="dxa"/>
          </w:tcPr>
          <w:p w14:paraId="094656F3" w14:textId="3246AE82" w:rsidR="00BF18CF" w:rsidRDefault="00F27208">
            <w:bookmarkStart w:id="53" w:name="_heading=h.3fwokq0" w:colFirst="0" w:colLast="0"/>
            <w:bookmarkEnd w:id="53"/>
            <w:r>
              <w:rPr>
                <w:i/>
              </w:rPr>
              <w:t>Note de traduction</w:t>
            </w:r>
          </w:p>
        </w:tc>
        <w:tc>
          <w:tcPr>
            <w:tcW w:w="9079" w:type="dxa"/>
          </w:tcPr>
          <w:p w14:paraId="6A825AC7" w14:textId="77777777" w:rsidR="00BF18CF" w:rsidRDefault="00E51347">
            <w:r>
              <w:t>Le terme « naming convention » est parfois traduit par « convention d’appellation » ou « convention de nommage”; le terme « convention d’appellation » a été privilégié, car il semble davantage utilisé de manière générale (après avoir fait une brève recherche en ligne) et est entériné par Termium.</w:t>
            </w:r>
          </w:p>
        </w:tc>
      </w:tr>
      <w:tr w:rsidR="00BF18CF" w14:paraId="64693CE5" w14:textId="77777777" w:rsidTr="00BF18CF">
        <w:tc>
          <w:tcPr>
            <w:tcW w:w="1622" w:type="dxa"/>
          </w:tcPr>
          <w:p w14:paraId="5457B3D4" w14:textId="77777777" w:rsidR="00BF18CF" w:rsidRDefault="00E51347">
            <w:r>
              <w:rPr>
                <w:i/>
              </w:rPr>
              <w:t>Références</w:t>
            </w:r>
          </w:p>
        </w:tc>
        <w:tc>
          <w:tcPr>
            <w:tcW w:w="9079" w:type="dxa"/>
          </w:tcPr>
          <w:p w14:paraId="439ABBBC" w14:textId="77777777" w:rsidR="00BF18CF" w:rsidRDefault="00E51347">
            <w:r w:rsidRPr="00EE61A5">
              <w:rPr>
                <w:lang w:val="en-CA"/>
              </w:rPr>
              <w:t xml:space="preserve">OWL Working Group. « OWL - Semantic Web Standards ». </w:t>
            </w:r>
            <w:r>
              <w:t>Ontologie. Cambridge, USA-MA: World Wide Web Consortium (W3C), 11 décembre 2012.</w:t>
            </w:r>
            <w:hyperlink r:id="rId269">
              <w:r>
                <w:rPr>
                  <w:color w:val="4F81BD"/>
                </w:rPr>
                <w:t xml:space="preserve"> https://www.w3.org/OWL/</w:t>
              </w:r>
            </w:hyperlink>
            <w:r>
              <w:t>.</w:t>
            </w:r>
          </w:p>
          <w:p w14:paraId="2220EE78" w14:textId="77777777" w:rsidR="00BF18CF" w:rsidRDefault="00E51347">
            <w:r>
              <w:t xml:space="preserve">Termium. « Convention Appellation Courriels ». Dans </w:t>
            </w:r>
            <w:r>
              <w:rPr>
                <w:i/>
              </w:rPr>
              <w:t>Termium Plus</w:t>
            </w:r>
            <w:r>
              <w:t>. Ottawa, CA-ON: Gouvernement du Canada, 8 octobre 2009.</w:t>
            </w:r>
            <w:hyperlink r:id="rId270">
              <w:r>
                <w:rPr>
                  <w:color w:val="4F81BD"/>
                </w:rPr>
                <w:t xml:space="preserve"> https://www.btb.termiumplus.gc.ca/tpv2alpha/alpha-eng.html?lang=eng&amp;i=1&amp;index=frt&amp;srchtxt=CONVENTION%20APPELLATION%20COURRIELS</w:t>
              </w:r>
            </w:hyperlink>
            <w:r>
              <w:t>.</w:t>
            </w:r>
          </w:p>
        </w:tc>
      </w:tr>
    </w:tbl>
    <w:p w14:paraId="34520C16" w14:textId="77777777" w:rsidR="00BF18CF" w:rsidRDefault="00E51347">
      <w:pPr>
        <w:pStyle w:val="Heading2"/>
      </w:pPr>
      <w:bookmarkStart w:id="54" w:name="bookmark=id.1v1yuxt" w:colFirst="0" w:colLast="0"/>
      <w:bookmarkStart w:id="55" w:name="_Toc144360771"/>
      <w:bookmarkEnd w:id="54"/>
      <w:r>
        <w:t>Des expressions logiques utilisées dans le CIDOC CRM</w:t>
      </w:r>
      <w:bookmarkEnd w:id="55"/>
    </w:p>
    <w:tbl>
      <w:tblPr>
        <w:tblStyle w:val="a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2E218EBD" w14:textId="77777777" w:rsidTr="00BF18CF">
        <w:tc>
          <w:tcPr>
            <w:tcW w:w="10690" w:type="dxa"/>
          </w:tcPr>
          <w:p w14:paraId="4AA67B3D" w14:textId="77777777" w:rsidR="00BF18CF" w:rsidRDefault="00E51347">
            <w:r>
              <w:t>Les définitions du CIDOC CRM sont annotées d’axiomes qui fournissent de l’information sur l’expression formelle de l’ontologie. Cette section introduit les assomptions qui sous-tendent l’expression logique du CIDOC CRM (pour une revue détaillée de l’expression logique de la modélisation sémantique de données, voir (Reiter, 1984)).</w:t>
            </w:r>
          </w:p>
          <w:p w14:paraId="6FD2A56E" w14:textId="77777777" w:rsidR="00BF18CF" w:rsidRDefault="00E51347">
            <w:r>
              <w:t xml:space="preserve">Le CIDOC CRM est exprimé par les </w:t>
            </w:r>
            <w:hyperlink r:id="rId271" w:anchor="primitive">
              <w:r>
                <w:rPr>
                  <w:color w:val="4F81BD"/>
                </w:rPr>
                <w:t>concepts primitifs</w:t>
              </w:r>
            </w:hyperlink>
            <w:r>
              <w:t xml:space="preserve"> [n.d.t. concept ou sens qui ne peut être défini sans créer de cercle vicieux en raison de son extrême simplicité] de la modélisation sémantique de données, à savoir :</w:t>
            </w:r>
          </w:p>
          <w:p w14:paraId="7F2157BB" w14:textId="77777777" w:rsidR="00BF18CF" w:rsidRDefault="00E51347">
            <w:pPr>
              <w:numPr>
                <w:ilvl w:val="0"/>
                <w:numId w:val="17"/>
              </w:numPr>
            </w:pPr>
            <w:proofErr w:type="gramStart"/>
            <w:r>
              <w:t>les</w:t>
            </w:r>
            <w:proofErr w:type="gramEnd"/>
            <w:r>
              <w:t xml:space="preserve"> </w:t>
            </w:r>
            <w:hyperlink r:id="rId272" w:anchor="classe">
              <w:r>
                <w:rPr>
                  <w:i/>
                  <w:color w:val="4F81BD"/>
                </w:rPr>
                <w:t>classes</w:t>
              </w:r>
            </w:hyperlink>
            <w:r>
              <w:t xml:space="preserve"> qui représentent les principales notions du domaine du discours comme la classe CIDOC CRM </w:t>
            </w:r>
            <w:r>
              <w:rPr>
                <w:rFonts w:ascii="Consolas" w:eastAsia="Consolas" w:hAnsi="Consolas" w:cs="Consolas"/>
                <w:sz w:val="22"/>
                <w:szCs w:val="22"/>
                <w:shd w:val="clear" w:color="auto" w:fill="EAEEF3"/>
              </w:rPr>
              <w:t>E21_Personne</w:t>
            </w:r>
            <w:r>
              <w:t xml:space="preserve"> qui représente la notion de « personne »;</w:t>
            </w:r>
          </w:p>
          <w:p w14:paraId="3D2F9AFE" w14:textId="77777777" w:rsidR="00BF18CF" w:rsidRDefault="00E51347">
            <w:pPr>
              <w:numPr>
                <w:ilvl w:val="0"/>
                <w:numId w:val="17"/>
              </w:numPr>
            </w:pPr>
            <w:proofErr w:type="gramStart"/>
            <w:r>
              <w:t>les</w:t>
            </w:r>
            <w:proofErr w:type="gramEnd"/>
            <w:r>
              <w:t xml:space="preserve"> </w:t>
            </w:r>
            <w:hyperlink r:id="rId273" w:anchor="propriete">
              <w:r>
                <w:rPr>
                  <w:i/>
                  <w:color w:val="4F81BD"/>
                </w:rPr>
                <w:t>propriétés</w:t>
              </w:r>
            </w:hyperlink>
            <w:r>
              <w:t xml:space="preserve"> qui représentent les relations binaires liant des individus dans le domaine du discours comme la propriété </w:t>
            </w:r>
            <w:r>
              <w:rPr>
                <w:rFonts w:ascii="Consolas" w:eastAsia="Consolas" w:hAnsi="Consolas" w:cs="Consolas"/>
                <w:sz w:val="22"/>
                <w:szCs w:val="22"/>
                <w:shd w:val="clear" w:color="auto" w:fill="EAEEF3"/>
              </w:rPr>
              <w:t>P152_a_pour_parent</w:t>
            </w:r>
            <w:r>
              <w:t xml:space="preserve"> qui lie une personne à l’un de ses parents.</w:t>
            </w:r>
          </w:p>
          <w:p w14:paraId="6659D810" w14:textId="77777777" w:rsidR="00BF18CF" w:rsidRDefault="00E51347">
            <w:bookmarkStart w:id="56" w:name="bookmark=id.4f1mdlm" w:colFirst="0" w:colLast="0"/>
            <w:bookmarkEnd w:id="56"/>
            <w:r>
              <w:t xml:space="preserve">Les classes et propriétés sont utilisées pour exprimer des connaissances ontologiques par le biais de contraintes telles que des liens de </w:t>
            </w:r>
            <w:hyperlink r:id="rId274" w:anchor="sous-classe">
              <w:r>
                <w:rPr>
                  <w:color w:val="4F81BD"/>
                </w:rPr>
                <w:t>sous-classe</w:t>
              </w:r>
            </w:hyperlink>
            <w:r>
              <w:t>/</w:t>
            </w:r>
            <w:hyperlink r:id="rId275" w:anchor="sous-propriete">
              <w:r>
                <w:rPr>
                  <w:color w:val="4F81BD"/>
                </w:rPr>
                <w:t>sous-propriété</w:t>
              </w:r>
            </w:hyperlink>
            <w:r>
              <w:t xml:space="preserve"> (p. ex. </w:t>
            </w:r>
            <w:r>
              <w:rPr>
                <w:rFonts w:ascii="Consolas" w:eastAsia="Consolas" w:hAnsi="Consolas" w:cs="Consolas"/>
                <w:sz w:val="22"/>
                <w:szCs w:val="22"/>
                <w:shd w:val="clear" w:color="auto" w:fill="EAEEF3"/>
              </w:rPr>
              <w:t>E21_Personne</w:t>
            </w:r>
            <w:r>
              <w:t xml:space="preserve"> est une sous-classe de </w:t>
            </w:r>
            <w:r>
              <w:rPr>
                <w:rFonts w:ascii="Consolas" w:eastAsia="Consolas" w:hAnsi="Consolas" w:cs="Consolas"/>
                <w:sz w:val="22"/>
                <w:szCs w:val="22"/>
                <w:shd w:val="clear" w:color="auto" w:fill="EAEEF3"/>
              </w:rPr>
              <w:t>E20_Objet_biologique</w:t>
            </w:r>
            <w:r>
              <w:t xml:space="preserve">) ou des contraintes de </w:t>
            </w:r>
            <w:hyperlink r:id="rId276" w:anchor="domaine">
              <w:r>
                <w:rPr>
                  <w:color w:val="4F81BD"/>
                </w:rPr>
                <w:t>domaine</w:t>
              </w:r>
            </w:hyperlink>
            <w:r>
              <w:t>/</w:t>
            </w:r>
            <w:hyperlink r:id="rId277" w:anchor="portee">
              <w:r>
                <w:rPr>
                  <w:color w:val="4F81BD"/>
                </w:rPr>
                <w:t>portée</w:t>
              </w:r>
            </w:hyperlink>
            <w:r>
              <w:t xml:space="preserve"> (p. ex. le domaine de </w:t>
            </w:r>
            <w:r>
              <w:rPr>
                <w:rFonts w:ascii="Consolas" w:eastAsia="Consolas" w:hAnsi="Consolas" w:cs="Consolas"/>
                <w:sz w:val="22"/>
                <w:szCs w:val="22"/>
                <w:shd w:val="clear" w:color="auto" w:fill="EAEEF3"/>
              </w:rPr>
              <w:t>P152_a_pour_parent</w:t>
            </w:r>
            <w:r>
              <w:t xml:space="preserve"> est la classe </w:t>
            </w:r>
            <w:r>
              <w:rPr>
                <w:rFonts w:ascii="Consolas" w:eastAsia="Consolas" w:hAnsi="Consolas" w:cs="Consolas"/>
                <w:sz w:val="22"/>
                <w:szCs w:val="22"/>
                <w:shd w:val="clear" w:color="auto" w:fill="EAEEF3"/>
              </w:rPr>
              <w:t>E21_Personne</w:t>
            </w:r>
            <w:r>
              <w:t>).</w:t>
            </w:r>
          </w:p>
          <w:p w14:paraId="1FC2DD31" w14:textId="77777777" w:rsidR="00BF18CF" w:rsidRDefault="00E51347">
            <w:r>
              <w:t>Au contraire, la représentation de connaissances sous forme de logique du premier ordre repose sur un langage permettant d’encoder de manière formelle une ontologie. Ce langage peut être mis en correspondance directe avec la modélisation sémantique de données :</w:t>
            </w:r>
          </w:p>
          <w:p w14:paraId="11AC728D" w14:textId="77777777" w:rsidR="00BF18CF" w:rsidRDefault="00E51347">
            <w:pPr>
              <w:numPr>
                <w:ilvl w:val="0"/>
                <w:numId w:val="38"/>
              </w:numPr>
            </w:pPr>
            <w:proofErr w:type="gramStart"/>
            <w:r>
              <w:t>les</w:t>
            </w:r>
            <w:proofErr w:type="gramEnd"/>
            <w:r>
              <w:t xml:space="preserve"> classes sont nommées par des </w:t>
            </w:r>
            <w:r>
              <w:rPr>
                <w:i/>
              </w:rPr>
              <w:t>symboles de prédicats unaires</w:t>
            </w:r>
            <w:r>
              <w:t xml:space="preserve">; par convention, « E21 » est le symbole de prédicat unaire correspondant à la classe </w:t>
            </w:r>
            <w:r>
              <w:rPr>
                <w:rFonts w:ascii="Consolas" w:eastAsia="Consolas" w:hAnsi="Consolas" w:cs="Consolas"/>
                <w:sz w:val="22"/>
                <w:szCs w:val="22"/>
                <w:shd w:val="clear" w:color="auto" w:fill="EAEEF3"/>
              </w:rPr>
              <w:t>E21_Personne</w:t>
            </w:r>
            <w:r>
              <w:t>;</w:t>
            </w:r>
          </w:p>
          <w:p w14:paraId="1FB34538" w14:textId="77777777" w:rsidR="00BF18CF" w:rsidRDefault="00E51347">
            <w:pPr>
              <w:numPr>
                <w:ilvl w:val="0"/>
                <w:numId w:val="38"/>
              </w:numPr>
            </w:pPr>
            <w:proofErr w:type="gramStart"/>
            <w:r>
              <w:lastRenderedPageBreak/>
              <w:t>les</w:t>
            </w:r>
            <w:proofErr w:type="gramEnd"/>
            <w:r>
              <w:t xml:space="preserve"> propriétés sont nommées par des </w:t>
            </w:r>
            <w:r>
              <w:rPr>
                <w:i/>
              </w:rPr>
              <w:t>symboles de prédicats binaires</w:t>
            </w:r>
            <w:r>
              <w:t xml:space="preserve">; par convention, « P152 » est le symbole de prédicat binaire correspondant à la propriété </w:t>
            </w:r>
            <w:r>
              <w:rPr>
                <w:rFonts w:ascii="Consolas" w:eastAsia="Consolas" w:hAnsi="Consolas" w:cs="Consolas"/>
                <w:sz w:val="22"/>
                <w:szCs w:val="22"/>
                <w:shd w:val="clear" w:color="auto" w:fill="EAEEF3"/>
              </w:rPr>
              <w:t>P152_a_pour_parent</w:t>
            </w:r>
            <w:r>
              <w:t>;</w:t>
            </w:r>
          </w:p>
          <w:p w14:paraId="3B733F73" w14:textId="77777777" w:rsidR="00BF18CF" w:rsidRDefault="00E51347">
            <w:pPr>
              <w:numPr>
                <w:ilvl w:val="0"/>
                <w:numId w:val="38"/>
              </w:numPr>
            </w:pPr>
            <w:proofErr w:type="gramStart"/>
            <w:r>
              <w:t>les</w:t>
            </w:r>
            <w:proofErr w:type="gramEnd"/>
            <w:r>
              <w:t xml:space="preserve"> propriétés de propriétés « propriétés .1 » sont nommées par des symboles de prédicats ternaires; par convention « P14.1 » est le symbole de prédicat ternaire correspondant à la propriété </w:t>
            </w:r>
            <w:r>
              <w:rPr>
                <w:rFonts w:ascii="Consolas" w:eastAsia="Consolas" w:hAnsi="Consolas" w:cs="Consolas"/>
                <w:sz w:val="22"/>
                <w:szCs w:val="22"/>
                <w:shd w:val="clear" w:color="auto" w:fill="EAEEF3"/>
              </w:rPr>
              <w:t>P14.1_dans_le_rôle_de</w:t>
            </w:r>
            <w:r>
              <w:t>.</w:t>
            </w:r>
          </w:p>
          <w:p w14:paraId="4F55EAE7" w14:textId="77777777" w:rsidR="00BF18CF" w:rsidRDefault="00E51347">
            <w:r>
              <w:t>L’ontologie est exprimée logiquement par le biais d’axiomes qui correspondent aux contraintes de la modélisation sémantique. Dans la définition des classes et propriétés de CIDOC CRM, les axiomes sont énoncés dans la section « Logique ». Plusieurs options sont possibles lorsque vient le temps de rédiger des énoncés sous une forme de logique du premier ordre; ce document privilégie une notation compacte standard utilisée dans plusieurs ouvrages et articles scientifiques. Les définitions [n.d.t. pertinentes] sont présentées dans le tableau ci-dessous.</w:t>
            </w:r>
          </w:p>
        </w:tc>
      </w:tr>
    </w:tbl>
    <w:p w14:paraId="586DB4F0" w14:textId="77777777" w:rsidR="00BF18CF" w:rsidRDefault="00BF18CF"/>
    <w:tbl>
      <w:tblPr>
        <w:tblStyle w:val="a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532"/>
        <w:gridCol w:w="9158"/>
      </w:tblGrid>
      <w:tr w:rsidR="00BF18CF" w14:paraId="4AD15366" w14:textId="77777777" w:rsidTr="00BF18CF">
        <w:tc>
          <w:tcPr>
            <w:tcW w:w="1532" w:type="dxa"/>
          </w:tcPr>
          <w:p w14:paraId="03C33195" w14:textId="3BB184BD" w:rsidR="00BF18CF" w:rsidRDefault="00F27208">
            <w:r>
              <w:rPr>
                <w:i/>
              </w:rPr>
              <w:t>Note de traduction</w:t>
            </w:r>
          </w:p>
        </w:tc>
        <w:tc>
          <w:tcPr>
            <w:tcW w:w="9158" w:type="dxa"/>
          </w:tcPr>
          <w:p w14:paraId="7251E529" w14:textId="77777777" w:rsidR="00BF18CF" w:rsidRDefault="00E51347">
            <w:r>
              <w:t>Le terme « assomption » est peu courant, mais est préféré dans un contexte logique ou mathématique, raison pour laquelle il a été utilisé plutôt que « supposition » ou « hypothèse”.</w:t>
            </w:r>
          </w:p>
        </w:tc>
      </w:tr>
      <w:tr w:rsidR="00BF18CF" w14:paraId="71AD94AD" w14:textId="77777777" w:rsidTr="00BF18CF">
        <w:tc>
          <w:tcPr>
            <w:tcW w:w="1532" w:type="dxa"/>
          </w:tcPr>
          <w:p w14:paraId="5B79537C" w14:textId="77777777" w:rsidR="00BF18CF" w:rsidRDefault="00E51347">
            <w:r>
              <w:rPr>
                <w:i/>
              </w:rPr>
              <w:t>Références</w:t>
            </w:r>
          </w:p>
        </w:tc>
        <w:tc>
          <w:tcPr>
            <w:tcW w:w="9158" w:type="dxa"/>
          </w:tcPr>
          <w:p w14:paraId="5884974F" w14:textId="77777777" w:rsidR="00BF18CF" w:rsidRDefault="00BF18CF">
            <w:pPr>
              <w:pBdr>
                <w:top w:val="nil"/>
                <w:left w:val="nil"/>
                <w:bottom w:val="nil"/>
                <w:right w:val="nil"/>
                <w:between w:val="nil"/>
              </w:pBdr>
              <w:spacing w:before="36" w:after="36"/>
              <w:rPr>
                <w:color w:val="000000"/>
              </w:rPr>
            </w:pPr>
          </w:p>
        </w:tc>
      </w:tr>
    </w:tbl>
    <w:p w14:paraId="2B2DAF07" w14:textId="77777777" w:rsidR="00BF18CF" w:rsidRDefault="00BF18CF"/>
    <w:tbl>
      <w:tblPr>
        <w:tblStyle w:val="a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161"/>
        <w:gridCol w:w="2221"/>
        <w:gridCol w:w="1848"/>
        <w:gridCol w:w="5460"/>
      </w:tblGrid>
      <w:tr w:rsidR="00BF18CF" w14:paraId="65BB5B90" w14:textId="77777777" w:rsidTr="00BF18CF">
        <w:tc>
          <w:tcPr>
            <w:tcW w:w="1161" w:type="dxa"/>
          </w:tcPr>
          <w:p w14:paraId="12A074E4" w14:textId="77777777" w:rsidR="00BF18CF" w:rsidRDefault="00E51347">
            <w:r>
              <w:rPr>
                <w:b/>
              </w:rPr>
              <w:t>Symbole</w:t>
            </w:r>
          </w:p>
        </w:tc>
        <w:tc>
          <w:tcPr>
            <w:tcW w:w="2221" w:type="dxa"/>
          </w:tcPr>
          <w:p w14:paraId="30B0FE09" w14:textId="77777777" w:rsidR="00BF18CF" w:rsidRDefault="00E51347">
            <w:r>
              <w:rPr>
                <w:b/>
              </w:rPr>
              <w:t>Nom</w:t>
            </w:r>
          </w:p>
        </w:tc>
        <w:tc>
          <w:tcPr>
            <w:tcW w:w="1848" w:type="dxa"/>
          </w:tcPr>
          <w:p w14:paraId="110E6362" w14:textId="77777777" w:rsidR="00BF18CF" w:rsidRDefault="00E51347">
            <w:r>
              <w:rPr>
                <w:b/>
              </w:rPr>
              <w:t>Lecture</w:t>
            </w:r>
          </w:p>
        </w:tc>
        <w:tc>
          <w:tcPr>
            <w:tcW w:w="5460" w:type="dxa"/>
          </w:tcPr>
          <w:p w14:paraId="70075E58" w14:textId="77777777" w:rsidR="00BF18CF" w:rsidRDefault="00E51347">
            <w:r>
              <w:rPr>
                <w:b/>
              </w:rPr>
              <w:t>Valeur de vérité</w:t>
            </w:r>
          </w:p>
        </w:tc>
      </w:tr>
      <w:tr w:rsidR="00BF18CF" w14:paraId="2F2E596C" w14:textId="77777777" w:rsidTr="00BF18CF">
        <w:tc>
          <w:tcPr>
            <w:tcW w:w="10690" w:type="dxa"/>
            <w:gridSpan w:val="4"/>
          </w:tcPr>
          <w:p w14:paraId="5FB49E6B" w14:textId="77777777" w:rsidR="00BF18CF" w:rsidRDefault="00E51347">
            <w:pPr>
              <w:pBdr>
                <w:top w:val="nil"/>
                <w:left w:val="nil"/>
                <w:bottom w:val="nil"/>
                <w:right w:val="nil"/>
                <w:between w:val="nil"/>
              </w:pBdr>
              <w:spacing w:before="36" w:after="36"/>
              <w:rPr>
                <w:color w:val="000000"/>
              </w:rPr>
            </w:pPr>
            <w:r>
              <w:rPr>
                <w:i/>
                <w:color w:val="000000"/>
              </w:rPr>
              <w:t>Opérateurs</w:t>
            </w:r>
          </w:p>
        </w:tc>
      </w:tr>
      <w:tr w:rsidR="00BF18CF" w14:paraId="3B6335A2" w14:textId="77777777" w:rsidTr="00BF18CF">
        <w:tc>
          <w:tcPr>
            <w:tcW w:w="1161" w:type="dxa"/>
          </w:tcPr>
          <w:p w14:paraId="202942F4" w14:textId="77777777" w:rsidR="00BF18CF" w:rsidRDefault="00E51347">
            <w:r>
              <w:t>∧</w:t>
            </w:r>
          </w:p>
        </w:tc>
        <w:tc>
          <w:tcPr>
            <w:tcW w:w="2221" w:type="dxa"/>
          </w:tcPr>
          <w:p w14:paraId="69FA3F63" w14:textId="77777777" w:rsidR="00BF18CF" w:rsidRDefault="00E51347">
            <w:proofErr w:type="gramStart"/>
            <w:r>
              <w:t>conjonction</w:t>
            </w:r>
            <w:proofErr w:type="gramEnd"/>
          </w:p>
        </w:tc>
        <w:tc>
          <w:tcPr>
            <w:tcW w:w="1848" w:type="dxa"/>
          </w:tcPr>
          <w:p w14:paraId="405EB45F" w14:textId="77777777" w:rsidR="00BF18CF" w:rsidRDefault="00E51347">
            <w:proofErr w:type="gramStart"/>
            <w:r>
              <w:t>et</w:t>
            </w:r>
            <w:proofErr w:type="gramEnd"/>
          </w:p>
        </w:tc>
        <w:tc>
          <w:tcPr>
            <w:tcW w:w="5460" w:type="dxa"/>
          </w:tcPr>
          <w:p w14:paraId="0C3A8093" w14:textId="77777777" w:rsidR="00BF18CF" w:rsidRDefault="00E51347">
            <w:r>
              <w:t>(</w:t>
            </w:r>
            <w:proofErr w:type="gramStart"/>
            <w:r>
              <w:t>φ</w:t>
            </w:r>
            <w:proofErr w:type="gramEnd"/>
            <w:r>
              <w:t> ∧ ψ) est vrai si et seulement si à la fois </w:t>
            </w:r>
            <w:r>
              <w:rPr>
                <w:i/>
              </w:rPr>
              <w:t>φ</w:t>
            </w:r>
            <w:r>
              <w:t> et </w:t>
            </w:r>
            <w:r>
              <w:rPr>
                <w:i/>
              </w:rPr>
              <w:t>ψ</w:t>
            </w:r>
            <w:r>
              <w:t xml:space="preserve"> sont vrais</w:t>
            </w:r>
          </w:p>
        </w:tc>
      </w:tr>
      <w:tr w:rsidR="00BF18CF" w14:paraId="116E67DC" w14:textId="77777777" w:rsidTr="00BF18CF">
        <w:tc>
          <w:tcPr>
            <w:tcW w:w="1161" w:type="dxa"/>
          </w:tcPr>
          <w:p w14:paraId="680D6476" w14:textId="77777777" w:rsidR="00BF18CF" w:rsidRDefault="00E51347">
            <w:r>
              <w:t>∨</w:t>
            </w:r>
          </w:p>
        </w:tc>
        <w:tc>
          <w:tcPr>
            <w:tcW w:w="2221" w:type="dxa"/>
          </w:tcPr>
          <w:p w14:paraId="64D3F030" w14:textId="77777777" w:rsidR="00BF18CF" w:rsidRDefault="00E51347">
            <w:proofErr w:type="gramStart"/>
            <w:r>
              <w:t>disjonction</w:t>
            </w:r>
            <w:proofErr w:type="gramEnd"/>
          </w:p>
        </w:tc>
        <w:tc>
          <w:tcPr>
            <w:tcW w:w="1848" w:type="dxa"/>
          </w:tcPr>
          <w:p w14:paraId="31B23BCD" w14:textId="77777777" w:rsidR="00BF18CF" w:rsidRDefault="00E51347">
            <w:proofErr w:type="gramStart"/>
            <w:r>
              <w:t>ou</w:t>
            </w:r>
            <w:proofErr w:type="gramEnd"/>
          </w:p>
        </w:tc>
        <w:tc>
          <w:tcPr>
            <w:tcW w:w="5460" w:type="dxa"/>
          </w:tcPr>
          <w:p w14:paraId="1DAD0390" w14:textId="77777777" w:rsidR="00BF18CF" w:rsidRDefault="00E51347">
            <w:r>
              <w:t>(</w:t>
            </w:r>
            <w:proofErr w:type="gramStart"/>
            <w:r>
              <w:t>φ</w:t>
            </w:r>
            <w:proofErr w:type="gramEnd"/>
            <w:r>
              <w:t> ∨ ψ) est vrai si et seulement si l’un de φ ou ψ est vrai</w:t>
            </w:r>
          </w:p>
        </w:tc>
      </w:tr>
      <w:tr w:rsidR="00BF18CF" w14:paraId="7DC7ADB0" w14:textId="77777777" w:rsidTr="00BF18CF">
        <w:tc>
          <w:tcPr>
            <w:tcW w:w="1161" w:type="dxa"/>
          </w:tcPr>
          <w:p w14:paraId="53930D68" w14:textId="77777777" w:rsidR="00BF18CF" w:rsidRDefault="00E51347">
            <w:r>
              <w:t>¬</w:t>
            </w:r>
          </w:p>
        </w:tc>
        <w:tc>
          <w:tcPr>
            <w:tcW w:w="2221" w:type="dxa"/>
          </w:tcPr>
          <w:p w14:paraId="4B76283F" w14:textId="77777777" w:rsidR="00BF18CF" w:rsidRDefault="00E51347">
            <w:proofErr w:type="gramStart"/>
            <w:r>
              <w:t>négation</w:t>
            </w:r>
            <w:proofErr w:type="gramEnd"/>
          </w:p>
        </w:tc>
        <w:tc>
          <w:tcPr>
            <w:tcW w:w="1848" w:type="dxa"/>
          </w:tcPr>
          <w:p w14:paraId="0EF2CE15" w14:textId="77777777" w:rsidR="00BF18CF" w:rsidRDefault="00E51347">
            <w:proofErr w:type="gramStart"/>
            <w:r>
              <w:t>non</w:t>
            </w:r>
            <w:proofErr w:type="gramEnd"/>
          </w:p>
        </w:tc>
        <w:tc>
          <w:tcPr>
            <w:tcW w:w="5460" w:type="dxa"/>
          </w:tcPr>
          <w:p w14:paraId="13D8C343" w14:textId="77777777" w:rsidR="00BF18CF" w:rsidRDefault="00E51347">
            <w:r>
              <w:t>¬φ est vrai si et seulement si </w:t>
            </w:r>
            <w:r>
              <w:rPr>
                <w:i/>
              </w:rPr>
              <w:t>φ</w:t>
            </w:r>
            <w:r>
              <w:t xml:space="preserve"> est faux</w:t>
            </w:r>
          </w:p>
        </w:tc>
      </w:tr>
      <w:tr w:rsidR="00BF18CF" w14:paraId="294C529F" w14:textId="77777777" w:rsidTr="00BF18CF">
        <w:tc>
          <w:tcPr>
            <w:tcW w:w="1161" w:type="dxa"/>
          </w:tcPr>
          <w:p w14:paraId="705F3CA9" w14:textId="77777777" w:rsidR="00BF18CF" w:rsidRDefault="00E51347">
            <w:r>
              <w:t>→</w:t>
            </w:r>
          </w:p>
        </w:tc>
        <w:tc>
          <w:tcPr>
            <w:tcW w:w="2221" w:type="dxa"/>
          </w:tcPr>
          <w:p w14:paraId="10A705D3" w14:textId="77777777" w:rsidR="00BF18CF" w:rsidRDefault="00E51347">
            <w:proofErr w:type="gramStart"/>
            <w:r>
              <w:t>implication</w:t>
            </w:r>
            <w:proofErr w:type="gramEnd"/>
          </w:p>
        </w:tc>
        <w:tc>
          <w:tcPr>
            <w:tcW w:w="1848" w:type="dxa"/>
          </w:tcPr>
          <w:p w14:paraId="72972ED0" w14:textId="77777777" w:rsidR="00BF18CF" w:rsidRDefault="00E51347">
            <w:proofErr w:type="gramStart"/>
            <w:r>
              <w:t>implique</w:t>
            </w:r>
            <w:proofErr w:type="gramEnd"/>
            <w:r>
              <w:t xml:space="preserve"> que,</w:t>
            </w:r>
          </w:p>
          <w:p w14:paraId="2CEBE67D" w14:textId="77777777" w:rsidR="00BF18CF" w:rsidRDefault="00E51347">
            <w:proofErr w:type="gramStart"/>
            <w:r>
              <w:t>si</w:t>
            </w:r>
            <w:proofErr w:type="gramEnd"/>
            <w:r>
              <w:t>… alors ...</w:t>
            </w:r>
          </w:p>
        </w:tc>
        <w:tc>
          <w:tcPr>
            <w:tcW w:w="5460" w:type="dxa"/>
          </w:tcPr>
          <w:p w14:paraId="70F605E0" w14:textId="77777777" w:rsidR="00BF18CF" w:rsidRDefault="00E51347">
            <w:r>
              <w:t>(</w:t>
            </w:r>
            <w:proofErr w:type="gramStart"/>
            <w:r>
              <w:t>φ</w:t>
            </w:r>
            <w:proofErr w:type="gramEnd"/>
            <w:r>
              <w:t> ⇒ ψ) est vrai si et seulement si ce n’est pas le cas que </w:t>
            </w:r>
            <w:r>
              <w:rPr>
                <w:i/>
              </w:rPr>
              <w:t>φ</w:t>
            </w:r>
            <w:r>
              <w:t xml:space="preserve"> est vrai et </w:t>
            </w:r>
            <w:r>
              <w:rPr>
                <w:i/>
              </w:rPr>
              <w:t>ψ</w:t>
            </w:r>
            <w:r>
              <w:t xml:space="preserve"> est faux</w:t>
            </w:r>
          </w:p>
        </w:tc>
      </w:tr>
      <w:tr w:rsidR="00BF18CF" w14:paraId="1A662E05" w14:textId="77777777" w:rsidTr="00BF18CF">
        <w:tc>
          <w:tcPr>
            <w:tcW w:w="1161" w:type="dxa"/>
          </w:tcPr>
          <w:p w14:paraId="700A5522" w14:textId="77777777" w:rsidR="00BF18CF" w:rsidRDefault="00E51347">
            <w:r>
              <w:t>↔</w:t>
            </w:r>
          </w:p>
        </w:tc>
        <w:tc>
          <w:tcPr>
            <w:tcW w:w="2221" w:type="dxa"/>
          </w:tcPr>
          <w:p w14:paraId="5770DC1B" w14:textId="77777777" w:rsidR="00BF18CF" w:rsidRDefault="00E51347">
            <w:proofErr w:type="gramStart"/>
            <w:r>
              <w:t>équivalence</w:t>
            </w:r>
            <w:proofErr w:type="gramEnd"/>
          </w:p>
        </w:tc>
        <w:tc>
          <w:tcPr>
            <w:tcW w:w="1848" w:type="dxa"/>
          </w:tcPr>
          <w:p w14:paraId="1FB8E13C" w14:textId="77777777" w:rsidR="00BF18CF" w:rsidRDefault="00E51347">
            <w:proofErr w:type="gramStart"/>
            <w:r>
              <w:t>est</w:t>
            </w:r>
            <w:proofErr w:type="gramEnd"/>
            <w:r>
              <w:t xml:space="preserve"> équivalent à,</w:t>
            </w:r>
          </w:p>
          <w:p w14:paraId="12A58414" w14:textId="77777777" w:rsidR="00BF18CF" w:rsidRDefault="00E51347">
            <w:proofErr w:type="gramStart"/>
            <w:r>
              <w:t>is</w:t>
            </w:r>
            <w:proofErr w:type="gramEnd"/>
            <w:r>
              <w:t xml:space="preserve"> … et seulement si ...</w:t>
            </w:r>
          </w:p>
        </w:tc>
        <w:tc>
          <w:tcPr>
            <w:tcW w:w="5460" w:type="dxa"/>
          </w:tcPr>
          <w:p w14:paraId="72C8BF77" w14:textId="77777777" w:rsidR="00BF18CF" w:rsidRDefault="00E51347">
            <w:proofErr w:type="gramStart"/>
            <w:r>
              <w:t>φ</w:t>
            </w:r>
            <w:proofErr w:type="gramEnd"/>
            <w:r>
              <w:t> ⇔ ψ est vrai si et seulement si à la fois </w:t>
            </w:r>
            <w:r>
              <w:rPr>
                <w:i/>
              </w:rPr>
              <w:t>φ</w:t>
            </w:r>
            <w:r>
              <w:t> et </w:t>
            </w:r>
            <w:r>
              <w:rPr>
                <w:i/>
              </w:rPr>
              <w:t>ψ</w:t>
            </w:r>
            <w:r>
              <w:t> sont vrais ou qu’à la fois φ et ψ sont faux</w:t>
            </w:r>
          </w:p>
        </w:tc>
      </w:tr>
      <w:tr w:rsidR="00BF18CF" w14:paraId="6D565039" w14:textId="77777777" w:rsidTr="00BF18CF">
        <w:tc>
          <w:tcPr>
            <w:tcW w:w="10690" w:type="dxa"/>
            <w:gridSpan w:val="4"/>
          </w:tcPr>
          <w:p w14:paraId="5D003DF9" w14:textId="77777777" w:rsidR="00BF18CF" w:rsidRDefault="000467B7">
            <w:pPr>
              <w:pBdr>
                <w:top w:val="nil"/>
                <w:left w:val="nil"/>
                <w:bottom w:val="nil"/>
                <w:right w:val="nil"/>
                <w:between w:val="nil"/>
              </w:pBdr>
              <w:spacing w:before="36" w:after="36"/>
              <w:rPr>
                <w:color w:val="000000"/>
              </w:rPr>
            </w:pPr>
            <w:hyperlink r:id="rId278" w:anchor="quantificateurs-de-propriete">
              <w:r w:rsidR="00E51347">
                <w:rPr>
                  <w:i/>
                  <w:color w:val="4F81BD"/>
                </w:rPr>
                <w:t>Quantificateurs</w:t>
              </w:r>
            </w:hyperlink>
          </w:p>
        </w:tc>
      </w:tr>
      <w:tr w:rsidR="00BF18CF" w14:paraId="23B8FBB5" w14:textId="77777777" w:rsidTr="00BF18CF">
        <w:tc>
          <w:tcPr>
            <w:tcW w:w="1161" w:type="dxa"/>
          </w:tcPr>
          <w:p w14:paraId="23508196" w14:textId="77777777" w:rsidR="00BF18CF" w:rsidRDefault="00E51347">
            <w:r>
              <w:t>∃</w:t>
            </w:r>
          </w:p>
        </w:tc>
        <w:tc>
          <w:tcPr>
            <w:tcW w:w="2221" w:type="dxa"/>
          </w:tcPr>
          <w:p w14:paraId="62881A1A" w14:textId="77777777" w:rsidR="00BF18CF" w:rsidRDefault="00E51347">
            <w:proofErr w:type="gramStart"/>
            <w:r>
              <w:t>quantificateur</w:t>
            </w:r>
            <w:proofErr w:type="gramEnd"/>
            <w:r>
              <w:t xml:space="preserve"> existentiel</w:t>
            </w:r>
          </w:p>
        </w:tc>
        <w:tc>
          <w:tcPr>
            <w:tcW w:w="1848" w:type="dxa"/>
          </w:tcPr>
          <w:p w14:paraId="1A5E43A5" w14:textId="77777777" w:rsidR="00BF18CF" w:rsidRDefault="00E51347">
            <w:proofErr w:type="gramStart"/>
            <w:r>
              <w:t>existe</w:t>
            </w:r>
            <w:proofErr w:type="gramEnd"/>
            <w:r>
              <w:t>,</w:t>
            </w:r>
          </w:p>
          <w:p w14:paraId="2D55CF82" w14:textId="77777777" w:rsidR="00BF18CF" w:rsidRDefault="00E51347">
            <w:proofErr w:type="gramStart"/>
            <w:r>
              <w:t>il</w:t>
            </w:r>
            <w:proofErr w:type="gramEnd"/>
            <w:r>
              <w:t xml:space="preserve"> existe au moins un</w:t>
            </w:r>
          </w:p>
        </w:tc>
        <w:tc>
          <w:tcPr>
            <w:tcW w:w="5460" w:type="dxa"/>
          </w:tcPr>
          <w:p w14:paraId="50067B67" w14:textId="77777777" w:rsidR="00BF18CF" w:rsidRDefault="00BF18CF">
            <w:pPr>
              <w:pBdr>
                <w:top w:val="nil"/>
                <w:left w:val="nil"/>
                <w:bottom w:val="nil"/>
                <w:right w:val="nil"/>
                <w:between w:val="nil"/>
              </w:pBdr>
              <w:spacing w:before="36" w:after="36"/>
              <w:rPr>
                <w:color w:val="000000"/>
              </w:rPr>
            </w:pPr>
          </w:p>
        </w:tc>
      </w:tr>
      <w:tr w:rsidR="00BF18CF" w14:paraId="472647CD" w14:textId="77777777" w:rsidTr="00BF18CF">
        <w:tc>
          <w:tcPr>
            <w:tcW w:w="1161" w:type="dxa"/>
          </w:tcPr>
          <w:p w14:paraId="0A9D07B4" w14:textId="77777777" w:rsidR="00BF18CF" w:rsidRDefault="00E51347">
            <w:r>
              <w:lastRenderedPageBreak/>
              <w:t>∀</w:t>
            </w:r>
          </w:p>
        </w:tc>
        <w:tc>
          <w:tcPr>
            <w:tcW w:w="2221" w:type="dxa"/>
          </w:tcPr>
          <w:p w14:paraId="453D39AA" w14:textId="77777777" w:rsidR="00BF18CF" w:rsidRDefault="00E51347">
            <w:proofErr w:type="gramStart"/>
            <w:r>
              <w:t>quantificateur</w:t>
            </w:r>
            <w:proofErr w:type="gramEnd"/>
            <w:r>
              <w:t xml:space="preserve"> universel</w:t>
            </w:r>
          </w:p>
        </w:tc>
        <w:tc>
          <w:tcPr>
            <w:tcW w:w="1848" w:type="dxa"/>
          </w:tcPr>
          <w:p w14:paraId="58DA0E37" w14:textId="77777777" w:rsidR="00BF18CF" w:rsidRDefault="00E51347">
            <w:proofErr w:type="gramStart"/>
            <w:r>
              <w:t>pour</w:t>
            </w:r>
            <w:proofErr w:type="gramEnd"/>
            <w:r>
              <w:t xml:space="preserve"> tous</w:t>
            </w:r>
          </w:p>
        </w:tc>
        <w:tc>
          <w:tcPr>
            <w:tcW w:w="5460" w:type="dxa"/>
          </w:tcPr>
          <w:p w14:paraId="40603D8E" w14:textId="77777777" w:rsidR="00BF18CF" w:rsidRDefault="00BF18CF">
            <w:pPr>
              <w:pBdr>
                <w:top w:val="nil"/>
                <w:left w:val="nil"/>
                <w:bottom w:val="nil"/>
                <w:right w:val="nil"/>
                <w:between w:val="nil"/>
              </w:pBdr>
              <w:spacing w:before="36" w:after="36"/>
              <w:rPr>
                <w:color w:val="000000"/>
              </w:rPr>
            </w:pPr>
          </w:p>
        </w:tc>
      </w:tr>
    </w:tbl>
    <w:p w14:paraId="229D6DCC" w14:textId="77777777" w:rsidR="00BF18CF" w:rsidRDefault="00BF18CF"/>
    <w:tbl>
      <w:tblPr>
        <w:tblStyle w:val="a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0560E151" w14:textId="77777777" w:rsidTr="00BF18CF">
        <w:tc>
          <w:tcPr>
            <w:tcW w:w="10690" w:type="dxa"/>
          </w:tcPr>
          <w:p w14:paraId="0C89FB49" w14:textId="77777777" w:rsidR="00BF18CF" w:rsidRDefault="00E51347">
            <w:r>
              <w:t xml:space="preserve">Le lien de sous-classe </w:t>
            </w:r>
            <w:hyperlink w:anchor="bookmark=id.4f1mdlm">
              <w:r>
                <w:rPr>
                  <w:color w:val="4F81BD"/>
                </w:rPr>
                <w:t>susmentionné</w:t>
              </w:r>
            </w:hyperlink>
            <w:r>
              <w:t xml:space="preserve"> entre </w:t>
            </w:r>
            <w:r>
              <w:rPr>
                <w:rFonts w:ascii="Consolas" w:eastAsia="Consolas" w:hAnsi="Consolas" w:cs="Consolas"/>
                <w:sz w:val="22"/>
                <w:szCs w:val="22"/>
                <w:shd w:val="clear" w:color="auto" w:fill="EAEEF3"/>
              </w:rPr>
              <w:t>E21_Personne</w:t>
            </w:r>
            <w:r>
              <w:t xml:space="preserve"> et </w:t>
            </w:r>
            <w:r>
              <w:rPr>
                <w:rFonts w:ascii="Consolas" w:eastAsia="Consolas" w:hAnsi="Consolas" w:cs="Consolas"/>
                <w:sz w:val="22"/>
                <w:szCs w:val="22"/>
                <w:shd w:val="clear" w:color="auto" w:fill="EAEEF3"/>
              </w:rPr>
              <w:t>E20_Objet_biologique</w:t>
            </w:r>
            <w:r>
              <w:t xml:space="preserve"> peut être formulé, en logique du premier ordre, par l’axiome suivant :</w:t>
            </w:r>
          </w:p>
          <w:p w14:paraId="2479E0A2" w14:textId="77777777" w:rsidR="00BF18CF" w:rsidRDefault="00E51347">
            <w:r>
              <w:t>(∀x) [E21(x) ⇒E20(x)]</w:t>
            </w:r>
          </w:p>
          <w:p w14:paraId="72AB7AC5" w14:textId="77777777" w:rsidR="00BF18CF" w:rsidRDefault="00E51347">
            <w:r>
              <w:t>(</w:t>
            </w:r>
            <w:proofErr w:type="gramStart"/>
            <w:r>
              <w:t>à</w:t>
            </w:r>
            <w:proofErr w:type="gramEnd"/>
            <w:r>
              <w:t xml:space="preserve"> savoir : pour tout individu x, si x est un E21 alors x est un E20).</w:t>
            </w:r>
          </w:p>
          <w:p w14:paraId="3791C231" w14:textId="77777777" w:rsidR="00BF18CF" w:rsidRDefault="00E51347">
            <w:r>
              <w:t xml:space="preserve">Dans la définition des </w:t>
            </w:r>
            <w:hyperlink r:id="rId279" w:anchor="classe">
              <w:r>
                <w:rPr>
                  <w:color w:val="4F81BD"/>
                </w:rPr>
                <w:t>classes</w:t>
              </w:r>
            </w:hyperlink>
            <w:r>
              <w:t xml:space="preserve"> et </w:t>
            </w:r>
            <w:hyperlink r:id="rId280" w:anchor="propriete">
              <w:r>
                <w:rPr>
                  <w:color w:val="4F81BD"/>
                </w:rPr>
                <w:t>propriétés</w:t>
              </w:r>
            </w:hyperlink>
            <w:r>
              <w:t xml:space="preserve"> de ce document le(s) </w:t>
            </w:r>
            <w:hyperlink r:id="rId281" w:anchor="quantificateurs-de-propriete">
              <w:r>
                <w:rPr>
                  <w:color w:val="4F81BD"/>
                </w:rPr>
                <w:t>quantificateur</w:t>
              </w:r>
            </w:hyperlink>
            <w:r>
              <w:t>(s) universel(s) sont omis par soucis de simplicité, de sorte que cet axiome prend la forme suivante :</w:t>
            </w:r>
          </w:p>
          <w:p w14:paraId="6DD3978E" w14:textId="77777777" w:rsidR="00BF18CF" w:rsidRDefault="00E51347">
            <w:r>
              <w:t>E21(x) ⇒E20(x)</w:t>
            </w:r>
          </w:p>
          <w:p w14:paraId="696A26E8" w14:textId="77777777" w:rsidR="00BF18CF" w:rsidRDefault="00E51347">
            <w:r>
              <w:t xml:space="preserve">De la même manière, la contrainte du </w:t>
            </w:r>
            <w:hyperlink r:id="rId282" w:anchor="domaine">
              <w:r>
                <w:rPr>
                  <w:color w:val="4F81BD"/>
                </w:rPr>
                <w:t>domaine</w:t>
              </w:r>
            </w:hyperlink>
            <w:r>
              <w:t xml:space="preserve"> de la propriété </w:t>
            </w:r>
            <w:r>
              <w:rPr>
                <w:rFonts w:ascii="Consolas" w:eastAsia="Consolas" w:hAnsi="Consolas" w:cs="Consolas"/>
                <w:sz w:val="22"/>
                <w:szCs w:val="22"/>
                <w:shd w:val="clear" w:color="auto" w:fill="EAEEF3"/>
              </w:rPr>
              <w:t>P152_a_pour_parent</w:t>
            </w:r>
            <w:r>
              <w:t xml:space="preserve"> peut être formulée, en logique du premier ordre, par l’axiome suivant :</w:t>
            </w:r>
          </w:p>
          <w:p w14:paraId="28638A18" w14:textId="77777777" w:rsidR="00BF18CF" w:rsidRDefault="00E51347">
            <w:r>
              <w:t>P152(</w:t>
            </w:r>
            <w:proofErr w:type="gramStart"/>
            <w:r>
              <w:t>x,y</w:t>
            </w:r>
            <w:proofErr w:type="gramEnd"/>
            <w:r>
              <w:t>) ⇒E21(x)</w:t>
            </w:r>
          </w:p>
          <w:p w14:paraId="0DB57F35" w14:textId="77777777" w:rsidR="00BF18CF" w:rsidRDefault="00E51347">
            <w:r>
              <w:t>(</w:t>
            </w:r>
            <w:proofErr w:type="gramStart"/>
            <w:r>
              <w:t>à</w:t>
            </w:r>
            <w:proofErr w:type="gramEnd"/>
            <w:r>
              <w:t xml:space="preserve"> savoir : pour tous les individus x et y, si x est un P152 de y, alors x est un E21).</w:t>
            </w:r>
          </w:p>
          <w:p w14:paraId="06DDC87C" w14:textId="77777777" w:rsidR="00BF18CF" w:rsidRDefault="00E51347">
            <w:r>
              <w:t>Ceci devrait être utilisé par le lecteur afin de comprendre les axiomes utilisés dans la définition des classes et des propriétés. (Meghini &amp; Doerr, 2018) offrent plus d’informations sur la formulation de logique du premier ordre dans le CIDOC CRM.</w:t>
            </w:r>
          </w:p>
        </w:tc>
      </w:tr>
    </w:tbl>
    <w:p w14:paraId="70B0909A" w14:textId="77777777" w:rsidR="00BF18CF" w:rsidRDefault="00BF18CF"/>
    <w:tbl>
      <w:tblPr>
        <w:tblStyle w:val="af5"/>
        <w:tblW w:w="10693" w:type="dxa"/>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418"/>
        <w:gridCol w:w="9275"/>
      </w:tblGrid>
      <w:tr w:rsidR="00BF18CF" w14:paraId="27798DEF" w14:textId="77777777" w:rsidTr="00BF18CF">
        <w:tc>
          <w:tcPr>
            <w:tcW w:w="1418" w:type="dxa"/>
          </w:tcPr>
          <w:p w14:paraId="40A85C48" w14:textId="7BCE1E8F" w:rsidR="00BF18CF" w:rsidRDefault="00F27208">
            <w:r>
              <w:rPr>
                <w:i/>
              </w:rPr>
              <w:t>Note de traduction</w:t>
            </w:r>
          </w:p>
        </w:tc>
        <w:tc>
          <w:tcPr>
            <w:tcW w:w="9275" w:type="dxa"/>
          </w:tcPr>
          <w:p w14:paraId="15E90535" w14:textId="77777777" w:rsidR="00BF18CF" w:rsidRDefault="00E51347">
            <w:r>
              <w:t>Les termes « quantifiant » ou « quantificateur » peuvent tous deux être utilisés pour désigner des « quantifiers”, la seconde option a été privilégiée pour éviter toute confusion avec le gérondif.</w:t>
            </w:r>
          </w:p>
        </w:tc>
      </w:tr>
      <w:tr w:rsidR="00BF18CF" w14:paraId="75F0D1BE" w14:textId="77777777" w:rsidTr="00BF18CF">
        <w:tc>
          <w:tcPr>
            <w:tcW w:w="1418" w:type="dxa"/>
          </w:tcPr>
          <w:p w14:paraId="7D46CED4" w14:textId="77777777" w:rsidR="00BF18CF" w:rsidRDefault="00E51347">
            <w:r>
              <w:rPr>
                <w:i/>
              </w:rPr>
              <w:t>Références</w:t>
            </w:r>
          </w:p>
        </w:tc>
        <w:tc>
          <w:tcPr>
            <w:tcW w:w="9275" w:type="dxa"/>
          </w:tcPr>
          <w:p w14:paraId="2079A662" w14:textId="77777777" w:rsidR="00BF18CF" w:rsidRDefault="00E51347">
            <w:r>
              <w:t xml:space="preserve">Termium. « </w:t>
            </w:r>
            <w:proofErr w:type="gramStart"/>
            <w:r>
              <w:t>quantifier</w:t>
            </w:r>
            <w:proofErr w:type="gramEnd"/>
            <w:r>
              <w:t xml:space="preserve"> ». Dans </w:t>
            </w:r>
            <w:r>
              <w:rPr>
                <w:i/>
              </w:rPr>
              <w:t>Termium Plus</w:t>
            </w:r>
            <w:r>
              <w:t>. Ottawa, CA-ON: Gouvernement du Canada, 8 octobre 2009.</w:t>
            </w:r>
            <w:hyperlink r:id="rId283" w:anchor="resultrecs">
              <w:r>
                <w:rPr>
                  <w:color w:val="4F81BD"/>
                </w:rPr>
                <w:t xml:space="preserve"> https://www.btb.termiumplus.gc.ca/tpv2alpha/alpha-fra.html?lang=fra&amp;i=1&amp;srchtxt=quantifier&amp;index=ent&amp;codom2nd_wet=1#resultrecs</w:t>
              </w:r>
            </w:hyperlink>
            <w:r>
              <w:t>.</w:t>
            </w:r>
          </w:p>
        </w:tc>
      </w:tr>
    </w:tbl>
    <w:p w14:paraId="32AB658D" w14:textId="77777777" w:rsidR="00BF18CF" w:rsidRDefault="00E51347">
      <w:pPr>
        <w:pStyle w:val="Heading1"/>
      </w:pPr>
      <w:bookmarkStart w:id="57" w:name="bookmark=id.2u6wntf" w:colFirst="0" w:colLast="0"/>
      <w:bookmarkStart w:id="58" w:name="_Toc144360772"/>
      <w:bookmarkEnd w:id="57"/>
      <w:r>
        <w:t>Principes de modélisation</w:t>
      </w:r>
      <w:bookmarkEnd w:id="58"/>
    </w:p>
    <w:tbl>
      <w:tblPr>
        <w:tblStyle w:val="af6"/>
        <w:tblW w:w="1069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2"/>
      </w:tblGrid>
      <w:tr w:rsidR="00BF18CF" w14:paraId="2FB2A924" w14:textId="77777777" w:rsidTr="00BF18CF">
        <w:tc>
          <w:tcPr>
            <w:tcW w:w="10692" w:type="dxa"/>
          </w:tcPr>
          <w:p w14:paraId="7463B20E" w14:textId="77777777" w:rsidR="00BF18CF" w:rsidRDefault="00E51347">
            <w:r>
              <w:t>Les principes de modélisation suivants ont guidé le développement du CIDOC CRM.</w:t>
            </w:r>
          </w:p>
        </w:tc>
      </w:tr>
    </w:tbl>
    <w:p w14:paraId="740F8CD6" w14:textId="77777777" w:rsidR="00BF18CF" w:rsidRDefault="00BF18CF"/>
    <w:tbl>
      <w:tblPr>
        <w:tblStyle w:val="af7"/>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7971487A" w14:textId="77777777" w:rsidTr="00BF18CF">
        <w:tc>
          <w:tcPr>
            <w:tcW w:w="1828" w:type="dxa"/>
          </w:tcPr>
          <w:p w14:paraId="139AE7E1" w14:textId="573A3E99" w:rsidR="00BF18CF" w:rsidRDefault="00F27208">
            <w:r>
              <w:rPr>
                <w:i/>
              </w:rPr>
              <w:t>Note de traduction</w:t>
            </w:r>
          </w:p>
        </w:tc>
        <w:tc>
          <w:tcPr>
            <w:tcW w:w="8867" w:type="dxa"/>
          </w:tcPr>
          <w:p w14:paraId="38BE5936" w14:textId="77777777" w:rsidR="00BF18CF" w:rsidRDefault="00BF18CF">
            <w:pPr>
              <w:pBdr>
                <w:top w:val="nil"/>
                <w:left w:val="nil"/>
                <w:bottom w:val="nil"/>
                <w:right w:val="nil"/>
                <w:between w:val="nil"/>
              </w:pBdr>
              <w:spacing w:before="36" w:after="36"/>
              <w:rPr>
                <w:color w:val="000000"/>
              </w:rPr>
            </w:pPr>
          </w:p>
        </w:tc>
      </w:tr>
      <w:tr w:rsidR="00BF18CF" w14:paraId="1BED593C" w14:textId="77777777" w:rsidTr="00BF18CF">
        <w:tc>
          <w:tcPr>
            <w:tcW w:w="1828" w:type="dxa"/>
          </w:tcPr>
          <w:p w14:paraId="09F664B0" w14:textId="77777777" w:rsidR="00BF18CF" w:rsidRDefault="00E51347">
            <w:r>
              <w:rPr>
                <w:i/>
              </w:rPr>
              <w:t>Références</w:t>
            </w:r>
          </w:p>
        </w:tc>
        <w:tc>
          <w:tcPr>
            <w:tcW w:w="8867" w:type="dxa"/>
          </w:tcPr>
          <w:p w14:paraId="4C816ADC" w14:textId="77777777" w:rsidR="00BF18CF" w:rsidRDefault="00BF18CF">
            <w:pPr>
              <w:pBdr>
                <w:top w:val="nil"/>
                <w:left w:val="nil"/>
                <w:bottom w:val="nil"/>
                <w:right w:val="nil"/>
                <w:between w:val="nil"/>
              </w:pBdr>
              <w:spacing w:before="36" w:after="36"/>
              <w:rPr>
                <w:color w:val="000000"/>
              </w:rPr>
            </w:pPr>
          </w:p>
        </w:tc>
      </w:tr>
    </w:tbl>
    <w:p w14:paraId="7B850811" w14:textId="77777777" w:rsidR="00BF18CF" w:rsidRDefault="00E51347">
      <w:pPr>
        <w:pStyle w:val="Heading2"/>
      </w:pPr>
      <w:bookmarkStart w:id="59" w:name="bookmark=id.19c6y18" w:colFirst="0" w:colLast="0"/>
      <w:bookmarkStart w:id="60" w:name="_Toc144360773"/>
      <w:bookmarkEnd w:id="59"/>
      <w:r>
        <w:t>De la réalité, des bases de connaissance et du CIDOC CRM</w:t>
      </w:r>
      <w:bookmarkEnd w:id="60"/>
    </w:p>
    <w:tbl>
      <w:tblPr>
        <w:tblStyle w:val="a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6F0CE336" w14:textId="77777777" w:rsidTr="00BF18CF">
        <w:tc>
          <w:tcPr>
            <w:tcW w:w="10690" w:type="dxa"/>
          </w:tcPr>
          <w:p w14:paraId="39937A00" w14:textId="77777777" w:rsidR="00BF18CF" w:rsidRDefault="00E51347">
            <w:r>
              <w:t>Le CIDOC CRM est une ontologie formelle dans le sens que l’a introduit (Guarino, 1998)</w:t>
            </w:r>
            <w:r>
              <w:rPr>
                <w:vertAlign w:val="superscript"/>
              </w:rPr>
              <w:t>4</w:t>
            </w:r>
            <w:r>
              <w:t xml:space="preserve">. Ce document est destiné à une audience qui n’est spécialiste ni de la logique ni des sciences informatiques, de sorte </w:t>
            </w:r>
            <w:r>
              <w:lastRenderedPageBreak/>
              <w:t>qu’il se concentre sur la sémantique informelle et sur les aspects pragmatiques des concepts du CIDOC CRM. Il s’agit d’une discussion détaillée, à travers des patrons conceptuels fondamentaux</w:t>
            </w:r>
            <w:r>
              <w:rPr>
                <w:vertAlign w:val="superscript"/>
              </w:rPr>
              <w:t>5</w:t>
            </w:r>
            <w:r>
              <w:t>, des principes qui sous-tendent le CIDOC CRM, une ontologie qui a pour objectif de partager, de connecter et d’intégrer de l’information issue de recherches sur le passé. Afin de comprendre la fonction d’une telle ontologie formelle, les distinctions suivantes sont nécessaires :</w:t>
            </w:r>
          </w:p>
          <w:p w14:paraId="69BC155C" w14:textId="77777777" w:rsidR="00BF18CF" w:rsidRDefault="00E51347">
            <w:pPr>
              <w:numPr>
                <w:ilvl w:val="0"/>
                <w:numId w:val="40"/>
              </w:numPr>
            </w:pPr>
            <w:r>
              <w:t xml:space="preserve">La </w:t>
            </w:r>
            <w:r>
              <w:rPr>
                <w:i/>
              </w:rPr>
              <w:t>réalité matérielle</w:t>
            </w:r>
            <w:r>
              <w:t xml:space="preserve"> est entendue comme étant tout ce qui a une substance qui peut être perçue par le biais des sens ou d’instruments; ceci est limité par l’espace et le temps. Ceci inclut, par exemple, des peuples, une forêt, un environnement où s’établissent des personnes, la mer, l'atmosphère, des micro-structures célestes ou cellulaires, notamment ce qui pourrait être potentiellement ou théoriquement perçu en présence, par exemple le centre de la terre ou du soleil et tout ce qui est passé. Ce qui se produit </w:t>
            </w:r>
            <w:r>
              <w:rPr>
                <w:i/>
              </w:rPr>
              <w:t>dans</w:t>
            </w:r>
            <w:r>
              <w:t xml:space="preserve"> l’esprit ou est le produit </w:t>
            </w:r>
            <w:r>
              <w:rPr>
                <w:i/>
              </w:rPr>
              <w:t>de</w:t>
            </w:r>
            <w:r>
              <w:t xml:space="preserve"> l’esprit est aussi reconnu comme faisant partie de la réalité matérielle dans la mesure où ce produit devient matériellement évident pour les autres par le biais d’énonciations, de comportements et de produits.</w:t>
            </w:r>
          </w:p>
          <w:p w14:paraId="6F8C4F93" w14:textId="77777777" w:rsidR="00BF18CF" w:rsidRDefault="00E51347">
            <w:pPr>
              <w:numPr>
                <w:ilvl w:val="0"/>
                <w:numId w:val="40"/>
              </w:numPr>
            </w:pPr>
            <w:r>
              <w:t xml:space="preserve">Les unités de description, ou </w:t>
            </w:r>
            <w:r>
              <w:rPr>
                <w:i/>
              </w:rPr>
              <w:t>éléments particuliers</w:t>
            </w:r>
            <w:r>
              <w:t xml:space="preserve"> sont les choses et relations auxquelles il est fait référence afin de distinguer des éléments de la réalité. Ceci inclut le Mont Ida, le Taj Mahal, la formation de la Chine par l’empereur Qin Shi Huang (秦始皇) en 221 AEC, Toutânkhamon et son embaumement, le prince Shōtoku du Japon envoyant une délégation en Chine en 607 EC, la participation de Socrate à la bataille de Potidaea ou encore la datation radiocarbone d’Ötzi (Kutschera, 2002).</w:t>
            </w:r>
          </w:p>
          <w:p w14:paraId="74D59C7B" w14:textId="77777777" w:rsidR="00BF18CF" w:rsidRDefault="00E51347">
            <w:r>
              <w:t xml:space="preserve">Une ontologie formelle telle que le CIDOC CRM constitue en fait un langage contrôlé pour parler d’éléments particuliers, c.-à-d. qu’elle offre des </w:t>
            </w:r>
            <w:hyperlink r:id="rId284" w:anchor="classe">
              <w:r>
                <w:rPr>
                  <w:color w:val="4F81BD"/>
                </w:rPr>
                <w:t>classes</w:t>
              </w:r>
            </w:hyperlink>
            <w:r>
              <w:t xml:space="preserve"> et </w:t>
            </w:r>
            <w:hyperlink r:id="rId285" w:anchor="propriete">
              <w:r>
                <w:rPr>
                  <w:color w:val="4F81BD"/>
                </w:rPr>
                <w:t>propriétés</w:t>
              </w:r>
            </w:hyperlink>
            <w:r>
              <w:t xml:space="preserve"> permettant de catégoriser ces éléments particuliers comme des « </w:t>
            </w:r>
            <w:hyperlink r:id="rId286" w:anchor="instance">
              <w:r>
                <w:rPr>
                  <w:color w:val="4F81BD"/>
                </w:rPr>
                <w:t>instances</w:t>
              </w:r>
            </w:hyperlink>
            <w:r>
              <w:t xml:space="preserve"> », de sorte que leur individuation, leur unité et les propriétés pouvant leur être associées de manière pertinente soient aussi claires que possible. Par exemple, Toutânkhamon comme instance de </w:t>
            </w:r>
            <w:r>
              <w:rPr>
                <w:rFonts w:ascii="Consolas" w:eastAsia="Consolas" w:hAnsi="Consolas" w:cs="Consolas"/>
                <w:sz w:val="22"/>
                <w:szCs w:val="22"/>
                <w:shd w:val="clear" w:color="auto" w:fill="EAEEF3"/>
              </w:rPr>
              <w:t>E21_Personne</w:t>
            </w:r>
            <w:r>
              <w:t xml:space="preserve"> </w:t>
            </w:r>
            <w:r>
              <w:rPr>
                <w:i/>
              </w:rPr>
              <w:t>est</w:t>
            </w:r>
            <w:r>
              <w:t xml:space="preserve"> ce pharaon depuis sa naissance jusqu’à sa mort, mais n’est pas sa momie conformément à la définition de la classe </w:t>
            </w:r>
            <w:r>
              <w:rPr>
                <w:rFonts w:ascii="Consolas" w:eastAsia="Consolas" w:hAnsi="Consolas" w:cs="Consolas"/>
                <w:sz w:val="22"/>
                <w:szCs w:val="22"/>
                <w:shd w:val="clear" w:color="auto" w:fill="EAEEF3"/>
              </w:rPr>
              <w:t>E21_Personne</w:t>
            </w:r>
            <w:r>
              <w:t xml:space="preserve"> et de ses propriétés.</w:t>
            </w:r>
          </w:p>
          <w:p w14:paraId="41E1120B" w14:textId="77777777" w:rsidR="00BF18CF" w:rsidRDefault="00E51347">
            <w:r>
              <w:t>Le CIDOC CRM ne statue pas sur l’existence ou l’inexistence d’une substance spirituelle, ni sur l’existence ou l’inexistence d’une substance qui ne soit pas accessible par les sens ou par des instruments, et ne statue pas non plus en faveur d’une philosophie matérialiste. Cependant, pour des raisons pratiques, le CIDOC CRM repose sur la nécessité d’intégrer de l’information issue d’éléments matériels qui peuvent être appréhendés du fait de l’expérience humaine. Le CIDOC CRM renvoie en ce sens à une réalité matérielle indépendante de l’observateur.</w:t>
            </w:r>
          </w:p>
          <w:p w14:paraId="727E1778" w14:textId="77777777" w:rsidR="00BF18CF" w:rsidRDefault="00E51347">
            <w:r>
              <w:t xml:space="preserve">Lorsque des </w:t>
            </w:r>
            <w:r>
              <w:rPr>
                <w:i/>
              </w:rPr>
              <w:t>descriptions</w:t>
            </w:r>
            <w:r>
              <w:t xml:space="preserve"> d’éléments </w:t>
            </w:r>
            <w:proofErr w:type="gramStart"/>
            <w:r>
              <w:t>particuliers  sont</w:t>
            </w:r>
            <w:proofErr w:type="gramEnd"/>
            <w:r>
              <w:t xml:space="preserve"> disponibles, leurs identifiants, noms ou titres uniques (toutes des instances de </w:t>
            </w:r>
            <w:r>
              <w:rPr>
                <w:rFonts w:ascii="Consolas" w:eastAsia="Consolas" w:hAnsi="Consolas" w:cs="Consolas"/>
                <w:sz w:val="22"/>
                <w:szCs w:val="22"/>
                <w:shd w:val="clear" w:color="auto" w:fill="EAEEF3"/>
              </w:rPr>
              <w:t>E41_Appellation</w:t>
            </w:r>
            <w:r>
              <w:t xml:space="preserve"> dans CIDOC CRM) sont utilisés [n.d.t afin qu’ils soient conceptualisés de manière générique (le concept) plutôt que spécifique (le concept tel qu’il se déploie dans un contexte particulier)]. Au contraire, les éléments particuliers évoqués à l’aide de pronoms ou d’énumération de leurs propriétés caractéristiques (comme le nom et la date de naissance) sont spécifiques (ils s’appuient sur le contexte particulier de leur mention). L’appellation ainsi que la relation [n.d.t (ou le lien)] entre l’appellation et l’entité à laquelle elle réfère diffèrent en effet de l’entité elle-même et de son identité. Par exemple, le nom Toutânkhamon (instance de </w:t>
            </w:r>
            <w:r>
              <w:rPr>
                <w:rFonts w:ascii="Consolas" w:eastAsia="Consolas" w:hAnsi="Consolas" w:cs="Consolas"/>
                <w:sz w:val="22"/>
                <w:szCs w:val="22"/>
                <w:shd w:val="clear" w:color="auto" w:fill="EAEEF3"/>
              </w:rPr>
              <w:t>E41_Appellation</w:t>
            </w:r>
            <w:r>
              <w:t xml:space="preserve">) diffère de la personne Toutânkhamon (instance de </w:t>
            </w:r>
            <w:r>
              <w:rPr>
                <w:rFonts w:ascii="Consolas" w:eastAsia="Consolas" w:hAnsi="Consolas" w:cs="Consolas"/>
                <w:sz w:val="22"/>
                <w:szCs w:val="22"/>
                <w:shd w:val="clear" w:color="auto" w:fill="EAEEF3"/>
              </w:rPr>
              <w:t>E21_Personne</w:t>
            </w:r>
            <w:r>
              <w:t>) qui diffère aussi du lien qui unit la personne à son nom (</w:t>
            </w:r>
            <w:r>
              <w:rPr>
                <w:rFonts w:ascii="Consolas" w:eastAsia="Consolas" w:hAnsi="Consolas" w:cs="Consolas"/>
                <w:sz w:val="22"/>
                <w:szCs w:val="22"/>
                <w:shd w:val="clear" w:color="auto" w:fill="EAEEF3"/>
              </w:rPr>
              <w:t>P1_est_identifié_par</w:t>
            </w:r>
            <w:r>
              <w:t xml:space="preserve">). Les instances de CIDOC CRM sont donc les </w:t>
            </w:r>
            <w:r>
              <w:rPr>
                <w:i/>
              </w:rPr>
              <w:t>réels</w:t>
            </w:r>
            <w:r>
              <w:t xml:space="preserve"> éléments particuliers (plutôt que leurs noms), bien que dans les descriptions les noms doivent être utilisés à titre d’auxiliaires. Les éléments particuliers sont ainsi des différenciations approximatives de parts de la réalité (comme des sections de celle-ci). En d’autres termes, la réalité a </w:t>
            </w:r>
            <w:r>
              <w:lastRenderedPageBreak/>
              <w:t>un caractère unique qui est indépendant de toute conceptualisation (p. ex. le fait qu’il y ait une montagne adjacente à une vallée ne dépend pas de la frontière arbitraire qui les distingue).</w:t>
            </w:r>
          </w:p>
          <w:p w14:paraId="6A5750E0" w14:textId="77777777" w:rsidR="00BF18CF" w:rsidRDefault="00E51347">
            <w:r>
              <w:t xml:space="preserve">Une base de connaissances (BC) compatible avec CIDOC CRM (Meghini &amp; Doerr 2018) est une instance de </w:t>
            </w:r>
            <w:r>
              <w:rPr>
                <w:rFonts w:ascii="Consolas" w:eastAsia="Consolas" w:hAnsi="Consolas" w:cs="Consolas"/>
                <w:sz w:val="22"/>
                <w:szCs w:val="22"/>
                <w:shd w:val="clear" w:color="auto" w:fill="EAEEF3"/>
              </w:rPr>
              <w:t>E73_Objet_informationnel</w:t>
            </w:r>
            <w:r>
              <w:t xml:space="preserve"> qui contient des énoncés formels (structures d’encodage de données) représentant des affirmations considérées vraies dans le contexte d’une réalité par un observateur. Ces énoncés utilisent les appellations (p. ex. http://id.loc.gov/authorities/names/n79066005</w:t>
            </w:r>
            <w:r>
              <w:rPr>
                <w:vertAlign w:val="superscript"/>
              </w:rPr>
              <w:t>6</w:t>
            </w:r>
            <w:r>
              <w:t xml:space="preserve">) de concepts ontologiques spécifiques ou de concepts de CIDOC CRM (p. ex. </w:t>
            </w:r>
            <w:r>
              <w:rPr>
                <w:rFonts w:ascii="Consolas" w:eastAsia="Consolas" w:hAnsi="Consolas" w:cs="Consolas"/>
                <w:sz w:val="22"/>
                <w:szCs w:val="22"/>
                <w:shd w:val="clear" w:color="auto" w:fill="EAEEF3"/>
              </w:rPr>
              <w:t>P100i_est_mort_par</w:t>
            </w:r>
            <w:r>
              <w:t xml:space="preserve">). Les utilisateurs, </w:t>
            </w:r>
            <w:proofErr w:type="gramStart"/>
            <w:r>
              <w:t>de par</w:t>
            </w:r>
            <w:proofErr w:type="gramEnd"/>
            <w:r>
              <w:t xml:space="preserve"> leur connaissance du monde réel et leur cognition, peuvent établir des liens entre ces énoncés formels et les affirmations auxquelles ils réfèrent pour les examiner de plus près et évaluer leur validité.</w:t>
            </w:r>
          </w:p>
          <w:p w14:paraId="32C68C00" w14:textId="77777777" w:rsidR="00BF18CF" w:rsidRDefault="00E51347">
            <w:r>
              <w:t xml:space="preserve">Le contenu numérique fait cependant classe à part, car une BC peut contenir des énoncés au sujet d’instances de </w:t>
            </w:r>
            <w:r>
              <w:rPr>
                <w:rFonts w:ascii="Consolas" w:eastAsia="Consolas" w:hAnsi="Consolas" w:cs="Consolas"/>
                <w:sz w:val="22"/>
                <w:szCs w:val="22"/>
                <w:shd w:val="clear" w:color="auto" w:fill="EAEEF3"/>
              </w:rPr>
              <w:t>E90_Objet_symbolique</w:t>
            </w:r>
            <w:r>
              <w:t xml:space="preserve"> dont la réelle incarnation existe dans la BC elle-même. L’instance de </w:t>
            </w:r>
            <w:r>
              <w:rPr>
                <w:rFonts w:ascii="Consolas" w:eastAsia="Consolas" w:hAnsi="Consolas" w:cs="Consolas"/>
                <w:sz w:val="22"/>
                <w:szCs w:val="22"/>
                <w:shd w:val="clear" w:color="auto" w:fill="EAEEF3"/>
              </w:rPr>
              <w:t>E90_Objet_symbolique</w:t>
            </w:r>
            <w:r>
              <w:t xml:space="preserve"> et sa représentation textuelle sont cependant des entités distinctes qui peuvent néanmoins être liées par la propriété </w:t>
            </w:r>
            <w:r>
              <w:rPr>
                <w:rFonts w:ascii="Consolas" w:eastAsia="Consolas" w:hAnsi="Consolas" w:cs="Consolas"/>
                <w:sz w:val="22"/>
                <w:szCs w:val="22"/>
                <w:shd w:val="clear" w:color="auto" w:fill="EAEEF3"/>
              </w:rPr>
              <w:t>P190_a_pour_contenu_symbolique</w:t>
            </w:r>
            <w:r>
              <w:t>.</w:t>
            </w:r>
          </w:p>
          <w:p w14:paraId="05F5A1B0" w14:textId="77777777" w:rsidR="00BF18CF" w:rsidRDefault="00E51347">
            <w:r>
              <w:t xml:space="preserve">Une base de connaissances ne contient donc pas les connaissances elles-mêmes, mais bien les énoncés qui représentent ces connaissances tant et aussi longtemps que des personnes en mesure de résoudre les identifiants à </w:t>
            </w:r>
            <w:proofErr w:type="gramStart"/>
            <w:r>
              <w:t>leur référents</w:t>
            </w:r>
            <w:proofErr w:type="gramEnd"/>
            <w:r>
              <w:t xml:space="preserve"> sont présentes. Les appellations décrites dans une base de connaissances et qui ne sont pas utilisées comme auxiliaires principaux d’autres entités sont néanmoins toujours déclarées comme des instances de </w:t>
            </w:r>
            <w:r>
              <w:rPr>
                <w:rFonts w:ascii="Consolas" w:eastAsia="Consolas" w:hAnsi="Consolas" w:cs="Consolas"/>
                <w:sz w:val="22"/>
                <w:szCs w:val="22"/>
                <w:shd w:val="clear" w:color="auto" w:fill="EAEEF3"/>
              </w:rPr>
              <w:t>E41_Appellation</w:t>
            </w:r>
            <w:r>
              <w:t xml:space="preserve"> dans la base de connaissances.</w:t>
            </w:r>
          </w:p>
          <w:p w14:paraId="3B488D91" w14:textId="77777777" w:rsidR="00BF18CF" w:rsidRDefault="000467B7">
            <w:r>
              <w:pict w14:anchorId="599DD542">
                <v:rect id="_x0000_i1027" style="width:0;height:1.5pt" o:hralign="center" o:hrstd="t" o:hr="t" fillcolor="#a0a0a0" stroked="f"/>
              </w:pict>
            </w:r>
          </w:p>
          <w:p w14:paraId="696BC918" w14:textId="77777777" w:rsidR="00BF18CF" w:rsidRDefault="00E51347">
            <w:r>
              <w:rPr>
                <w:vertAlign w:val="superscript"/>
              </w:rPr>
              <w:t>4</w:t>
            </w:r>
            <w:r>
              <w:t xml:space="preserve"> Nicola Guarino définit une ontologie formelle comme la spécification d’un ensemble de concepts nommés et utilisés pour déterminer par approximation et pour décrire une part de la réalité, spécification à laquelle s’ajoute une théorie logique du premier ordre précisant la signification prévue de ces mêmes concepts nommés.</w:t>
            </w:r>
          </w:p>
          <w:p w14:paraId="670E7A41" w14:textId="77777777" w:rsidR="00BF18CF" w:rsidRDefault="00E51347">
            <w:r>
              <w:rPr>
                <w:vertAlign w:val="superscript"/>
              </w:rPr>
              <w:t>5</w:t>
            </w:r>
            <w:r>
              <w:t xml:space="preserve"> Les lecteurs intéressés par les sciences informatiques, la logique, la syntaxe et la sémantique formelles utilisées par le CIDOC CRM peuvent consulter (Meghini &amp; Doerr 2018) qui examine les aspects computationnels de l’ontologie.</w:t>
            </w:r>
          </w:p>
          <w:p w14:paraId="3174F5F7" w14:textId="77777777" w:rsidR="00BF18CF" w:rsidRDefault="00E51347">
            <w:r>
              <w:rPr>
                <w:vertAlign w:val="superscript"/>
              </w:rPr>
              <w:t>6</w:t>
            </w:r>
            <w:r>
              <w:t xml:space="preserve"> L’URI (instance de </w:t>
            </w:r>
            <w:r>
              <w:rPr>
                <w:rFonts w:ascii="Consolas" w:eastAsia="Consolas" w:hAnsi="Consolas" w:cs="Consolas"/>
                <w:sz w:val="22"/>
                <w:szCs w:val="22"/>
                <w:shd w:val="clear" w:color="auto" w:fill="EAEEF3"/>
              </w:rPr>
              <w:t>E41_Appellation</w:t>
            </w:r>
            <w:r>
              <w:t>) de la Library of Congress pour le pharaon Toutânkhamon.</w:t>
            </w:r>
          </w:p>
        </w:tc>
      </w:tr>
    </w:tbl>
    <w:p w14:paraId="5C7590B1" w14:textId="77777777" w:rsidR="00BF18CF" w:rsidRDefault="00BF18CF"/>
    <w:tbl>
      <w:tblPr>
        <w:tblStyle w:val="a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387"/>
        <w:gridCol w:w="9303"/>
      </w:tblGrid>
      <w:tr w:rsidR="00BF18CF" w14:paraId="5D96EAC5" w14:textId="77777777" w:rsidTr="00BF18CF">
        <w:tc>
          <w:tcPr>
            <w:tcW w:w="1387" w:type="dxa"/>
          </w:tcPr>
          <w:p w14:paraId="253CBCBB" w14:textId="086B7447" w:rsidR="00BF18CF" w:rsidRDefault="00F27208">
            <w:r>
              <w:rPr>
                <w:i/>
              </w:rPr>
              <w:t>Note de traduction</w:t>
            </w:r>
          </w:p>
        </w:tc>
        <w:tc>
          <w:tcPr>
            <w:tcW w:w="9303" w:type="dxa"/>
          </w:tcPr>
          <w:p w14:paraId="26211106" w14:textId="77777777" w:rsidR="00BF18CF" w:rsidRDefault="00BF18CF">
            <w:pPr>
              <w:pBdr>
                <w:top w:val="nil"/>
                <w:left w:val="nil"/>
                <w:bottom w:val="nil"/>
                <w:right w:val="nil"/>
                <w:between w:val="nil"/>
              </w:pBdr>
              <w:spacing w:before="36" w:after="36"/>
              <w:rPr>
                <w:color w:val="000000"/>
              </w:rPr>
            </w:pPr>
          </w:p>
        </w:tc>
      </w:tr>
      <w:tr w:rsidR="00BF18CF" w14:paraId="47795E9E" w14:textId="77777777" w:rsidTr="00BF18CF">
        <w:tc>
          <w:tcPr>
            <w:tcW w:w="1387" w:type="dxa"/>
          </w:tcPr>
          <w:p w14:paraId="01B96E5F" w14:textId="77777777" w:rsidR="00BF18CF" w:rsidRDefault="00E51347">
            <w:r>
              <w:rPr>
                <w:i/>
              </w:rPr>
              <w:t>Références</w:t>
            </w:r>
          </w:p>
        </w:tc>
        <w:tc>
          <w:tcPr>
            <w:tcW w:w="9303" w:type="dxa"/>
          </w:tcPr>
          <w:p w14:paraId="41CBEE14" w14:textId="77777777" w:rsidR="00BF18CF" w:rsidRDefault="00E51347">
            <w:r>
              <w:t xml:space="preserve">Office québécois de la langue française. « </w:t>
            </w:r>
            <w:proofErr w:type="gramStart"/>
            <w:r>
              <w:t>base</w:t>
            </w:r>
            <w:proofErr w:type="gramEnd"/>
            <w:r>
              <w:t xml:space="preserve"> de connaissances ». Dans </w:t>
            </w:r>
            <w:r>
              <w:rPr>
                <w:i/>
              </w:rPr>
              <w:t>Grand dictionnaire terminologique</w:t>
            </w:r>
            <w:r>
              <w:t>. Québec, CA-QC: Office québécois de la langue française, 2017.</w:t>
            </w:r>
            <w:hyperlink r:id="rId287">
              <w:r>
                <w:rPr>
                  <w:color w:val="4F81BD"/>
                </w:rPr>
                <w:t xml:space="preserve"> http://gdt.oqlf.gouv.qc.ca/ficheOqlf.aspx?Id_Fiche=8366746</w:t>
              </w:r>
            </w:hyperlink>
            <w:r>
              <w:t>.</w:t>
            </w:r>
          </w:p>
        </w:tc>
      </w:tr>
    </w:tbl>
    <w:p w14:paraId="162FACB7" w14:textId="77777777" w:rsidR="00BF18CF" w:rsidRDefault="00E51347">
      <w:pPr>
        <w:pStyle w:val="Heading2"/>
      </w:pPr>
      <w:bookmarkStart w:id="61" w:name="bookmark=id.3tbugp1" w:colFirst="0" w:colLast="0"/>
      <w:bookmarkStart w:id="62" w:name="_Toc144360774"/>
      <w:bookmarkEnd w:id="61"/>
      <w:r>
        <w:t>De l’auctorialité des contenus d’une base de connaissances</w:t>
      </w:r>
      <w:bookmarkEnd w:id="62"/>
    </w:p>
    <w:tbl>
      <w:tblPr>
        <w:tblStyle w:val="a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0EDCE735" w14:textId="77777777" w:rsidTr="00BF18CF">
        <w:tc>
          <w:tcPr>
            <w:tcW w:w="10690" w:type="dxa"/>
          </w:tcPr>
          <w:p w14:paraId="3E01AFBD" w14:textId="77777777" w:rsidR="00BF18CF" w:rsidRDefault="00E51347">
            <w:r>
              <w:t>Cette section présente les pratiques exemplaires qui s'appliquent lors de la liaison de contenu d’autorité aux contenus d’une base de connaissances (BC).</w:t>
            </w:r>
          </w:p>
          <w:p w14:paraId="61BFB588" w14:textId="77777777" w:rsidR="00BF18CF" w:rsidRDefault="00E51347">
            <w:r>
              <w:t xml:space="preserve">Les énoncés d’une BC doivent avoir été introduits par un agent humain de manière directe ou indirecte, mais ils ne font souvent pas explicitement référence à cet agent, de sorte que l’autorité sous </w:t>
            </w:r>
            <w:r>
              <w:lastRenderedPageBreak/>
              <w:t xml:space="preserve">laquelle une information a été émise n’est pas établie (c’est le cas, par exemple, lors de l’utilisation de raccourcis tels que </w:t>
            </w:r>
            <w:r>
              <w:rPr>
                <w:rFonts w:ascii="Consolas" w:eastAsia="Consolas" w:hAnsi="Consolas" w:cs="Consolas"/>
                <w:sz w:val="22"/>
                <w:szCs w:val="22"/>
                <w:shd w:val="clear" w:color="auto" w:fill="EAEEF3"/>
              </w:rPr>
              <w:t>P2_a_pour_type</w:t>
            </w:r>
            <w:r>
              <w:t>). Dans le domaine patrimonial, la responsabilité du maintien des informations dans la base de connaissances repose la plupart du temps sur des politiques institutionnelles ou des protocoles documentaires. Il est donc raisonnable de conclure que des affirmations dénuées d’une référence explicite à leur auteur constituent néanmoins le point de vue officiel de l’institution administrant le système (c.-à-d. le responsable de la BC). Ceci n’implique pas pour autant que les savoirs représentés dans la BC sont complets ou exhaustifs, de sorte que, tant que l’information fait l’objet d’un maintien actif, elle est sujette à des révisions et à des améliorations au gré de l’avancement de la recherche et de la compréhension qui en est faite</w:t>
            </w:r>
            <w:r>
              <w:rPr>
                <w:vertAlign w:val="superscript"/>
              </w:rPr>
              <w:t>7</w:t>
            </w:r>
            <w:r>
              <w:t>. Une BC ne représente en effet pas une part de la réalité, mais bien la conception que s’en font raisonnablement ces responsables même si, à des fins de simplicité, il est souvent indiqué qu’une BC représente une réalité.</w:t>
            </w:r>
          </w:p>
          <w:p w14:paraId="12A41460" w14:textId="77777777" w:rsidR="00BF18CF" w:rsidRDefault="00E51347">
            <w:r>
              <w:t xml:space="preserve">Les énoncés d’une BC peuvent toutefois avoir des références explicites aux agents qui les ont produits (c.-à-d. des énoncés de responsabilité supplémentaires [n.d.t. qui s’ajoutent à l’énoncé institutionnel implicite]). Dans CIDOC CRM, de tels énoncés de responsabilité prennent la forme d’évènements de création de connaissances par le biais de </w:t>
            </w:r>
            <w:r>
              <w:rPr>
                <w:rFonts w:ascii="Consolas" w:eastAsia="Consolas" w:hAnsi="Consolas" w:cs="Consolas"/>
                <w:sz w:val="22"/>
                <w:szCs w:val="22"/>
                <w:shd w:val="clear" w:color="auto" w:fill="EAEEF3"/>
              </w:rPr>
              <w:t>E13_Assignation_d'attribut</w:t>
            </w:r>
            <w:r>
              <w:t xml:space="preserve"> ou de l’une de ses sous-classes pertinentes. Lorsqu’un évènement de création de connaissances comporte un énoncé indiquant explicitement qui est son auteur, l’autorité de cet évènement est attribuée à l’institution responsable du maintien de la BC alors que le contenu résultant de cet évènement est attribué à l’agent l’ayant initié.</w:t>
            </w:r>
          </w:p>
          <w:p w14:paraId="3BAE64EB" w14:textId="77777777" w:rsidR="00BF18CF" w:rsidRDefault="00E51347">
            <w:r>
              <w:t xml:space="preserve">Lorsqu’une institution prend à sa charge une base de données dans le cadre d’un transfert de sa garde d’une autorité administrative à une autre, deux relations de responsabilité sur les connaissances de cette BC sont possibles. Si l’institution hôte accepte la responsabilité du maintien des informations, elle devient l’autorité associée par défaut aux énoncés qui s’y trouvent. Si, </w:t>
            </w:r>
            <w:proofErr w:type="gramStart"/>
            <w:r>
              <w:t>par contre</w:t>
            </w:r>
            <w:proofErr w:type="gramEnd"/>
            <w:r>
              <w:t>, l’institution hôte traite l’ensemble des données comme une ressource « fermée » [n.d.t. donc traité à la manière d’un artéfact], l’autorité associée par défaut aux énoncés qui s’y trouvent sera celle de l’institution initiale (comme c’est le cas de tout autre document de recherche se trouvant dans la collection de l’institution hôte).</w:t>
            </w:r>
          </w:p>
          <w:p w14:paraId="2C624E22" w14:textId="77777777" w:rsidR="00BF18CF" w:rsidRDefault="00E51347">
            <w:r>
              <w:t>[n.d.t. voir « </w:t>
            </w:r>
            <w:hyperlink r:id="rId288" w:anchor="processus-de-creation-de-connaissances">
              <w:r>
                <w:rPr>
                  <w:color w:val="4F81BD"/>
                </w:rPr>
                <w:t>Processus de création de connaissances</w:t>
              </w:r>
            </w:hyperlink>
            <w:r>
              <w:t xml:space="preserve"> » dans la section </w:t>
            </w:r>
            <w:hyperlink r:id="rId289">
              <w:r>
                <w:rPr>
                  <w:color w:val="4F81BD"/>
                </w:rPr>
                <w:t>Terminologie</w:t>
              </w:r>
            </w:hyperlink>
            <w:r>
              <w:t>.]</w:t>
            </w:r>
          </w:p>
          <w:p w14:paraId="525C421F" w14:textId="77777777" w:rsidR="00BF18CF" w:rsidRDefault="000467B7">
            <w:r>
              <w:pict w14:anchorId="170B2018">
                <v:rect id="_x0000_i1028" style="width:0;height:1.5pt" o:hralign="center" o:hrstd="t" o:hr="t" fillcolor="#a0a0a0" stroked="f"/>
              </w:pict>
            </w:r>
          </w:p>
          <w:p w14:paraId="38617BF3" w14:textId="77777777" w:rsidR="00BF18CF" w:rsidRDefault="00E51347">
            <w:r>
              <w:rPr>
                <w:vertAlign w:val="superscript"/>
              </w:rPr>
              <w:t>7</w:t>
            </w:r>
            <w:r>
              <w:t xml:space="preserve"> Les énoncés se trouvant dans une BC peuvent entrer en contradiction avec la quantification ontologique des propriétés sans que cette BC ne soit pour autant dysfonctionnelle ou invalidée. Une telle situation pourrait survenir soit parce que des propriétés sont inconnues, soit parce qu’il est raisonnable pour l’institution ou personne responsable du maintien de penser que des valeurs alternatives sont possibles pour des propriétés dotées d’une cardinalité limitée.</w:t>
            </w:r>
          </w:p>
        </w:tc>
      </w:tr>
    </w:tbl>
    <w:p w14:paraId="4B9E8C22" w14:textId="77777777" w:rsidR="00BF18CF" w:rsidRDefault="00BF18CF"/>
    <w:tbl>
      <w:tblPr>
        <w:tblStyle w:val="afb"/>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4D621885" w14:textId="77777777" w:rsidTr="00BF18CF">
        <w:tc>
          <w:tcPr>
            <w:tcW w:w="1828" w:type="dxa"/>
          </w:tcPr>
          <w:p w14:paraId="1C72D0D1" w14:textId="64F12995" w:rsidR="00BF18CF" w:rsidRDefault="00F27208">
            <w:r>
              <w:rPr>
                <w:i/>
              </w:rPr>
              <w:t>Note de traduction</w:t>
            </w:r>
          </w:p>
        </w:tc>
        <w:tc>
          <w:tcPr>
            <w:tcW w:w="8867" w:type="dxa"/>
          </w:tcPr>
          <w:p w14:paraId="7BC19AF1" w14:textId="77777777" w:rsidR="00BF18CF" w:rsidRDefault="00BF18CF">
            <w:pPr>
              <w:pBdr>
                <w:top w:val="nil"/>
                <w:left w:val="nil"/>
                <w:bottom w:val="nil"/>
                <w:right w:val="nil"/>
                <w:between w:val="nil"/>
              </w:pBdr>
              <w:spacing w:before="36" w:after="36"/>
              <w:rPr>
                <w:color w:val="000000"/>
              </w:rPr>
            </w:pPr>
          </w:p>
        </w:tc>
      </w:tr>
      <w:tr w:rsidR="00BF18CF" w14:paraId="7F59FA17" w14:textId="77777777" w:rsidTr="00BF18CF">
        <w:tc>
          <w:tcPr>
            <w:tcW w:w="1828" w:type="dxa"/>
          </w:tcPr>
          <w:p w14:paraId="475381A7" w14:textId="77777777" w:rsidR="00BF18CF" w:rsidRDefault="00E51347">
            <w:r>
              <w:rPr>
                <w:i/>
              </w:rPr>
              <w:t>Références</w:t>
            </w:r>
          </w:p>
        </w:tc>
        <w:tc>
          <w:tcPr>
            <w:tcW w:w="8867" w:type="dxa"/>
          </w:tcPr>
          <w:p w14:paraId="69A1CD9D" w14:textId="77777777" w:rsidR="00BF18CF" w:rsidRDefault="00BF18CF">
            <w:pPr>
              <w:pBdr>
                <w:top w:val="nil"/>
                <w:left w:val="nil"/>
                <w:bottom w:val="nil"/>
                <w:right w:val="nil"/>
                <w:between w:val="nil"/>
              </w:pBdr>
              <w:spacing w:before="36" w:after="36"/>
              <w:rPr>
                <w:color w:val="000000"/>
              </w:rPr>
            </w:pPr>
          </w:p>
        </w:tc>
      </w:tr>
    </w:tbl>
    <w:p w14:paraId="39DC4070" w14:textId="77777777" w:rsidR="00BF18CF" w:rsidRDefault="00E51347">
      <w:pPr>
        <w:pStyle w:val="Heading2"/>
      </w:pPr>
      <w:bookmarkStart w:id="63" w:name="bookmark=id.28h4qwu" w:colFirst="0" w:colLast="0"/>
      <w:bookmarkStart w:id="64" w:name="_Toc144360775"/>
      <w:bookmarkEnd w:id="63"/>
      <w:r>
        <w:t>Des extensions de CIDOC CRM</w:t>
      </w:r>
      <w:bookmarkEnd w:id="64"/>
    </w:p>
    <w:tbl>
      <w:tblPr>
        <w:tblStyle w:val="a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2524E67A" w14:textId="77777777" w:rsidTr="00BF18CF">
        <w:tc>
          <w:tcPr>
            <w:tcW w:w="10690" w:type="dxa"/>
          </w:tcPr>
          <w:p w14:paraId="51A0DABC" w14:textId="77777777" w:rsidR="00BF18CF" w:rsidRDefault="00E51347">
            <w:r>
              <w:t xml:space="preserve">Puisque le domaine d’application du CIDOC CRM est en fait un sous-ensemble du monde « réel » qui lui est infini, le modèle a été conçu pour être extensible [n.d.t. afin de répondre aux différents besoins </w:t>
            </w:r>
            <w:r>
              <w:lastRenderedPageBreak/>
              <w:t>de documentation qui pourraient en émerger]. Cette extensibilité repose en grande partie sur la possibilité d’établir des liens avec des systèmes externes compatibles hiérarchisés par types.</w:t>
            </w:r>
          </w:p>
          <w:p w14:paraId="22F4342B" w14:textId="77777777" w:rsidR="00BF18CF" w:rsidRDefault="00E51347">
            <w:r>
              <w:t xml:space="preserve">Certains concepts du CIDOC CRM sont nécessairement définis plus précisément que d’autres du fait de son application pratique dans un domaine discursif qui est, lui, illimité (p. ex. les classes </w:t>
            </w:r>
            <w:r>
              <w:rPr>
                <w:rFonts w:ascii="Consolas" w:eastAsia="Consolas" w:hAnsi="Consolas" w:cs="Consolas"/>
                <w:sz w:val="22"/>
                <w:szCs w:val="22"/>
                <w:shd w:val="clear" w:color="auto" w:fill="EAEEF3"/>
              </w:rPr>
              <w:t>E39_Actant</w:t>
            </w:r>
            <w:r>
              <w:t xml:space="preserve"> et </w:t>
            </w:r>
            <w:r>
              <w:rPr>
                <w:rFonts w:ascii="Consolas" w:eastAsia="Consolas" w:hAnsi="Consolas" w:cs="Consolas"/>
                <w:sz w:val="22"/>
                <w:szCs w:val="22"/>
                <w:shd w:val="clear" w:color="auto" w:fill="EAEEF3"/>
              </w:rPr>
              <w:t>E30_Droit</w:t>
            </w:r>
            <w:r>
              <w:t xml:space="preserve"> sont brièvement définies alors que d’autres sont plus précises). Ces concepts « sous-développés » peuvent être utilisés comme </w:t>
            </w:r>
            <w:hyperlink r:id="rId290" w:anchor="super-classe">
              <w:r>
                <w:rPr>
                  <w:color w:val="4F81BD"/>
                </w:rPr>
                <w:t>super-classes</w:t>
              </w:r>
            </w:hyperlink>
            <w:r>
              <w:t xml:space="preserve"> possibles d’extensions compatibles (en particulier dans le cas de disciplines qui auraient une orientation spécifique et limitée); de telles additions au modèle principal (auquel on réfère parfois comme le CRMbase) sont généralement qualifiées d</w:t>
            </w:r>
            <w:proofErr w:type="gramStart"/>
            <w:r>
              <w:t>’«</w:t>
            </w:r>
            <w:proofErr w:type="gramEnd"/>
            <w:r>
              <w:t> extensions ».</w:t>
            </w:r>
          </w:p>
          <w:p w14:paraId="0D820F3F" w14:textId="77777777" w:rsidR="00BF18CF" w:rsidRDefault="00E51347">
            <w:r>
              <w:t xml:space="preserve">La compatibilité des extensions repose sur le fait que les données structurées selon celles-ci demeurent des instances valides des </w:t>
            </w:r>
            <w:hyperlink r:id="rId291" w:anchor="classe">
              <w:r>
                <w:rPr>
                  <w:color w:val="4F81BD"/>
                </w:rPr>
                <w:t>classes</w:t>
              </w:r>
            </w:hyperlink>
            <w:r>
              <w:t xml:space="preserve"> de CRMbase. Ceci exige, d’un point de vue pratique, un encadrement des requêtes, de sorte que toute requête d’une base de connaissances (BC) basée sur des concepts du CRMbase doit générer des résultats qui s’alignent avec la sémantique du modèle, et ce peu importe si la représentation de ces connaissances (RC) est structurée uniquement selon CRMbase ou si elle repose aussi en partie sur ses extensions. Par exemple, une requête telle que « énumérer tous les évènements » devrait générer 100 % des instances considérées comme des évènements par le CRMbase peu importe la manière dont elles sont classifiées par les extensions du modèle.</w:t>
            </w:r>
          </w:p>
          <w:p w14:paraId="518F8B26" w14:textId="77777777" w:rsidR="00BF18CF" w:rsidRDefault="00E51347">
            <w:r>
              <w:t>Un seuil acceptable de compatibilité d’une extension avec le CIDOC CRM est notamment établi par les conditions suivantes (qui doivent toutes être remplies) :</w:t>
            </w:r>
          </w:p>
          <w:p w14:paraId="0ADA118A" w14:textId="77777777" w:rsidR="00BF18CF" w:rsidRDefault="00E51347">
            <w:pPr>
              <w:numPr>
                <w:ilvl w:val="0"/>
                <w:numId w:val="42"/>
              </w:numPr>
            </w:pPr>
            <w:proofErr w:type="gramStart"/>
            <w:r>
              <w:t>les</w:t>
            </w:r>
            <w:proofErr w:type="gramEnd"/>
            <w:r>
              <w:t xml:space="preserve"> classes de CRMbase à l’exception de </w:t>
            </w:r>
            <w:r>
              <w:rPr>
                <w:rFonts w:ascii="Consolas" w:eastAsia="Consolas" w:hAnsi="Consolas" w:cs="Consolas"/>
                <w:sz w:val="22"/>
                <w:szCs w:val="22"/>
                <w:shd w:val="clear" w:color="auto" w:fill="EAEEF3"/>
              </w:rPr>
              <w:t>E1_Entité_CRM</w:t>
            </w:r>
            <w:r>
              <w:t xml:space="preserve"> subsument toutes les classes de cette extension;</w:t>
            </w:r>
          </w:p>
          <w:p w14:paraId="6ADFA1B7" w14:textId="77777777" w:rsidR="00BF18CF" w:rsidRDefault="00E51347">
            <w:pPr>
              <w:numPr>
                <w:ilvl w:val="0"/>
                <w:numId w:val="42"/>
              </w:numPr>
            </w:pPr>
            <w:r>
              <w:t xml:space="preserve">les </w:t>
            </w:r>
            <w:hyperlink r:id="rId292" w:anchor="propriete">
              <w:r>
                <w:rPr>
                  <w:color w:val="4F81BD"/>
                </w:rPr>
                <w:t>propriétés</w:t>
              </w:r>
            </w:hyperlink>
            <w:r>
              <w:t xml:space="preserve"> de CRMbase subsument les propriétés de cette extension ou ces dernières font partie d’un chemin sémantique pour lequel une propriété du CRMbase fait office de </w:t>
            </w:r>
            <w:hyperlink r:id="rId293" w:anchor="raccourci">
              <w:r>
                <w:rPr>
                  <w:color w:val="4F81BD"/>
                </w:rPr>
                <w:t>raccourci</w:t>
              </w:r>
            </w:hyperlink>
            <w:r>
              <w:t>;</w:t>
            </w:r>
          </w:p>
          <w:p w14:paraId="204BC75E" w14:textId="77777777" w:rsidR="00BF18CF" w:rsidRDefault="00E51347">
            <w:pPr>
              <w:numPr>
                <w:ilvl w:val="0"/>
                <w:numId w:val="42"/>
              </w:numPr>
            </w:pPr>
            <w:proofErr w:type="gramStart"/>
            <w:r>
              <w:t>les</w:t>
            </w:r>
            <w:proofErr w:type="gramEnd"/>
            <w:r>
              <w:t xml:space="preserve"> classes et les propriétés de l'extension peuvent être aisément distinguées de celle du CRMbase (p. ex. une classe « objet tangible » pourrait entrer en conflit avec des classes du CRMbase [n.d.t. comme </w:t>
            </w:r>
            <w:r>
              <w:rPr>
                <w:rFonts w:ascii="Consolas" w:eastAsia="Consolas" w:hAnsi="Consolas" w:cs="Consolas"/>
                <w:sz w:val="22"/>
                <w:szCs w:val="22"/>
                <w:shd w:val="clear" w:color="auto" w:fill="EAEEF3"/>
              </w:rPr>
              <w:t>E19_Objet_Matériel</w:t>
            </w:r>
            <w:r>
              <w:t>] et cette évaluation ne pourrait être faite qu’intellectuellement).</w:t>
            </w:r>
          </w:p>
          <w:p w14:paraId="162C2B8E" w14:textId="77777777" w:rsidR="00BF18CF" w:rsidRDefault="00E51347">
            <w:r>
              <w:t>Le CRMbase fournit un certain nombre de mécanismes d’extensibilité afin que son domaine d’application initial puisse être élargi sans pour autant compromettre sa compatibilité :</w:t>
            </w:r>
          </w:p>
          <w:p w14:paraId="378FA839" w14:textId="77777777" w:rsidR="00BF18CF" w:rsidRDefault="00E51347">
            <w:pPr>
              <w:numPr>
                <w:ilvl w:val="0"/>
                <w:numId w:val="44"/>
              </w:numPr>
            </w:pPr>
            <w:r>
              <w:t xml:space="preserve">Les classes existantes peuvent faire l’objet d’une extension structurellement — par des </w:t>
            </w:r>
            <w:hyperlink r:id="rId294" w:anchor="sous-classe">
              <w:r>
                <w:rPr>
                  <w:color w:val="4F81BD"/>
                </w:rPr>
                <w:t>sous-classes</w:t>
              </w:r>
            </w:hyperlink>
            <w:r>
              <w:t xml:space="preserve"> — ou dynamiquement — par une hiérarchie de types [n.d.t. comme un vocabulaire contrôlé] (à ce sujet, consulter la section intitulée </w:t>
            </w:r>
            <w:hyperlink r:id="rId295" w:anchor="des-types">
              <w:r>
                <w:rPr>
                  <w:color w:val="4F81BD"/>
                </w:rPr>
                <w:t>Des types</w:t>
              </w:r>
            </w:hyperlink>
            <w:r>
              <w:t>).</w:t>
            </w:r>
          </w:p>
          <w:p w14:paraId="1D35710B" w14:textId="77777777" w:rsidR="00BF18CF" w:rsidRDefault="00E51347">
            <w:pPr>
              <w:numPr>
                <w:ilvl w:val="0"/>
                <w:numId w:val="44"/>
              </w:numPr>
            </w:pPr>
            <w:r>
              <w:t xml:space="preserve">Les propriétés existantes peuvent faire l’objet d’une extension structurellement — par des </w:t>
            </w:r>
            <w:hyperlink r:id="rId296" w:anchor="sous-propriete">
              <w:r>
                <w:rPr>
                  <w:color w:val="4F81BD"/>
                </w:rPr>
                <w:t xml:space="preserve">sous-propriétés </w:t>
              </w:r>
            </w:hyperlink>
            <w:r>
              <w:t xml:space="preserve">— ou dynamiquement — par l’utilisation de propriétés de propriétés permettant le sous-typage (à ce sujet, consulter la section intitulée </w:t>
            </w:r>
            <w:hyperlink r:id="rId297" w:anchor="des-types">
              <w:r>
                <w:rPr>
                  <w:color w:val="4F81BD"/>
                </w:rPr>
                <w:t>Des types</w:t>
              </w:r>
            </w:hyperlink>
            <w:r>
              <w:t>).</w:t>
            </w:r>
          </w:p>
          <w:p w14:paraId="263E80C6" w14:textId="77777777" w:rsidR="00BF18CF" w:rsidRDefault="00E51347">
            <w:pPr>
              <w:numPr>
                <w:ilvl w:val="0"/>
                <w:numId w:val="44"/>
              </w:numPr>
            </w:pPr>
            <w:r>
              <w:t xml:space="preserve">Les informations pertinentes pour lesquelles la sémantique formelle du CIDOC CRM serait inadéquate ou insuffisante peuvent être enregistrées à titre de données non structurées en utilisant la forme suivante : p. ex. </w:t>
            </w:r>
            <w:r>
              <w:rPr>
                <w:rFonts w:ascii="Consolas" w:eastAsia="Consolas" w:hAnsi="Consolas" w:cs="Consolas"/>
                <w:sz w:val="22"/>
                <w:szCs w:val="22"/>
                <w:shd w:val="clear" w:color="auto" w:fill="EAEEF3"/>
              </w:rPr>
              <w:t>E1_Entité_</w:t>
            </w:r>
            <w:proofErr w:type="gramStart"/>
            <w:r>
              <w:rPr>
                <w:rFonts w:ascii="Consolas" w:eastAsia="Consolas" w:hAnsi="Consolas" w:cs="Consolas"/>
                <w:sz w:val="22"/>
                <w:szCs w:val="22"/>
                <w:shd w:val="clear" w:color="auto" w:fill="EAEEF3"/>
              </w:rPr>
              <w:t>CRM</w:t>
            </w:r>
            <w:r>
              <w:t xml:space="preserve"> .</w:t>
            </w:r>
            <w:proofErr w:type="gramEnd"/>
            <w:r>
              <w:t xml:space="preserve"> </w:t>
            </w:r>
            <w:r>
              <w:rPr>
                <w:rFonts w:ascii="Consolas" w:eastAsia="Consolas" w:hAnsi="Consolas" w:cs="Consolas"/>
                <w:sz w:val="22"/>
                <w:szCs w:val="22"/>
                <w:shd w:val="clear" w:color="auto" w:fill="EAEEF3"/>
              </w:rPr>
              <w:t>P3_a_pour_note</w:t>
            </w:r>
            <w:r>
              <w:t xml:space="preserve"> : </w:t>
            </w:r>
            <w:r>
              <w:rPr>
                <w:rFonts w:ascii="Consolas" w:eastAsia="Consolas" w:hAnsi="Consolas" w:cs="Consolas"/>
                <w:sz w:val="22"/>
                <w:szCs w:val="22"/>
                <w:shd w:val="clear" w:color="auto" w:fill="EAEEF3"/>
              </w:rPr>
              <w:t>E62_Chaîne_de_caractères</w:t>
            </w:r>
            <w:r>
              <w:t>.</w:t>
            </w:r>
          </w:p>
          <w:p w14:paraId="46DEF43C" w14:textId="77777777" w:rsidR="00BF18CF" w:rsidRDefault="00E51347">
            <w:pPr>
              <w:numPr>
                <w:ilvl w:val="0"/>
                <w:numId w:val="44"/>
              </w:numPr>
            </w:pPr>
            <w:r>
              <w:lastRenderedPageBreak/>
              <w:t>Le CRMbase lui-même peut être élargi par le biais de super-classes et de propriétés s’appliquant à un domaine plus large (des « extensions conservatrices ») qui maintiennent néanmoins une compatibilité rétroactive avec les instances décrites dans le CRMbase.</w:t>
            </w:r>
          </w:p>
          <w:p w14:paraId="724C867F" w14:textId="77777777" w:rsidR="00BF18CF" w:rsidRDefault="00E51347">
            <w:r>
              <w:t xml:space="preserve">L’utilisation des stratégies [n.d.t. </w:t>
            </w:r>
            <w:proofErr w:type="gramStart"/>
            <w:r>
              <w:t>aussi nommées mécanismes</w:t>
            </w:r>
            <w:proofErr w:type="gramEnd"/>
            <w:r>
              <w:t>] 1, 2 et 3 entraîne une subsomption des extensions par le CRMbase et, de fait, leur couverture complète par ce dernier, de sorte qu’une requête n’utilisant que des concepts du CRMbase dans une base de connaissances extensionnée [n.d.t. mobilisant des extensions] aura pour résultat une extraction de tous les éléments décrits par le biais de ces extensions.</w:t>
            </w:r>
          </w:p>
          <w:p w14:paraId="7CD0BB22" w14:textId="77777777" w:rsidR="00BF18CF" w:rsidRDefault="00E51347">
            <w:r>
              <w:t xml:space="preserve">Dans le cas du </w:t>
            </w:r>
            <w:r>
              <w:rPr>
                <w:b/>
              </w:rPr>
              <w:t>troisième mécanisme</w:t>
            </w:r>
            <w:r>
              <w:t xml:space="preserve"> [n.d.t. l’utilisation de notes pour représenter des données non structurées], l’information contenues dans les notes est accessible depuis la base de connaissances en extrayant les </w:t>
            </w:r>
            <w:hyperlink r:id="rId298" w:anchor="instance">
              <w:r>
                <w:rPr>
                  <w:color w:val="4F81BD"/>
                </w:rPr>
                <w:t>instances</w:t>
              </w:r>
            </w:hyperlink>
            <w:r>
              <w:t xml:space="preserve"> de </w:t>
            </w:r>
            <w:r>
              <w:rPr>
                <w:rFonts w:ascii="Consolas" w:eastAsia="Consolas" w:hAnsi="Consolas" w:cs="Consolas"/>
                <w:sz w:val="22"/>
                <w:szCs w:val="22"/>
                <w:shd w:val="clear" w:color="auto" w:fill="EAEEF3"/>
              </w:rPr>
              <w:t>E1_Entité_CRM</w:t>
            </w:r>
            <w:r>
              <w:t xml:space="preserve"> qui sont le </w:t>
            </w:r>
            <w:hyperlink r:id="rId299" w:anchor="domaine">
              <w:r>
                <w:rPr>
                  <w:color w:val="4F81BD"/>
                </w:rPr>
                <w:t>domaine</w:t>
              </w:r>
            </w:hyperlink>
            <w:r>
              <w:t xml:space="preserve"> de </w:t>
            </w:r>
            <w:r>
              <w:rPr>
                <w:rFonts w:ascii="Consolas" w:eastAsia="Consolas" w:hAnsi="Consolas" w:cs="Consolas"/>
                <w:sz w:val="22"/>
                <w:szCs w:val="22"/>
                <w:shd w:val="clear" w:color="auto" w:fill="EAEEF3"/>
              </w:rPr>
              <w:t>P3_a_pour_note</w:t>
            </w:r>
            <w:r>
              <w:t xml:space="preserve"> ou en effectuant une recherche par mot-clé. La note devrait être appliquée à l’élément qui porte le plus spécifiquement sur le contenu de la note et des règles d’application devraient à cet égard être mises en place [n.d.t. par les responsables de la base de connaissances]. Par exemple, des détails quant au rôle que joue un acteur dans le contexte spécifique d’une activité devraient être associés à l’instance de </w:t>
            </w:r>
            <w:r>
              <w:rPr>
                <w:rFonts w:ascii="Consolas" w:eastAsia="Consolas" w:hAnsi="Consolas" w:cs="Consolas"/>
                <w:sz w:val="22"/>
                <w:szCs w:val="22"/>
                <w:shd w:val="clear" w:color="auto" w:fill="EAEEF3"/>
              </w:rPr>
              <w:t>E7_Activité</w:t>
            </w:r>
            <w:r>
              <w:t xml:space="preserve"> plutôt que de </w:t>
            </w:r>
            <w:r>
              <w:rPr>
                <w:rFonts w:ascii="Consolas" w:eastAsia="Consolas" w:hAnsi="Consolas" w:cs="Consolas"/>
                <w:sz w:val="22"/>
                <w:szCs w:val="22"/>
                <w:shd w:val="clear" w:color="auto" w:fill="EAEEF3"/>
              </w:rPr>
              <w:t>E39_Actant</w:t>
            </w:r>
            <w:r>
              <w:t xml:space="preserve"> [n.d.t. puisque ce rôle n’est pas généralement endossé par l’acteur et qu’il ne s’applique qu’au contexte particulier de l’activité décrite). Cette approche est la plus appropriée tant et aussi longtemps qu’il n’est pas nécessaire de faire des requêtes reliant les contenus de plusieurs notes de cette nature dans une même base de connaissances.</w:t>
            </w:r>
          </w:p>
          <w:p w14:paraId="6EA7F113" w14:textId="77777777" w:rsidR="00BF18CF" w:rsidRDefault="00E51347">
            <w:r>
              <w:t>De manière générale, seuls les concepts soumis à des requêtes formelles sélectionnant des instances multiples de la base de connaissances nécessitent une modélisation explicite; ceci repose cependant sur les applications anticipée et pratique de la base de connaissances. Le CIDOC CRM accorde en effet une importance particulière à la modélisation des éléments qu’un utilisateur aimerait extraire et lier depuis des sources hétérogènes (voire inter-institutionnelles) de contenus. Il ne priorise donc pas la modélisation d’éléments dont l’application est localisée et spécifique telles que les pratiques administratives internes d’une institution.</w:t>
            </w:r>
          </w:p>
          <w:p w14:paraId="3BD84B22" w14:textId="77777777" w:rsidR="00BF18CF" w:rsidRDefault="00E51347">
            <w:r>
              <w:t xml:space="preserve">Le </w:t>
            </w:r>
            <w:r>
              <w:rPr>
                <w:b/>
              </w:rPr>
              <w:t>quatrième mécanisme</w:t>
            </w:r>
            <w:r>
              <w:t xml:space="preserve"> (l’extension conservatrice) est plus complexe :</w:t>
            </w:r>
          </w:p>
          <w:p w14:paraId="73C71A1C" w14:textId="77777777" w:rsidR="00BF18CF" w:rsidRDefault="00E51347">
            <w:r>
              <w:t>[</w:t>
            </w:r>
            <w:proofErr w:type="gramStart"/>
            <w:r>
              <w:t>n.d.t.</w:t>
            </w:r>
            <w:proofErr w:type="gramEnd"/>
            <w:r>
              <w:t xml:space="preserve"> L’utilisation des extension conservatrices découle d’un] usage accru du CIDOC CRM dont émane le besoin de modéliser des phénomènes issus d’un domaine d’application plus large que celui qu’avait initialement anticipé le modèle bien que ceux-ci s’inscrivent néanmoins dans le domaine d’application des concepts de CRMbase. Dans de tels cas, les propriétés de CRMbase s’avèrent souvent applicables aux super-classes des extensions de manière plus générale qu’elles ne s’appliquent à leur domaine et/ou à leur </w:t>
            </w:r>
            <w:hyperlink r:id="rId300" w:anchor="portee">
              <w:r>
                <w:rPr>
                  <w:color w:val="4F81BD"/>
                </w:rPr>
                <w:t>portée</w:t>
              </w:r>
            </w:hyperlink>
            <w:r>
              <w:t xml:space="preserve"> dans CRMbase. Ceci résulte de l’approche « ascendante » [n.d.t. élaboration d’un tout depuis ses parties nécessaires, appelée en anglais « bottom-up”] privilégiée par le CIDOC CRM et selon laquelle les domaines et portées des propriétés sont aussi étroitement définis que possible dans le cadre du domaine d’application concerné (et ce afin d’éviter des généralisations qui exigeraient des corrections non monotones ou induiraient des mécompréhensions).</w:t>
            </w:r>
          </w:p>
          <w:p w14:paraId="38419E4E" w14:textId="77777777" w:rsidR="00BF18CF" w:rsidRDefault="00E51347">
            <w:r>
              <w:t>Ce quatrième mécanisme d’extension de CIDOC CRM peut être divisé en deux scénarios :</w:t>
            </w:r>
          </w:p>
          <w:p w14:paraId="4862F32C" w14:textId="77777777" w:rsidR="00BF18CF" w:rsidRDefault="00E51347">
            <w:pPr>
              <w:numPr>
                <w:ilvl w:val="0"/>
                <w:numId w:val="45"/>
              </w:numPr>
            </w:pPr>
            <w:r>
              <w:t xml:space="preserve">Une classe — qui n’est pas couverte par les super-classes de CRMbase à l’exception de </w:t>
            </w:r>
            <w:r>
              <w:rPr>
                <w:rFonts w:ascii="Consolas" w:eastAsia="Consolas" w:hAnsi="Consolas" w:cs="Consolas"/>
                <w:sz w:val="22"/>
                <w:szCs w:val="22"/>
                <w:shd w:val="clear" w:color="auto" w:fill="EAEEF3"/>
              </w:rPr>
              <w:t>E1_Entité_CRM</w:t>
            </w:r>
            <w:r>
              <w:t xml:space="preserve"> — ou une propriété — qui n’est pas couverte par les super-propriétés du CRMbase — est ajoutée à une extension de CIDOC CRM, de sorte que les éléments qui ne sont décrits que par ces concepts ne sont pas extraits par une requête faite par des concepts de CRMbase uniquement. Dans un tel cas, l’extension devrait publier un énoncé de compatibilité </w:t>
            </w:r>
            <w:r>
              <w:lastRenderedPageBreak/>
              <w:t>précisant les classes et propriétés de haut niveau nécessaires à l’extraction de ce qui est documenté par le modèle extensionné (une extension monotone).</w:t>
            </w:r>
          </w:p>
          <w:p w14:paraId="1717BAD9" w14:textId="77777777" w:rsidR="00BF18CF" w:rsidRDefault="00E51347">
            <w:pPr>
              <w:numPr>
                <w:ilvl w:val="0"/>
                <w:numId w:val="45"/>
              </w:numPr>
            </w:pPr>
            <w:r>
              <w:t>Le domaine ou la portée d’une propriété du CRMbase est modifié en faveur de la super-classe de l’un [n.d.t. (domaine)], l’autre [n.d.t. (portée)] ou encore des deux en raison du fait que cette propriété couvre un domaine d’application plus large qu’il n’était initialement prévu. Dans un tel cas, tous les éléments décrits par l’extension sont accessibles par le biais d’une requête ne mobilisant que des concepts de CRMbase, bien que l’extension soit en mesure de décrire des éléments additionnels. Il s’agit d’une extension monotone, une pratique généralement recommandée, car elle permet une évolution ascendante du modèle [n.d.t. élaboration d’un tout depuis ses parties nécessaires, appelée en anglais « bottom-up »]. Si un tel changement s’inscrit dans une publication du CIDOC CRM lui-même, il est rétro-compatible (une pratique courante dans l’évolution du modèle).</w:t>
            </w:r>
          </w:p>
          <w:p w14:paraId="0467E4D6" w14:textId="77777777" w:rsidR="00BF18CF" w:rsidRDefault="00E51347">
            <w:r>
              <w:t xml:space="preserve">La documentation et l’implémentation de ce second scénario dans le cadre d’un module </w:t>
            </w:r>
            <w:r>
              <w:rPr>
                <w:b/>
              </w:rPr>
              <w:t>distinct</w:t>
            </w:r>
            <w:r>
              <w:t xml:space="preserve"> du CRMbase peut mener à des conflits lors du traitement par des langages de représentation des connaissances tels que </w:t>
            </w:r>
            <w:hyperlink r:id="rId301">
              <w:r>
                <w:rPr>
                  <w:color w:val="4F81BD"/>
                </w:rPr>
                <w:t>RDF</w:t>
              </w:r>
            </w:hyperlink>
            <w:r>
              <w:t xml:space="preserve">/OWL. Ceci est dû au fait que, du point de vue de la logique formelle, la modification du domaine ou de la portée d’une propriété </w:t>
            </w:r>
            <w:r>
              <w:rPr>
                <w:b/>
              </w:rPr>
              <w:t>constitue</w:t>
            </w:r>
            <w:r>
              <w:t xml:space="preserve"> un changement de signification ontologique </w:t>
            </w:r>
            <w:r>
              <w:rPr>
                <w:b/>
              </w:rPr>
              <w:t>complet</w:t>
            </w:r>
            <w:r>
              <w:t xml:space="preserve"> : il n’y a pas de distinction, dans ce contexte, entre la </w:t>
            </w:r>
            <w:r>
              <w:rPr>
                <w:b/>
              </w:rPr>
              <w:t>signification de la propriété (indépendamment de son domaine et de sa portée) et la spécialisation de son domaine et de sa portée</w:t>
            </w:r>
            <w:r>
              <w:t>. Ceci est comparable à l’extension conservatrice d’une théorie dans un contexte logique, une pratique nécessaire à la gestion modulaire d’ontologies de manière efficace.</w:t>
            </w:r>
          </w:p>
          <w:p w14:paraId="20C29C98" w14:textId="77777777" w:rsidR="00BF18CF" w:rsidRDefault="00E51347">
            <w:r>
              <w:t>Un tel cas décrit en logique du premier ordre illustre comment atteindre la modularité formellement dans ce contexte :</w:t>
            </w:r>
          </w:p>
          <w:p w14:paraId="64FE2532" w14:textId="77777777" w:rsidR="00BF18CF" w:rsidRDefault="00E51347">
            <w:r>
              <w:t xml:space="preserve">Assumant qu’une propriété </w:t>
            </w:r>
            <w:r>
              <w:rPr>
                <w:rFonts w:ascii="Consolas" w:eastAsia="Consolas" w:hAnsi="Consolas" w:cs="Consolas"/>
                <w:sz w:val="22"/>
                <w:szCs w:val="22"/>
                <w:shd w:val="clear" w:color="auto" w:fill="EAEEF3"/>
              </w:rPr>
              <w:t>P</w:t>
            </w:r>
            <w:r>
              <w:t xml:space="preserve"> est définie avec pour domaine une classe </w:t>
            </w:r>
            <w:r>
              <w:rPr>
                <w:rFonts w:ascii="Consolas" w:eastAsia="Consolas" w:hAnsi="Consolas" w:cs="Consolas"/>
                <w:sz w:val="22"/>
                <w:szCs w:val="22"/>
                <w:shd w:val="clear" w:color="auto" w:fill="EAEEF3"/>
              </w:rPr>
              <w:t>A</w:t>
            </w:r>
            <w:r>
              <w:t xml:space="preserve"> et pour portée une classe </w:t>
            </w:r>
            <w:r>
              <w:rPr>
                <w:rFonts w:ascii="Consolas" w:eastAsia="Consolas" w:hAnsi="Consolas" w:cs="Consolas"/>
                <w:sz w:val="22"/>
                <w:szCs w:val="22"/>
                <w:shd w:val="clear" w:color="auto" w:fill="EAEEF3"/>
              </w:rPr>
              <w:t>C</w:t>
            </w:r>
            <w:r>
              <w:t xml:space="preserve">, mais qu’elle porte aussi pour domaine une classe </w:t>
            </w:r>
            <w:r>
              <w:rPr>
                <w:rFonts w:ascii="Consolas" w:eastAsia="Consolas" w:hAnsi="Consolas" w:cs="Consolas"/>
                <w:sz w:val="22"/>
                <w:szCs w:val="22"/>
                <w:shd w:val="clear" w:color="auto" w:fill="EAEEF3"/>
              </w:rPr>
              <w:t>B</w:t>
            </w:r>
            <w:r>
              <w:t xml:space="preserve"> (une super-classe de </w:t>
            </w:r>
            <w:r>
              <w:rPr>
                <w:rFonts w:ascii="Consolas" w:eastAsia="Consolas" w:hAnsi="Consolas" w:cs="Consolas"/>
                <w:sz w:val="22"/>
                <w:szCs w:val="22"/>
                <w:shd w:val="clear" w:color="auto" w:fill="EAEEF3"/>
              </w:rPr>
              <w:t>A</w:t>
            </w:r>
            <w:r>
              <w:t xml:space="preserve">) et pour portée une classe </w:t>
            </w:r>
            <w:r>
              <w:rPr>
                <w:rFonts w:ascii="Consolas" w:eastAsia="Consolas" w:hAnsi="Consolas" w:cs="Consolas"/>
                <w:sz w:val="22"/>
                <w:szCs w:val="22"/>
                <w:shd w:val="clear" w:color="auto" w:fill="EAEEF3"/>
              </w:rPr>
              <w:t>D</w:t>
            </w:r>
            <w:r>
              <w:t xml:space="preserve"> (une super-classe de </w:t>
            </w:r>
            <w:r>
              <w:rPr>
                <w:rFonts w:ascii="Consolas" w:eastAsia="Consolas" w:hAnsi="Consolas" w:cs="Consolas"/>
                <w:sz w:val="22"/>
                <w:szCs w:val="22"/>
                <w:shd w:val="clear" w:color="auto" w:fill="EAEEF3"/>
              </w:rPr>
              <w:t>C</w:t>
            </w:r>
            <w:r>
              <w:t>).</w:t>
            </w:r>
          </w:p>
          <w:p w14:paraId="04E5CEED" w14:textId="77777777" w:rsidR="00BF18CF" w:rsidRDefault="00E51347">
            <w:r>
              <w:t xml:space="preserve">Cette situation peut être décrite plus aisément par l’introduction d’une propriété </w:t>
            </w:r>
            <w:r>
              <w:rPr>
                <w:rFonts w:ascii="Consolas" w:eastAsia="Consolas" w:hAnsi="Consolas" w:cs="Consolas"/>
                <w:sz w:val="22"/>
                <w:szCs w:val="22"/>
                <w:shd w:val="clear" w:color="auto" w:fill="EAEEF3"/>
              </w:rPr>
              <w:t>P’</w:t>
            </w:r>
            <w:r>
              <w:t xml:space="preserve"> dont le domaine est la classe </w:t>
            </w:r>
            <w:r>
              <w:rPr>
                <w:rFonts w:ascii="Consolas" w:eastAsia="Consolas" w:hAnsi="Consolas" w:cs="Consolas"/>
                <w:sz w:val="22"/>
                <w:szCs w:val="22"/>
                <w:shd w:val="clear" w:color="auto" w:fill="EAEEF3"/>
              </w:rPr>
              <w:t>B</w:t>
            </w:r>
            <w:r>
              <w:t xml:space="preserve"> et la portée la classe </w:t>
            </w:r>
            <w:r>
              <w:rPr>
                <w:rFonts w:ascii="Consolas" w:eastAsia="Consolas" w:hAnsi="Consolas" w:cs="Consolas"/>
                <w:sz w:val="22"/>
                <w:szCs w:val="22"/>
                <w:shd w:val="clear" w:color="auto" w:fill="EAEEF3"/>
              </w:rPr>
              <w:t>D</w:t>
            </w:r>
            <w:r>
              <w:t>.</w:t>
            </w:r>
          </w:p>
          <w:p w14:paraId="7F4012D1" w14:textId="77777777" w:rsidR="00BF18CF" w:rsidRDefault="00E51347">
            <w:r>
              <w:t>La logique suivante s’applique donc :</w:t>
            </w:r>
          </w:p>
          <w:p w14:paraId="581EC905" w14:textId="77777777" w:rsidR="00BF18CF" w:rsidRDefault="00E51347">
            <w:r>
              <w:t>A(x) ⇒ B(x)</w:t>
            </w:r>
          </w:p>
          <w:p w14:paraId="3012B0A4" w14:textId="77777777" w:rsidR="00BF18CF" w:rsidRDefault="00E51347">
            <w:r>
              <w:t>C(x) ⇒ D(x)</w:t>
            </w:r>
          </w:p>
          <w:p w14:paraId="580F45AA" w14:textId="77777777" w:rsidR="00BF18CF" w:rsidRDefault="00E51347">
            <w:r>
              <w:t>P(</w:t>
            </w:r>
            <w:proofErr w:type="gramStart"/>
            <w:r>
              <w:t>x,y</w:t>
            </w:r>
            <w:proofErr w:type="gramEnd"/>
            <w:r>
              <w:t>) ⇒ A(x)</w:t>
            </w:r>
          </w:p>
          <w:p w14:paraId="5CF06C8A" w14:textId="77777777" w:rsidR="00BF18CF" w:rsidRDefault="00E51347">
            <w:r>
              <w:t>P(</w:t>
            </w:r>
            <w:proofErr w:type="gramStart"/>
            <w:r>
              <w:t>x,y</w:t>
            </w:r>
            <w:proofErr w:type="gramEnd"/>
            <w:r>
              <w:t>) ⇒ C(y)</w:t>
            </w:r>
          </w:p>
          <w:p w14:paraId="0E80C58C" w14:textId="77777777" w:rsidR="00BF18CF" w:rsidRDefault="00E51347">
            <w:r>
              <w:t>P’(</w:t>
            </w:r>
            <w:proofErr w:type="gramStart"/>
            <w:r>
              <w:t>x,y</w:t>
            </w:r>
            <w:proofErr w:type="gramEnd"/>
            <w:r>
              <w:t>) ⇒ B(x)</w:t>
            </w:r>
          </w:p>
          <w:p w14:paraId="7D275669" w14:textId="77777777" w:rsidR="00BF18CF" w:rsidRDefault="00E51347">
            <w:r>
              <w:t>P’(</w:t>
            </w:r>
            <w:proofErr w:type="gramStart"/>
            <w:r>
              <w:t>x,y</w:t>
            </w:r>
            <w:proofErr w:type="gramEnd"/>
            <w:r>
              <w:t>) ⇒ D(y)</w:t>
            </w:r>
          </w:p>
          <w:p w14:paraId="692AF014" w14:textId="77777777" w:rsidR="00BF18CF" w:rsidRDefault="00E51347">
            <w:r>
              <w:t xml:space="preserve">Ainsi, </w:t>
            </w:r>
            <w:r>
              <w:rPr>
                <w:rFonts w:ascii="Consolas" w:eastAsia="Consolas" w:hAnsi="Consolas" w:cs="Consolas"/>
                <w:sz w:val="22"/>
                <w:szCs w:val="22"/>
                <w:shd w:val="clear" w:color="auto" w:fill="EAEEF3"/>
              </w:rPr>
              <w:t>P’</w:t>
            </w:r>
            <w:r>
              <w:t xml:space="preserve"> est une extension conservatrice de </w:t>
            </w:r>
            <w:r>
              <w:rPr>
                <w:rFonts w:ascii="Consolas" w:eastAsia="Consolas" w:hAnsi="Consolas" w:cs="Consolas"/>
                <w:sz w:val="22"/>
                <w:szCs w:val="22"/>
                <w:shd w:val="clear" w:color="auto" w:fill="EAEEF3"/>
              </w:rPr>
              <w:t>P</w:t>
            </w:r>
            <w:r>
              <w:t xml:space="preserve"> si A(x) ∧ C(y) ∧ P’(</w:t>
            </w:r>
            <w:proofErr w:type="gramStart"/>
            <w:r>
              <w:t>x,y</w:t>
            </w:r>
            <w:proofErr w:type="gramEnd"/>
            <w:r>
              <w:t>) ⇔ P(x,y)</w:t>
            </w:r>
          </w:p>
          <w:p w14:paraId="2F492BDF" w14:textId="77777777" w:rsidR="00BF18CF" w:rsidRDefault="00E51347">
            <w:r>
              <w:t>En d’autres termes, un module d’extension distinct peut re-déclarer une propriété avec un autre identifiant (préférablement en utilisant une même étiquette) et implémenter la règle ci-haut.</w:t>
            </w:r>
          </w:p>
        </w:tc>
      </w:tr>
    </w:tbl>
    <w:p w14:paraId="13AA8F58" w14:textId="77777777" w:rsidR="00BF18CF" w:rsidRDefault="00BF18CF"/>
    <w:tbl>
      <w:tblPr>
        <w:tblStyle w:val="afd"/>
        <w:tblW w:w="10690" w:type="dxa"/>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623"/>
        <w:gridCol w:w="9067"/>
      </w:tblGrid>
      <w:tr w:rsidR="00BF18CF" w14:paraId="75FE238C" w14:textId="77777777" w:rsidTr="00BF18CF">
        <w:tc>
          <w:tcPr>
            <w:tcW w:w="1623" w:type="dxa"/>
          </w:tcPr>
          <w:p w14:paraId="1149DF37" w14:textId="17F14FF8" w:rsidR="00BF18CF" w:rsidRDefault="00F27208">
            <w:r>
              <w:rPr>
                <w:i/>
              </w:rPr>
              <w:lastRenderedPageBreak/>
              <w:t>Note de traduction</w:t>
            </w:r>
          </w:p>
        </w:tc>
        <w:tc>
          <w:tcPr>
            <w:tcW w:w="9067" w:type="dxa"/>
          </w:tcPr>
          <w:p w14:paraId="5A04F5F4" w14:textId="77777777" w:rsidR="00BF18CF" w:rsidRDefault="00E51347">
            <w:r>
              <w:t>Certains paragraphes ont été édités dans la version francophone à des fins de compréhension. Les sections concernées sont indiquées de [n.d.t. texte concerné].</w:t>
            </w:r>
          </w:p>
          <w:p w14:paraId="0B5C7B98" w14:textId="77777777" w:rsidR="00BF18CF" w:rsidRDefault="00E51347">
            <w:r>
              <w:t>Le terme « fact » pour référer à un élément se trouvant dans une base de connaissances a été traduit par « élément » puisqu’il ne semble pas y avoir de référence à la nature attestée de l’élément en question.</w:t>
            </w:r>
          </w:p>
        </w:tc>
      </w:tr>
      <w:tr w:rsidR="00BF18CF" w:rsidRPr="000467B7" w14:paraId="5755FAC2" w14:textId="77777777" w:rsidTr="00BF18CF">
        <w:tc>
          <w:tcPr>
            <w:tcW w:w="1623" w:type="dxa"/>
          </w:tcPr>
          <w:p w14:paraId="31A6ADF1" w14:textId="77777777" w:rsidR="00BF18CF" w:rsidRDefault="00E51347">
            <w:r>
              <w:rPr>
                <w:i/>
              </w:rPr>
              <w:t>Références</w:t>
            </w:r>
          </w:p>
        </w:tc>
        <w:tc>
          <w:tcPr>
            <w:tcW w:w="9067" w:type="dxa"/>
          </w:tcPr>
          <w:p w14:paraId="626BC898" w14:textId="77777777" w:rsidR="00BF18CF" w:rsidRDefault="00E51347">
            <w:r>
              <w:t xml:space="preserve">Wikipédia. « Extension conservatrice ». Dans </w:t>
            </w:r>
            <w:r>
              <w:rPr>
                <w:i/>
              </w:rPr>
              <w:t>Wikipédia</w:t>
            </w:r>
            <w:r>
              <w:t>. San Francisco, US-CA: Wikipédia, 17 décembre 2017.</w:t>
            </w:r>
            <w:hyperlink r:id="rId302">
              <w:r>
                <w:rPr>
                  <w:color w:val="4F81BD"/>
                </w:rPr>
                <w:t xml:space="preserve"> https://fr.wikipedia.org/w/index.php?title=Extension_conservatrice&amp;oldid=143598511</w:t>
              </w:r>
            </w:hyperlink>
            <w:r>
              <w:t>.</w:t>
            </w:r>
          </w:p>
          <w:p w14:paraId="5BFB6B73" w14:textId="77777777" w:rsidR="00BF18CF" w:rsidRPr="000467B7" w:rsidRDefault="00E51347">
            <w:pPr>
              <w:rPr>
                <w:lang w:val="en-CA"/>
              </w:rPr>
            </w:pPr>
            <w:r>
              <w:t xml:space="preserve">———. « Monotonie ». Dans </w:t>
            </w:r>
            <w:r>
              <w:rPr>
                <w:i/>
              </w:rPr>
              <w:t>Wikipédia</w:t>
            </w:r>
            <w:r>
              <w:t xml:space="preserve">. </w:t>
            </w:r>
            <w:r w:rsidRPr="000467B7">
              <w:rPr>
                <w:lang w:val="en-CA"/>
              </w:rPr>
              <w:t>San Francisco, US-CA: Wikipédia, 19 février 2017.</w:t>
            </w:r>
            <w:r w:rsidR="000467B7">
              <w:fldChar w:fldCharType="begin"/>
            </w:r>
            <w:r w:rsidR="000467B7" w:rsidRPr="000467B7">
              <w:rPr>
                <w:lang w:val="en-CA"/>
              </w:rPr>
              <w:instrText>HYPERLINK "https://fr.wikipedia.org/w/index.php?title=Monotonie&amp;oldid=134697868" \h</w:instrText>
            </w:r>
            <w:r w:rsidR="000467B7">
              <w:fldChar w:fldCharType="separate"/>
            </w:r>
            <w:r w:rsidRPr="000467B7">
              <w:rPr>
                <w:color w:val="4F81BD"/>
                <w:lang w:val="en-CA"/>
              </w:rPr>
              <w:t xml:space="preserve"> https://fr.wikipedia.org/w/index.php?title=Monotonie&amp;oldid=134697868</w:t>
            </w:r>
            <w:r w:rsidR="000467B7">
              <w:rPr>
                <w:color w:val="4F81BD"/>
              </w:rPr>
              <w:fldChar w:fldCharType="end"/>
            </w:r>
            <w:r w:rsidRPr="000467B7">
              <w:rPr>
                <w:lang w:val="en-CA"/>
              </w:rPr>
              <w:t>.</w:t>
            </w:r>
          </w:p>
        </w:tc>
      </w:tr>
    </w:tbl>
    <w:p w14:paraId="1881D878" w14:textId="77777777" w:rsidR="00BF18CF" w:rsidRDefault="00E51347">
      <w:pPr>
        <w:pStyle w:val="Heading2"/>
      </w:pPr>
      <w:bookmarkStart w:id="65" w:name="bookmark=id.nmf14n" w:colFirst="0" w:colLast="0"/>
      <w:bookmarkStart w:id="66" w:name="_Toc144360776"/>
      <w:bookmarkEnd w:id="65"/>
      <w:r>
        <w:t>De la minimalité</w:t>
      </w:r>
      <w:bookmarkEnd w:id="66"/>
    </w:p>
    <w:tbl>
      <w:tblPr>
        <w:tblStyle w:val="a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000BD48E" w14:textId="77777777" w:rsidTr="00BF18CF">
        <w:tc>
          <w:tcPr>
            <w:tcW w:w="10690" w:type="dxa"/>
          </w:tcPr>
          <w:p w14:paraId="485A2DF6" w14:textId="77777777" w:rsidR="00BF18CF" w:rsidRDefault="00E51347">
            <w:r>
              <w:t>Bien que le domaine d’application du CIDOC CRM soit très large, le modèle lui-même promeut une économie de moyens, de sorte que :</w:t>
            </w:r>
          </w:p>
          <w:p w14:paraId="46A22350" w14:textId="77777777" w:rsidR="00BF18CF" w:rsidRDefault="00E51347">
            <w:pPr>
              <w:numPr>
                <w:ilvl w:val="0"/>
                <w:numId w:val="27"/>
              </w:numPr>
            </w:pPr>
            <w:r>
              <w:t xml:space="preserve">Les </w:t>
            </w:r>
            <w:hyperlink r:id="rId303" w:anchor="classe">
              <w:r>
                <w:rPr>
                  <w:color w:val="4F81BD"/>
                </w:rPr>
                <w:t>classes</w:t>
              </w:r>
            </w:hyperlink>
            <w:r>
              <w:t xml:space="preserve"> et </w:t>
            </w:r>
            <w:hyperlink r:id="rId304" w:anchor="propriete">
              <w:r>
                <w:rPr>
                  <w:color w:val="4F81BD"/>
                </w:rPr>
                <w:t>propriétés</w:t>
              </w:r>
            </w:hyperlink>
            <w:r>
              <w:t xml:space="preserve"> de CIDOC CRM sont soit primitives, soit d’une utilité avérée dans le cadre d’une application pratique;</w:t>
            </w:r>
          </w:p>
          <w:p w14:paraId="553191F2" w14:textId="77777777" w:rsidR="00BF18CF" w:rsidRDefault="00E51347">
            <w:pPr>
              <w:numPr>
                <w:ilvl w:val="0"/>
                <w:numId w:val="27"/>
              </w:numPr>
            </w:pPr>
            <w:r>
              <w:t>En raison de l’</w:t>
            </w:r>
            <w:hyperlink r:id="rId305" w:anchor="monde-ouvert">
              <w:r>
                <w:rPr>
                  <w:color w:val="4F81BD"/>
                </w:rPr>
                <w:t>hypothèse du monde ouvert</w:t>
              </w:r>
            </w:hyperlink>
            <w:r>
              <w:t xml:space="preserve"> qui statue qu’il n’y a pas de propriétés associées aux compléments d’une classe (voir </w:t>
            </w:r>
            <w:hyperlink r:id="rId306">
              <w:r>
                <w:rPr>
                  <w:color w:val="4F81BD"/>
                </w:rPr>
                <w:t>Terminologie</w:t>
              </w:r>
            </w:hyperlink>
            <w:r>
              <w:t xml:space="preserve"> et la première conséquence de la </w:t>
            </w:r>
            <w:hyperlink r:id="rId307" w:anchor="de-la-monotonicite">
              <w:r>
                <w:rPr>
                  <w:color w:val="4F81BD"/>
                </w:rPr>
                <w:t>Monotonicité</w:t>
              </w:r>
            </w:hyperlink>
            <w:r>
              <w:t xml:space="preserve">), de tels </w:t>
            </w:r>
            <w:hyperlink r:id="rId308" w:anchor="complement">
              <w:r>
                <w:rPr>
                  <w:color w:val="4F81BD"/>
                </w:rPr>
                <w:t>compléments</w:t>
              </w:r>
            </w:hyperlink>
            <w:r>
              <w:t xml:space="preserve"> ne sont pas déclarés dans le cadre du CIDOC CRM.</w:t>
            </w:r>
          </w:p>
          <w:p w14:paraId="69B8E19B" w14:textId="77777777" w:rsidR="00BF18CF" w:rsidRDefault="00E51347">
            <w:r>
              <w:t>Une classe CIDOC CRM est déclarée lorsque :</w:t>
            </w:r>
          </w:p>
          <w:p w14:paraId="74B3D856" w14:textId="77777777" w:rsidR="00BF18CF" w:rsidRDefault="00E51347">
            <w:pPr>
              <w:numPr>
                <w:ilvl w:val="0"/>
                <w:numId w:val="29"/>
              </w:numPr>
            </w:pPr>
            <w:r>
              <w:t xml:space="preserve">Le </w:t>
            </w:r>
            <w:hyperlink r:id="rId309" w:anchor="domaine">
              <w:r>
                <w:rPr>
                  <w:color w:val="4F81BD"/>
                </w:rPr>
                <w:t>domaine</w:t>
              </w:r>
            </w:hyperlink>
            <w:r>
              <w:t xml:space="preserve"> ou la </w:t>
            </w:r>
            <w:hyperlink r:id="rId310" w:anchor="portee">
              <w:r>
                <w:rPr>
                  <w:color w:val="4F81BD"/>
                </w:rPr>
                <w:t>portée</w:t>
              </w:r>
            </w:hyperlink>
            <w:r>
              <w:t xml:space="preserve"> d’une propriété ne sont pas compatibles avec une </w:t>
            </w:r>
            <w:hyperlink r:id="rId311" w:anchor="super-classe">
              <w:r>
                <w:rPr>
                  <w:color w:val="4F81BD"/>
                </w:rPr>
                <w:t>super-classe</w:t>
              </w:r>
            </w:hyperlink>
            <w:r>
              <w:t xml:space="preserve"> [n.d.t. de sorte que son utilisation exige la création d’une nouvelle classe].</w:t>
            </w:r>
          </w:p>
          <w:p w14:paraId="327F6410" w14:textId="77777777" w:rsidR="00BF18CF" w:rsidRDefault="00E51347">
            <w:pPr>
              <w:numPr>
                <w:ilvl w:val="0"/>
                <w:numId w:val="29"/>
              </w:numPr>
            </w:pPr>
            <w:r>
              <w:t xml:space="preserve">Cette nouvelle classe fonctionne comme point de convergence de deux branches de classes CIDOC CRM par le biais de multiples liens </w:t>
            </w:r>
            <w:r>
              <w:rPr>
                <w:rFonts w:ascii="Consolas" w:eastAsia="Consolas" w:hAnsi="Consolas" w:cs="Consolas"/>
                <w:sz w:val="22"/>
                <w:szCs w:val="22"/>
                <w:shd w:val="clear" w:color="auto" w:fill="EAEEF3"/>
              </w:rPr>
              <w:t>estUn</w:t>
            </w:r>
            <w:r>
              <w:t xml:space="preserve"> (p. ex. </w:t>
            </w:r>
            <w:r>
              <w:rPr>
                <w:rFonts w:ascii="Consolas" w:eastAsia="Consolas" w:hAnsi="Consolas" w:cs="Consolas"/>
                <w:sz w:val="22"/>
                <w:szCs w:val="22"/>
                <w:shd w:val="clear" w:color="auto" w:fill="EAEEF3"/>
              </w:rPr>
              <w:t>E25_Caractéristique_élaborée_par_l'humain</w:t>
            </w:r>
            <w:r>
              <w:t xml:space="preserve">). Lorsque les super-classes de ces branches sont utilisées afin d’instancier à plusieurs reprises une entité, cette entité se trouve à l’intersection des domaines d’application de chacune, de sorte qu’une classe résultant de multiples </w:t>
            </w:r>
            <w:r>
              <w:rPr>
                <w:rFonts w:ascii="Consolas" w:eastAsia="Consolas" w:hAnsi="Consolas" w:cs="Consolas"/>
                <w:sz w:val="22"/>
                <w:szCs w:val="22"/>
                <w:shd w:val="clear" w:color="auto" w:fill="EAEEF3"/>
              </w:rPr>
              <w:t>estUn</w:t>
            </w:r>
            <w:r>
              <w:t xml:space="preserve"> devrait avoir un domaine d’application plus restreint que ceux de ses super-classes.</w:t>
            </w:r>
          </w:p>
          <w:p w14:paraId="5C2E875D" w14:textId="77777777" w:rsidR="00BF18CF" w:rsidRDefault="00E51347">
            <w:pPr>
              <w:numPr>
                <w:ilvl w:val="0"/>
                <w:numId w:val="29"/>
              </w:numPr>
            </w:pPr>
            <w:r>
              <w:t xml:space="preserve">Les praticiens du CIDOC CRM qui élaborent des extensions de celui-ci ou s'affairent à établir des équivalences avec des classes essentielles d’autres modèles en identifiant le besoin; dans de tels cas, il est important que la classe soit située à la fin de la branche et qu’elle ne contienne pas de </w:t>
            </w:r>
            <w:hyperlink r:id="rId312" w:anchor="sous-classe">
              <w:r>
                <w:rPr>
                  <w:color w:val="4F81BD"/>
                </w:rPr>
                <w:t>sous-classes</w:t>
              </w:r>
            </w:hyperlink>
            <w:r>
              <w:t xml:space="preserve"> (p. ex. </w:t>
            </w:r>
            <w:r>
              <w:rPr>
                <w:rFonts w:ascii="Consolas" w:eastAsia="Consolas" w:hAnsi="Consolas" w:cs="Consolas"/>
                <w:sz w:val="22"/>
                <w:szCs w:val="22"/>
                <w:shd w:val="clear" w:color="auto" w:fill="EAEEF3"/>
              </w:rPr>
              <w:t>E34_Inscription</w:t>
            </w:r>
            <w:r>
              <w:t>).</w:t>
            </w:r>
          </w:p>
        </w:tc>
      </w:tr>
    </w:tbl>
    <w:p w14:paraId="60E5EFED" w14:textId="77777777" w:rsidR="00BF18CF" w:rsidRDefault="00BF18CF"/>
    <w:tbl>
      <w:tblPr>
        <w:tblStyle w:val="a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562"/>
        <w:gridCol w:w="9128"/>
      </w:tblGrid>
      <w:tr w:rsidR="00BF18CF" w14:paraId="4BF3967E" w14:textId="77777777" w:rsidTr="00BF18CF">
        <w:tc>
          <w:tcPr>
            <w:tcW w:w="1562" w:type="dxa"/>
          </w:tcPr>
          <w:p w14:paraId="7032349B" w14:textId="4992AECB" w:rsidR="00BF18CF" w:rsidRDefault="00F27208">
            <w:r>
              <w:rPr>
                <w:i/>
              </w:rPr>
              <w:t>Note de traduction</w:t>
            </w:r>
          </w:p>
        </w:tc>
        <w:tc>
          <w:tcPr>
            <w:tcW w:w="9128" w:type="dxa"/>
          </w:tcPr>
          <w:p w14:paraId="51192029" w14:textId="77777777" w:rsidR="00BF18CF" w:rsidRDefault="00E51347">
            <w:r>
              <w:t>Certains paragraphes ont été édités dans la version francophone à des fins de compréhension. Les sections concernées sont indiquées de [n.d.t. texte concerné].</w:t>
            </w:r>
          </w:p>
        </w:tc>
      </w:tr>
      <w:tr w:rsidR="00BF18CF" w14:paraId="601BBEF7" w14:textId="77777777" w:rsidTr="00BF18CF">
        <w:tc>
          <w:tcPr>
            <w:tcW w:w="1562" w:type="dxa"/>
          </w:tcPr>
          <w:p w14:paraId="5AE13231" w14:textId="77777777" w:rsidR="00BF18CF" w:rsidRDefault="00E51347">
            <w:r>
              <w:rPr>
                <w:i/>
              </w:rPr>
              <w:t>Références</w:t>
            </w:r>
          </w:p>
        </w:tc>
        <w:tc>
          <w:tcPr>
            <w:tcW w:w="9128" w:type="dxa"/>
          </w:tcPr>
          <w:p w14:paraId="0C4F7A84" w14:textId="77777777" w:rsidR="00BF18CF" w:rsidRDefault="00BF18CF">
            <w:pPr>
              <w:pBdr>
                <w:top w:val="nil"/>
                <w:left w:val="nil"/>
                <w:bottom w:val="nil"/>
                <w:right w:val="nil"/>
                <w:between w:val="nil"/>
              </w:pBdr>
              <w:spacing w:before="36" w:after="36"/>
              <w:rPr>
                <w:color w:val="000000"/>
              </w:rPr>
            </w:pPr>
          </w:p>
        </w:tc>
      </w:tr>
    </w:tbl>
    <w:p w14:paraId="2379FF98" w14:textId="77777777" w:rsidR="00BF18CF" w:rsidRDefault="00E51347">
      <w:pPr>
        <w:pStyle w:val="Heading2"/>
      </w:pPr>
      <w:bookmarkStart w:id="67" w:name="bookmark=id.37m2jsg" w:colFirst="0" w:colLast="0"/>
      <w:bookmarkStart w:id="68" w:name="_Toc144360777"/>
      <w:bookmarkEnd w:id="67"/>
      <w:r>
        <w:lastRenderedPageBreak/>
        <w:t>Des raccourcis</w:t>
      </w:r>
      <w:bookmarkEnd w:id="68"/>
    </w:p>
    <w:tbl>
      <w:tblPr>
        <w:tblStyle w:val="a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7C2BE948" w14:textId="77777777" w:rsidTr="00BF18CF">
        <w:tc>
          <w:tcPr>
            <w:tcW w:w="10690" w:type="dxa"/>
          </w:tcPr>
          <w:p w14:paraId="1A4F3958" w14:textId="77777777" w:rsidR="00BF18CF" w:rsidRDefault="00E51347">
            <w:r>
              <w:t xml:space="preserve">Certaines </w:t>
            </w:r>
            <w:hyperlink r:id="rId313" w:anchor="propriete">
              <w:r>
                <w:rPr>
                  <w:color w:val="4F81BD"/>
                </w:rPr>
                <w:t>propriétés</w:t>
              </w:r>
            </w:hyperlink>
            <w:r>
              <w:t xml:space="preserve"> sont déclarées être des </w:t>
            </w:r>
            <w:hyperlink r:id="rId314" w:anchor="raccourci">
              <w:r>
                <w:rPr>
                  <w:color w:val="4F81BD"/>
                </w:rPr>
                <w:t>raccourcis</w:t>
              </w:r>
            </w:hyperlink>
            <w:r>
              <w:t xml:space="preserve"> de chemins sémantiques plus exhaustifs et détaillés qui relient les mêmes </w:t>
            </w:r>
            <w:hyperlink r:id="rId315" w:anchor="classe">
              <w:r>
                <w:rPr>
                  <w:color w:val="4F81BD"/>
                </w:rPr>
                <w:t>classes</w:t>
              </w:r>
            </w:hyperlink>
            <w:r>
              <w:t xml:space="preserve"> de </w:t>
            </w:r>
            <w:hyperlink r:id="rId316" w:anchor="domaine">
              <w:r>
                <w:rPr>
                  <w:color w:val="4F81BD"/>
                </w:rPr>
                <w:t>domaine</w:t>
              </w:r>
            </w:hyperlink>
            <w:r>
              <w:t xml:space="preserve"> et de </w:t>
            </w:r>
            <w:hyperlink r:id="rId317" w:anchor="portee">
              <w:r>
                <w:rPr>
                  <w:color w:val="4F81BD"/>
                </w:rPr>
                <w:t>portée</w:t>
              </w:r>
            </w:hyperlink>
            <w:r>
              <w:t xml:space="preserve"> que la propriété-raccourci, mais utilisent une ou plusieurs classes intermédiaires. Par exemple, la propriété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P52_a_pour_propriétaire_actuel (est_propriétaire_actuel_de)</w:t>
            </w:r>
            <w:r>
              <w:t xml:space="preserve"> : </w:t>
            </w:r>
            <w:r>
              <w:rPr>
                <w:rFonts w:ascii="Consolas" w:eastAsia="Consolas" w:hAnsi="Consolas" w:cs="Consolas"/>
                <w:sz w:val="22"/>
                <w:szCs w:val="22"/>
                <w:shd w:val="clear" w:color="auto" w:fill="EAEEF3"/>
              </w:rPr>
              <w:t>E39_Actant</w:t>
            </w:r>
            <w:r>
              <w:t xml:space="preserve"> est un raccourci du chemin sémantique complet </w:t>
            </w:r>
            <w:r>
              <w:rPr>
                <w:rFonts w:ascii="Consolas" w:eastAsia="Consolas" w:hAnsi="Consolas" w:cs="Consolas"/>
                <w:sz w:val="22"/>
                <w:szCs w:val="22"/>
                <w:shd w:val="clear" w:color="auto" w:fill="EAEEF3"/>
              </w:rPr>
              <w:t>E18_Chose_matérielle</w:t>
            </w:r>
            <w:r>
              <w:t xml:space="preserve"> suivi de </w:t>
            </w:r>
            <w:r>
              <w:rPr>
                <w:rFonts w:ascii="Consolas" w:eastAsia="Consolas" w:hAnsi="Consolas" w:cs="Consolas"/>
                <w:sz w:val="22"/>
                <w:szCs w:val="22"/>
                <w:shd w:val="clear" w:color="auto" w:fill="EAEEF3"/>
              </w:rPr>
              <w:t>E8_Acquisition</w:t>
            </w:r>
            <w:r>
              <w:t xml:space="preserve"> et finalement </w:t>
            </w:r>
            <w:r>
              <w:rPr>
                <w:rFonts w:ascii="Consolas" w:eastAsia="Consolas" w:hAnsi="Consolas" w:cs="Consolas"/>
                <w:sz w:val="22"/>
                <w:szCs w:val="22"/>
                <w:shd w:val="clear" w:color="auto" w:fill="EAEEF3"/>
              </w:rPr>
              <w:t>E39_Actant</w:t>
            </w:r>
            <w:r>
              <w:t xml:space="preserve">. Une </w:t>
            </w:r>
            <w:hyperlink r:id="rId318" w:anchor="instance">
              <w:r>
                <w:rPr>
                  <w:color w:val="4F81BD"/>
                </w:rPr>
                <w:t>instance</w:t>
              </w:r>
            </w:hyperlink>
            <w:r>
              <w:t xml:space="preserve"> du chemin sémantique complet implique toujours une instance de la propriété-raccourci bien que l’inverse ne soit pas toujours vrai (c.-à-d. qu’une instance du chemin sémantique complet ne peut pas toujours être déduite d’une instance de la propriété-raccourci, en particulier dans le cadre d’une base de connaissances précise).</w:t>
            </w:r>
          </w:p>
          <w:p w14:paraId="6C57B79D" w14:textId="77777777" w:rsidR="00BF18CF" w:rsidRDefault="00E51347">
            <w:r>
              <w:t xml:space="preserve">La classe </w:t>
            </w:r>
            <w:r>
              <w:rPr>
                <w:rFonts w:ascii="Consolas" w:eastAsia="Consolas" w:hAnsi="Consolas" w:cs="Consolas"/>
                <w:sz w:val="22"/>
                <w:szCs w:val="22"/>
                <w:shd w:val="clear" w:color="auto" w:fill="EAEEF3"/>
              </w:rPr>
              <w:t>E13_Assignation_d'attribut</w:t>
            </w:r>
            <w:r>
              <w:t xml:space="preserve"> peut être utilisée pour documenter ce qui a mené à l’attribution d’une propriété (notamment en ce qui a trait à l’opinion du responsable qui a pris la décision de cette attribution), et ce même dans le cas de propriétés qui ne seraient pas des raccourcis.</w:t>
            </w:r>
          </w:p>
        </w:tc>
      </w:tr>
    </w:tbl>
    <w:p w14:paraId="3BA17B0C" w14:textId="77777777" w:rsidR="00BF18CF" w:rsidRDefault="00BF18CF"/>
    <w:tbl>
      <w:tblPr>
        <w:tblStyle w:val="aff1"/>
        <w:tblW w:w="934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7518"/>
      </w:tblGrid>
      <w:tr w:rsidR="00BF18CF" w14:paraId="28EF91EC" w14:textId="77777777" w:rsidTr="00BF18CF">
        <w:tc>
          <w:tcPr>
            <w:tcW w:w="1828" w:type="dxa"/>
          </w:tcPr>
          <w:p w14:paraId="3CFA59FF" w14:textId="49495DAD" w:rsidR="00BF18CF" w:rsidRDefault="00F27208">
            <w:r>
              <w:rPr>
                <w:i/>
              </w:rPr>
              <w:t>Note de traduction</w:t>
            </w:r>
          </w:p>
        </w:tc>
        <w:tc>
          <w:tcPr>
            <w:tcW w:w="7518" w:type="dxa"/>
          </w:tcPr>
          <w:p w14:paraId="6B5B4EEC" w14:textId="77777777" w:rsidR="00BF18CF" w:rsidRDefault="00BF18CF">
            <w:pPr>
              <w:pBdr>
                <w:top w:val="nil"/>
                <w:left w:val="nil"/>
                <w:bottom w:val="nil"/>
                <w:right w:val="nil"/>
                <w:between w:val="nil"/>
              </w:pBdr>
              <w:spacing w:before="36" w:after="36"/>
              <w:rPr>
                <w:color w:val="000000"/>
              </w:rPr>
            </w:pPr>
          </w:p>
        </w:tc>
      </w:tr>
      <w:tr w:rsidR="00BF18CF" w14:paraId="0B2F6D20" w14:textId="77777777" w:rsidTr="00BF18CF">
        <w:tc>
          <w:tcPr>
            <w:tcW w:w="1828" w:type="dxa"/>
          </w:tcPr>
          <w:p w14:paraId="09BDCAA7" w14:textId="77777777" w:rsidR="00BF18CF" w:rsidRDefault="00E51347">
            <w:r>
              <w:rPr>
                <w:i/>
              </w:rPr>
              <w:t>Références</w:t>
            </w:r>
          </w:p>
        </w:tc>
        <w:tc>
          <w:tcPr>
            <w:tcW w:w="7518" w:type="dxa"/>
          </w:tcPr>
          <w:p w14:paraId="511419D2" w14:textId="77777777" w:rsidR="00BF18CF" w:rsidRDefault="00BF18CF">
            <w:pPr>
              <w:pBdr>
                <w:top w:val="nil"/>
                <w:left w:val="nil"/>
                <w:bottom w:val="nil"/>
                <w:right w:val="nil"/>
                <w:between w:val="nil"/>
              </w:pBdr>
              <w:spacing w:before="36" w:after="36"/>
              <w:rPr>
                <w:color w:val="000000"/>
              </w:rPr>
            </w:pPr>
          </w:p>
        </w:tc>
      </w:tr>
    </w:tbl>
    <w:p w14:paraId="357A2451" w14:textId="77777777" w:rsidR="00BF18CF" w:rsidRDefault="00E51347">
      <w:pPr>
        <w:pStyle w:val="Heading2"/>
      </w:pPr>
      <w:bookmarkStart w:id="69" w:name="bookmark=id.1mrcu09" w:colFirst="0" w:colLast="0"/>
      <w:bookmarkStart w:id="70" w:name="_Toc144360778"/>
      <w:bookmarkEnd w:id="69"/>
      <w:r>
        <w:t>De la monotonicité</w:t>
      </w:r>
      <w:bookmarkEnd w:id="70"/>
    </w:p>
    <w:tbl>
      <w:tblPr>
        <w:tblStyle w:val="a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7C2968D4" w14:textId="77777777" w:rsidTr="00BF18CF">
        <w:tc>
          <w:tcPr>
            <w:tcW w:w="10690" w:type="dxa"/>
          </w:tcPr>
          <w:p w14:paraId="29CFFA0A" w14:textId="77777777" w:rsidR="00BF18CF" w:rsidRDefault="00E51347">
            <w:r>
              <w:t>La fonction primaire du CIDOC CRM est de soutenir l’intégration d’information sur la base de l’</w:t>
            </w:r>
            <w:hyperlink r:id="rId319" w:anchor="monde-ouvert">
              <w:r>
                <w:rPr>
                  <w:color w:val="4F81BD"/>
                </w:rPr>
                <w:t>hypothèse du monde ouvert</w:t>
              </w:r>
            </w:hyperlink>
            <w:r>
              <w:t xml:space="preserve"> [n.d.t. selon laquelle la véracité d'une affirmation ne repose pas sur le fait qu’un agent ou un observateur sache qu’elle est vraie]. Ceci implique que le CIDOC CRM lui-même doit être ouvert et que les bases de connaissances implémentées avec celui-ci doivent être suffisamment flexibles pour accueillir de nouvelles idées. Au niveau du modèle, ceci implique que de nouvelles </w:t>
            </w:r>
            <w:hyperlink r:id="rId320" w:anchor="classe">
              <w:r>
                <w:rPr>
                  <w:color w:val="4F81BD"/>
                </w:rPr>
                <w:t>classes</w:t>
              </w:r>
            </w:hyperlink>
            <w:r>
              <w:t xml:space="preserve"> et/ou </w:t>
            </w:r>
            <w:hyperlink r:id="rId321" w:anchor="propriete">
              <w:r>
                <w:rPr>
                  <w:color w:val="4F81BD"/>
                </w:rPr>
                <w:t>propriétés</w:t>
              </w:r>
            </w:hyperlink>
            <w:r>
              <w:t xml:space="preserve"> puissent être créées lors de l’intégration de nouveaux enregistrements documentaires ou lorsque [n.d.t. la nécessité de représenter] des éléments inédits est portée à l’attention des responsables du CIDOC CRM. Au niveau des bases de connaissances, la nécessité d’ajouter ou de réviser de l’information en raison de facteurs externes doit être prise en compte (de tels facteurs incluent, par exemple, l’avancement du milieu de la recherche qui soulève de nouvelles questions, la documentation de nouveaux phénomènes, ou encore l’évolution sociale ou naturelle qui révèle de nouveaux objets d’étude).</w:t>
            </w:r>
          </w:p>
          <w:p w14:paraId="2AB81778" w14:textId="77777777" w:rsidR="00BF18CF" w:rsidRDefault="00E51347">
            <w:r>
              <w:t xml:space="preserve">Les responsables du CIDOC CRM ont pour objectif de respecter les tenants de l’hypothèse du monde ouvert, en particulier le principe de la monotonicité qui exige que l’ajout de nouvelles classes et/ou propriétés (au modèle) ou de nouveaux énoncés (à la base de connaissances) n’invalident pas les structures et énoncés pré-existants [n.d.t. voir </w:t>
            </w:r>
            <w:hyperlink r:id="rId322" w:anchor="raisonnement-monotone">
              <w:r>
                <w:rPr>
                  <w:color w:val="4F81BD"/>
                </w:rPr>
                <w:t>Raisonnement monotone</w:t>
              </w:r>
            </w:hyperlink>
            <w:r>
              <w:t xml:space="preserve"> dans la section </w:t>
            </w:r>
            <w:hyperlink r:id="rId323">
              <w:r>
                <w:rPr>
                  <w:color w:val="4F81BD"/>
                </w:rPr>
                <w:t>Terminologie</w:t>
              </w:r>
            </w:hyperlink>
            <w:r>
              <w:t>].</w:t>
            </w:r>
          </w:p>
          <w:p w14:paraId="73691528" w14:textId="77777777" w:rsidR="00BF18CF" w:rsidRDefault="00E51347">
            <w:r>
              <w:t xml:space="preserve">La </w:t>
            </w:r>
            <w:r>
              <w:rPr>
                <w:b/>
              </w:rPr>
              <w:t>première conséquence</w:t>
            </w:r>
            <w:r>
              <w:t xml:space="preserve"> de ce choix est que le CIDOC CRM tente d’être monotone au sens de la théorie des domaines : les construits du CIDOC CRM et les déductions qui peuvent en découler doivent donc demeurer formellement et conceptuellement valides malgré l’ajout de construits issus d’extensions du CIDOC CRM, de sorte que toute extension doit être rétro-compatible avec les modèles qui la précèdent. La seule exception à cette règle serait une situation où un construit est considéré objectivement incorrect par les experts du domaine dont ce construit émane et qu’il soit en conséquence soumis à une révision corrective. L’adoption du principe de monotonicité a </w:t>
            </w:r>
            <w:proofErr w:type="gramStart"/>
            <w:r>
              <w:t>des conséquence notables</w:t>
            </w:r>
            <w:proofErr w:type="gramEnd"/>
            <w:r>
              <w:t xml:space="preserve"> sur la manière dont les classes et propriétés sont conceptualisées et déclarées </w:t>
            </w:r>
            <w:r>
              <w:lastRenderedPageBreak/>
              <w:t>dans le CIDOC CRM, car cela interdit la déclaration de classes complémentaires (c.-à-d. des classes définies uniquement par l’exclusion d’</w:t>
            </w:r>
            <w:hyperlink r:id="rId324" w:anchor="instance">
              <w:r>
                <w:rPr>
                  <w:color w:val="4F81BD"/>
                </w:rPr>
                <w:t>instances</w:t>
              </w:r>
            </w:hyperlink>
            <w:r>
              <w:t xml:space="preserve"> d’autres classes).</w:t>
            </w:r>
          </w:p>
          <w:p w14:paraId="215D9313" w14:textId="77777777" w:rsidR="00BF18CF" w:rsidRDefault="00E51347">
            <w:r>
              <w:t>Par exemple :</w:t>
            </w:r>
          </w:p>
          <w:p w14:paraId="1DDFF6FA" w14:textId="77777777" w:rsidR="00BF18CF" w:rsidRDefault="00E51347">
            <w:r>
              <w:t xml:space="preserve">FRBRoo (Bekiari et al (eds). 2015), qui extensionne le CIDOC CRM, a dans sa version 2.4 une classe </w:t>
            </w:r>
            <w:r>
              <w:rPr>
                <w:rFonts w:ascii="Consolas" w:eastAsia="Consolas" w:hAnsi="Consolas" w:cs="Consolas"/>
                <w:sz w:val="22"/>
                <w:szCs w:val="22"/>
                <w:shd w:val="clear" w:color="auto" w:fill="EAEEF3"/>
              </w:rPr>
              <w:t>F51_Activité_d’utilisation_de_nom</w:t>
            </w:r>
            <w:r>
              <w:t xml:space="preserve"> déclarée sous-classe de </w:t>
            </w:r>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F51_Activité_d’utilisation_de_nom</w:t>
            </w:r>
            <w:r>
              <w:t xml:space="preserve"> a pour fonction de décrire un phénomène bibliothéconomique spécifique qui n’est pas couvert par le CIDOC CRM, mais qui recense le fait qu’un </w:t>
            </w:r>
            <w:r>
              <w:rPr>
                <w:rFonts w:ascii="Consolas" w:eastAsia="Consolas" w:hAnsi="Consolas" w:cs="Consolas"/>
                <w:sz w:val="22"/>
                <w:szCs w:val="22"/>
                <w:shd w:val="clear" w:color="auto" w:fill="EAEEF3"/>
              </w:rPr>
              <w:t>E74_Groupe</w:t>
            </w:r>
            <w:r>
              <w:t xml:space="preserve"> adopte et fasse l’usage d’un nom particulier dans le contexte d’un intervalle temporel. La création de cette extension est monotone dans la mesure où (1) aucune relation </w:t>
            </w:r>
            <w:r>
              <w:rPr>
                <w:rFonts w:ascii="Consolas" w:eastAsia="Consolas" w:hAnsi="Consolas" w:cs="Consolas"/>
                <w:sz w:val="22"/>
                <w:szCs w:val="22"/>
                <w:shd w:val="clear" w:color="auto" w:fill="EAEEF3"/>
              </w:rPr>
              <w:t>estUn</w:t>
            </w:r>
            <w:r>
              <w:t xml:space="preserve"> ou règle d’</w:t>
            </w:r>
            <w:hyperlink r:id="rId325" w:anchor="heritage">
              <w:r>
                <w:rPr>
                  <w:color w:val="4F81BD"/>
                </w:rPr>
                <w:t>héritage</w:t>
              </w:r>
            </w:hyperlink>
            <w:r>
              <w:t xml:space="preserve"> s’appliquant aux propriétés du CRMbase n’est compromise et où (2) la création de futures extensions n’est pas inhibée par cette création. Au contraire, si pour gérer cette situation une </w:t>
            </w:r>
            <w:hyperlink r:id="rId326" w:anchor="sous-classe">
              <w:r>
                <w:rPr>
                  <w:color w:val="4F81BD"/>
                </w:rPr>
                <w:t>sous-classe</w:t>
              </w:r>
            </w:hyperlink>
            <w:r>
              <w:t xml:space="preserve"> « Autre Activité » avait été déclarée, un changement non monotone aurait été introduit dans le CRMbase, car la </w:t>
            </w:r>
            <w:hyperlink r:id="rId327" w:anchor="note-dapplication">
              <w:r>
                <w:rPr>
                  <w:color w:val="4F81BD"/>
                </w:rPr>
                <w:t>note d’application</w:t>
              </w:r>
            </w:hyperlink>
            <w:r>
              <w:t xml:space="preserve"> d’une telle classe complémentaire aurait proscrit la déclaration d’autres spécialisations de </w:t>
            </w:r>
            <w:r>
              <w:rPr>
                <w:rFonts w:ascii="Consolas" w:eastAsia="Consolas" w:hAnsi="Consolas" w:cs="Consolas"/>
                <w:sz w:val="22"/>
                <w:szCs w:val="22"/>
                <w:shd w:val="clear" w:color="auto" w:fill="EAEEF3"/>
              </w:rPr>
              <w:t>E7_Activité</w:t>
            </w:r>
            <w:r>
              <w:t xml:space="preserve"> comme « Activité d’utilisation de nom ». Dans l’éventualité où il serait nécessaire de déclarer des sous-classes spécialisées, une révision non monotone devrait être effectuée, car il ne serait pas possible de déterminer quelles instances relèvent de la nouvelle classe spécialisée et lesquelles n’en relèvent pas (un changement et une révision qui sont extrêmement exigeants du point de vue des utilisateurs et qui compromettent sérieusement la rétro-compatibilité et l’intégration du système à long-terme).</w:t>
            </w:r>
          </w:p>
          <w:p w14:paraId="34129BB4" w14:textId="77777777" w:rsidR="00BF18CF" w:rsidRDefault="00E51347">
            <w:r>
              <w:t xml:space="preserve">La </w:t>
            </w:r>
            <w:r>
              <w:rPr>
                <w:b/>
              </w:rPr>
              <w:t>seconde conséquence</w:t>
            </w:r>
            <w:r>
              <w:t xml:space="preserve"> de ce choix [n.d.</w:t>
            </w:r>
            <w:proofErr w:type="gramStart"/>
            <w:r>
              <w:t>t.méthodologique</w:t>
            </w:r>
            <w:proofErr w:type="gramEnd"/>
            <w:r>
              <w:t xml:space="preserve"> d’adopter l’hypothèse du monde ouvert] est qu’il est nécessaire de maintenir la monotonicité même lors de la révision ou de l’ajout de données dans des systèmes compatibles avec le CIDOC CRM. En d’autres termes, les instances des classes du CIDOC CRM, leurs propriétés et les déductions qui en découlent doivent demeurer formellement et conceptuellement valides, et ce même lorsque de nouvelles instances considérées par les experts d’un domaine précis considèrent qu’elles s’insèrent de manière cohérente dans l’ensemble du système.</w:t>
            </w:r>
          </w:p>
          <w:p w14:paraId="48EC1BC9" w14:textId="77777777" w:rsidR="00BF18CF" w:rsidRDefault="00E51347">
            <w:r>
              <w:t>Par exemple :</w:t>
            </w:r>
          </w:p>
          <w:p w14:paraId="24F2CE3B" w14:textId="77777777" w:rsidR="00BF18CF" w:rsidRDefault="00E51347">
            <w:r>
              <w:t xml:space="preserve">Si quelqu’un indique correctement qu’un élément est une instance de </w:t>
            </w:r>
            <w:r>
              <w:rPr>
                <w:rFonts w:ascii="Consolas" w:eastAsia="Consolas" w:hAnsi="Consolas" w:cs="Consolas"/>
                <w:sz w:val="22"/>
                <w:szCs w:val="22"/>
                <w:shd w:val="clear" w:color="auto" w:fill="EAEEF3"/>
              </w:rPr>
              <w:t>E19_Objet_matériel</w:t>
            </w:r>
            <w:r>
              <w:t xml:space="preserve"> et que ce même élément est subséquemment qualifié de </w:t>
            </w:r>
            <w:r>
              <w:rPr>
                <w:rFonts w:ascii="Consolas" w:eastAsia="Consolas" w:hAnsi="Consolas" w:cs="Consolas"/>
                <w:sz w:val="22"/>
                <w:szCs w:val="22"/>
                <w:shd w:val="clear" w:color="auto" w:fill="EAEEF3"/>
              </w:rPr>
              <w:t>E20_Objet_biologique</w:t>
            </w:r>
            <w:r>
              <w:t xml:space="preserve">, le système ne devrait pas cesser de traiter cet élément comme une instance de </w:t>
            </w:r>
            <w:r>
              <w:rPr>
                <w:rFonts w:ascii="Consolas" w:eastAsia="Consolas" w:hAnsi="Consolas" w:cs="Consolas"/>
                <w:sz w:val="22"/>
                <w:szCs w:val="22"/>
                <w:shd w:val="clear" w:color="auto" w:fill="EAEEF3"/>
              </w:rPr>
              <w:t>E19_Objet_matériel</w:t>
            </w:r>
            <w:r>
              <w:t xml:space="preserve">, car </w:t>
            </w:r>
            <w:r>
              <w:rPr>
                <w:rFonts w:ascii="Consolas" w:eastAsia="Consolas" w:hAnsi="Consolas" w:cs="Consolas"/>
                <w:sz w:val="22"/>
                <w:szCs w:val="22"/>
                <w:shd w:val="clear" w:color="auto" w:fill="EAEEF3"/>
              </w:rPr>
              <w:t>E20_Objet_biologique</w:t>
            </w:r>
            <w:r>
              <w:t xml:space="preserve"> est une sous-classe de </w:t>
            </w:r>
            <w:r>
              <w:rPr>
                <w:rFonts w:ascii="Consolas" w:eastAsia="Consolas" w:hAnsi="Consolas" w:cs="Consolas"/>
                <w:sz w:val="22"/>
                <w:szCs w:val="22"/>
                <w:shd w:val="clear" w:color="auto" w:fill="EAEEF3"/>
              </w:rPr>
              <w:t>E19_Objet_matériel</w:t>
            </w:r>
            <w:r>
              <w:t>.</w:t>
            </w:r>
          </w:p>
          <w:p w14:paraId="11DE699B" w14:textId="77777777" w:rsidR="00BF18CF" w:rsidRDefault="00E51347">
            <w:r>
              <w:t xml:space="preserve">Cet exemple démontre en outre que la hiérarchie </w:t>
            </w:r>
            <w:r>
              <w:rPr>
                <w:rFonts w:ascii="Consolas" w:eastAsia="Consolas" w:hAnsi="Consolas" w:cs="Consolas"/>
                <w:sz w:val="22"/>
                <w:szCs w:val="22"/>
                <w:shd w:val="clear" w:color="auto" w:fill="EAEEF3"/>
              </w:rPr>
              <w:t>estUn</w:t>
            </w:r>
            <w:r>
              <w:t xml:space="preserve"> de classes et de propriétés peut rendre compte des étapes caractéristiques de précision des connaissances au sujet d’un élément tel qu’il se décline au fur et à mesure des processus d’investigation et de cueillette d’information et de contenus. Les classes de plus haut niveau peuvent ainsi être utilisées afin de classifier des objets dont les caractéristiques particulières ne sont pas initialement toutes connues ou recensées. Par exemple, un objet biologique dont la nature est incertaine peut d’abord être classifié comme </w:t>
            </w:r>
            <w:r>
              <w:rPr>
                <w:rFonts w:ascii="Consolas" w:eastAsia="Consolas" w:hAnsi="Consolas" w:cs="Consolas"/>
                <w:sz w:val="22"/>
                <w:szCs w:val="22"/>
                <w:shd w:val="clear" w:color="auto" w:fill="EAEEF3"/>
              </w:rPr>
              <w:t>E19_Objet_matériel</w:t>
            </w:r>
            <w:r>
              <w:t xml:space="preserve">, mais des investigations subséquentes peuvent établir qu’il s’agit en fait d’un </w:t>
            </w:r>
            <w:r>
              <w:rPr>
                <w:rFonts w:ascii="Consolas" w:eastAsia="Consolas" w:hAnsi="Consolas" w:cs="Consolas"/>
                <w:sz w:val="22"/>
                <w:szCs w:val="22"/>
                <w:shd w:val="clear" w:color="auto" w:fill="EAEEF3"/>
              </w:rPr>
              <w:t>E20_Objet_biologique</w:t>
            </w:r>
            <w:r>
              <w:t xml:space="preserve">. Une base de connaissances construite avec des classes CIDOC CRM conçues de manière à permettre une révision monotone rendra possible, dans un tel cas, une recherche des objets physiques qui [n.d.t. à un certain point de leur historique de documentation] n’étaient pas encore reconnus comme des objets biologiques. Cette capacité d’intégrer de l’information dont les niveaux de spécificité descriptive diffèrent est particulièrement importante dans le contexte d’une agrégation à large échelle. C’est aussi une pratique qui permet aux chercheurs d'intégrer dans un même système de l’information au sujet de divers phénomènes sans nécessiter une connaissance exhaustive ou minimale de l’objet [n.d.t. pour se concentrer sur celui-ci plutôt que sur l’acquisition de connaissances </w:t>
            </w:r>
            <w:r>
              <w:lastRenderedPageBreak/>
              <w:t>qui l’entourent]. Puisque l’intégration d’information à large échelle implique de facto des connaissances dont le niveau de précision varie, cette caractéristique est essentielle pour une intégration cohérente des données.</w:t>
            </w:r>
          </w:p>
          <w:p w14:paraId="1C860D51" w14:textId="77777777" w:rsidR="00BF18CF" w:rsidRDefault="00E51347">
            <w:r>
              <w:t xml:space="preserve">La </w:t>
            </w:r>
            <w:r>
              <w:rPr>
                <w:b/>
              </w:rPr>
              <w:t>troisième conséquence</w:t>
            </w:r>
            <w:r>
              <w:t xml:space="preserve"> de ce choix [n.d.t. d’une méthodologie monotone] est la nécessité d’une implémentation formelle illimitée (plusieurs à plusieurs) des propriétés recensant des enregistrements ou opinions alternatifs au sujet de phénomènes dans une base de connaissances, de telle sorte que des instances qui pourraient s’avérer conflictuelles s’accumulent [n.d.t. plutôt que d’établir des contradictions]. Ainsi, les bases de connaissances [n.d.t. où se retrouvent les informations et savoirs intégrés] peuvent être utilisées afin d’accumuler ou de recenser des opinions alternatives pertinentes au sujet d’un phénomène par l’utilisation d’entités sémantiques clairement définies alors que les constats experts ou conclusions sur ce même sujet [n.d.t. qui peuvent s’appuyer sur l’information trouvée dans ces bases de connaissances] relèvent de l’analyse scientifique ou experte.</w:t>
            </w:r>
          </w:p>
          <w:p w14:paraId="5DB9A421" w14:textId="77777777" w:rsidR="00BF18CF" w:rsidRDefault="00E51347">
            <w:r>
              <w:t>Par exemple :</w:t>
            </w:r>
          </w:p>
          <w:p w14:paraId="35DA7FAC" w14:textId="77777777" w:rsidR="00BF18CF" w:rsidRDefault="00E51347">
            <w:r>
              <w:t>Les évènements rythmant la vie du Roi Arthur font l’objet de beaucoup de spéculations et de désaccords [n.d.t. qui doivent néanmoins être recensés dans les bases de connaissances traitant de lui]. Le CIDOC CRM préconise un recensement selon la formule suivante :</w:t>
            </w:r>
          </w:p>
          <w:p w14:paraId="1A60C2BA" w14:textId="77777777" w:rsidR="00BF18CF" w:rsidRDefault="00E51347">
            <w:r>
              <w:t xml:space="preserve">Une fois recensé dans une base de connaissances, le Roi Arthur [n.d.t. en tant qu’individu] devrait être défini comme une instance de </w:t>
            </w:r>
            <w:r>
              <w:rPr>
                <w:rFonts w:ascii="Consolas" w:eastAsia="Consolas" w:hAnsi="Consolas" w:cs="Consolas"/>
                <w:sz w:val="22"/>
                <w:szCs w:val="22"/>
                <w:shd w:val="clear" w:color="auto" w:fill="EAEEF3"/>
              </w:rPr>
              <w:t>E21_Personne</w:t>
            </w:r>
            <w:r>
              <w:t xml:space="preserve"> et traité comme une figure historique ayant « réellement » existé (au regard de la discipline qu’est l’histoire et des discours qui la construisent). Cette instance de </w:t>
            </w:r>
            <w:r>
              <w:rPr>
                <w:rFonts w:ascii="Consolas" w:eastAsia="Consolas" w:hAnsi="Consolas" w:cs="Consolas"/>
                <w:sz w:val="22"/>
                <w:szCs w:val="22"/>
                <w:shd w:val="clear" w:color="auto" w:fill="EAEEF3"/>
              </w:rPr>
              <w:t>E21_Personne</w:t>
            </w:r>
            <w:r>
              <w:t xml:space="preserve"> devrait ainsi être utilisée afin de fédérer les possibles propriétés de l’existence de l’individu sachant que les opinions alternatives au sujet de ces propriétés (par exemple le lieu de naissance ou les endroits où il a résidé) devraient être recensés sans qu’un constat sur leur validité ne soit fait à l’étape de la compilation des données.</w:t>
            </w:r>
          </w:p>
          <w:p w14:paraId="0D1B19DD" w14:textId="77777777" w:rsidR="00BF18CF" w:rsidRDefault="00E51347">
            <w:r>
              <w:t xml:space="preserve">Le recensement du Roi Arthur à titre de figure mythologique [n.d.t. plutôt que comme individu historique] requiert pour sa part une instance de </w:t>
            </w:r>
            <w:r>
              <w:rPr>
                <w:rFonts w:ascii="Consolas" w:eastAsia="Consolas" w:hAnsi="Consolas" w:cs="Consolas"/>
                <w:sz w:val="22"/>
                <w:szCs w:val="22"/>
                <w:shd w:val="clear" w:color="auto" w:fill="EAEEF3"/>
              </w:rPr>
              <w:t>E28_Objet_conceptuel</w:t>
            </w:r>
            <w:r>
              <w:t xml:space="preserve"> qui permettra de recueillir les informations qui s’y rapportent.</w:t>
            </w:r>
          </w:p>
          <w:p w14:paraId="63BBE0EA" w14:textId="77777777" w:rsidR="00BF18CF" w:rsidRDefault="00E51347">
            <w:r>
              <w:t xml:space="preserve">La </w:t>
            </w:r>
            <w:r>
              <w:rPr>
                <w:b/>
              </w:rPr>
              <w:t>quatrième conséquence</w:t>
            </w:r>
            <w:r>
              <w:t xml:space="preserve"> de ce choix d’une méthodologie monotone [n.d.t. reposant sur l’hypothèse du monde ouvert] est la possibilité pour certaines propriétés de nature temporelle (telles que celles qui se rapportent au fait d’avoir des composantes, des propriétaires ou des localisations) de changer plusieurs fois en référence à un même élément au cours de son existence. Dans ce contexte, affirmer qu’une propriété est valide pour un élément implique qu’elle soit aussi valide pour un intervalle temporel particulier, mais indéterminé et situé dans le cours de l'existence de ce même élément. Il en résulte qu’un même élément puisse faire l’objet de nombreux énoncés affirmant l’instanciation d’une propriété sans que ceci ne soit conflictuel ou ne nécessite de révision. La collecte de tels énoncés résulterait ainsi en une agrégation des instances de cette propriété en tant qu’elle s’applique à l’entièreté de l’existence de l’élément. Si des informations temporelles plus spécifiques sont nécessaires ou disponibles, il est recommandé de décrire explicitement les évènements qui sous-tendent l’application d’une propriété à un élément.</w:t>
            </w:r>
          </w:p>
          <w:p w14:paraId="39B0629A" w14:textId="77777777" w:rsidR="00BF18CF" w:rsidRDefault="00E51347">
            <w:r>
              <w:t>Par exemple :</w:t>
            </w:r>
          </w:p>
          <w:p w14:paraId="3EC36F82" w14:textId="77777777" w:rsidR="00BF18CF" w:rsidRDefault="00E51347">
            <w:r>
              <w:t xml:space="preserve">Si un élément fait l’objet d’une acquisition ou d’une perte, une instance de </w:t>
            </w:r>
            <w:r>
              <w:rPr>
                <w:rFonts w:ascii="Consolas" w:eastAsia="Consolas" w:hAnsi="Consolas" w:cs="Consolas"/>
                <w:sz w:val="22"/>
                <w:szCs w:val="22"/>
                <w:shd w:val="clear" w:color="auto" w:fill="EAEEF3"/>
              </w:rPr>
              <w:t>E9_Déplacement</w:t>
            </w:r>
            <w:r>
              <w:t xml:space="preserve"> devrait être liée et déclarée. Une telle approche permet de maintenir la monotonicité du CIDOC CRM malgré un accroissement des connaissances au sujet de l’état d’un élément à différents moments, et ce indépendamment de leur chronologie.</w:t>
            </w:r>
          </w:p>
          <w:p w14:paraId="6A99A597" w14:textId="77777777" w:rsidR="00BF18CF" w:rsidRDefault="00E51347">
            <w:r>
              <w:lastRenderedPageBreak/>
              <w:t>Des propriétés temporellement neutres peuvent faire l’objet d’une spécialisation par des propriétés temporellement spécifiques dans le cadre d’extensions monotones futures, mais le contraire n’est pas possible. En outre, plusieurs propriétés du CIDOC CRM n’ont pas de composante temporelle ou sont déjà définies par rapport à des évènements précis [n.d.t. et celles-ci devraient être envisagées avant la création de nouvelles propriétés]. Le CIDOC CRM privilégie la modélisation de propriétés qui sont temporellement neutres et l’utilisation d’évènements pour représenter le changement.</w:t>
            </w:r>
          </w:p>
          <w:p w14:paraId="23728A1E" w14:textId="77777777" w:rsidR="00BF18CF" w:rsidRDefault="00E51347">
            <w:r>
              <w:t xml:space="preserve">Toutefois, dans le cas de certaines de ces propriétés, de nombreuses bases de données indiqueront parfois un statut « actuel » relatif à une autre propriété (p. ex. « localisation actuelle » ou « propriétaire actuel »). L’utilisation d’un tel état « actuel » implique que le responsable de la base de données en question soit garant de l’information en date de la dernière date statuant la validité des contenus. Cette information, évidemment, est de nature non monotone (c.-à-d. qu’elle doit être supprimée lorsque l’état de l’élément change). Afin de préserver malgré cela une forme (réduite) de monotonicité, de telles propriétés s’inscrivent dans les super-propriétés temporellement neutres qui permettent de reclassifier leurs instances dans l’éventualité où la validité de cette information échoit ou devient inconnue. Ainsi, l’usage de telles propriétés dans le cadre du CIDOC CRM n’est recommandé que lorsque leur maintien régulier et rigoureux peut être assuré, sans quoi ces propriétés devraient être reclassifiées en faveur de leur </w:t>
            </w:r>
            <w:hyperlink r:id="rId328" w:anchor="super-propriete">
              <w:r>
                <w:rPr>
                  <w:color w:val="4F81BD"/>
                </w:rPr>
                <w:t>super-propriétés</w:t>
              </w:r>
            </w:hyperlink>
            <w:r>
              <w:t xml:space="preserve"> temporellement neutres; cette pratique s’applique notamment lors de l’exportation de données vers des répertoires autres (voir </w:t>
            </w:r>
            <w:hyperlink r:id="rId329" w:anchor="de-lauctorialite-des-contenus-dune-base-de-connaissances">
              <w:r>
                <w:rPr>
                  <w:color w:val="4F81BD"/>
                </w:rPr>
                <w:t>De l’auctorialité des contenus d’une base de connaissances</w:t>
              </w:r>
            </w:hyperlink>
            <w:r>
              <w:t>).</w:t>
            </w:r>
          </w:p>
        </w:tc>
      </w:tr>
    </w:tbl>
    <w:p w14:paraId="5BA7753D" w14:textId="77777777" w:rsidR="00BF18CF" w:rsidRDefault="00BF18CF"/>
    <w:tbl>
      <w:tblPr>
        <w:tblStyle w:val="a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377"/>
        <w:gridCol w:w="9313"/>
      </w:tblGrid>
      <w:tr w:rsidR="00BF18CF" w14:paraId="5AD0E6B3" w14:textId="77777777" w:rsidTr="00BF18CF">
        <w:tc>
          <w:tcPr>
            <w:tcW w:w="1377" w:type="dxa"/>
          </w:tcPr>
          <w:p w14:paraId="4249987A" w14:textId="53BE43C2" w:rsidR="00BF18CF" w:rsidRDefault="00F27208">
            <w:r>
              <w:rPr>
                <w:i/>
              </w:rPr>
              <w:t>Note de traduction</w:t>
            </w:r>
          </w:p>
        </w:tc>
        <w:tc>
          <w:tcPr>
            <w:tcW w:w="9313" w:type="dxa"/>
          </w:tcPr>
          <w:p w14:paraId="1C6B48B4" w14:textId="77777777" w:rsidR="00BF18CF" w:rsidRDefault="00E51347">
            <w:r>
              <w:t>Certains paragraphes ont été édités dans la version francophone à des fins de compréhension. Les sections concernées sont indiquées de [n.d.t. texte concerné].</w:t>
            </w:r>
          </w:p>
        </w:tc>
      </w:tr>
      <w:tr w:rsidR="00BF18CF" w14:paraId="2E7B6432" w14:textId="77777777" w:rsidTr="00BF18CF">
        <w:tc>
          <w:tcPr>
            <w:tcW w:w="1377" w:type="dxa"/>
          </w:tcPr>
          <w:p w14:paraId="1B2F3B8B" w14:textId="77777777" w:rsidR="00BF18CF" w:rsidRDefault="00E51347">
            <w:r>
              <w:rPr>
                <w:i/>
              </w:rPr>
              <w:t>Références</w:t>
            </w:r>
          </w:p>
        </w:tc>
        <w:tc>
          <w:tcPr>
            <w:tcW w:w="9313" w:type="dxa"/>
          </w:tcPr>
          <w:p w14:paraId="7E0C0727" w14:textId="77777777" w:rsidR="00BF18CF" w:rsidRDefault="00E51347">
            <w:r>
              <w:t xml:space="preserve">Wikipédia. « Monotonie ». Dans </w:t>
            </w:r>
            <w:r>
              <w:rPr>
                <w:i/>
              </w:rPr>
              <w:t>Wikipédia</w:t>
            </w:r>
            <w:r>
              <w:t>. San Francisco, US-CA: Wikipédia, 19 février 2017.</w:t>
            </w:r>
            <w:hyperlink r:id="rId330">
              <w:r>
                <w:rPr>
                  <w:color w:val="4F81BD"/>
                </w:rPr>
                <w:t xml:space="preserve"> https://fr.wikipedia.org/w/index.php?title=Monotonie&amp;oldid=134697868</w:t>
              </w:r>
            </w:hyperlink>
            <w:r>
              <w:t>.</w:t>
            </w:r>
          </w:p>
        </w:tc>
      </w:tr>
    </w:tbl>
    <w:p w14:paraId="4EBFA3E9" w14:textId="77777777" w:rsidR="00BF18CF" w:rsidRDefault="00E51347">
      <w:pPr>
        <w:pStyle w:val="Heading2"/>
      </w:pPr>
      <w:bookmarkStart w:id="71" w:name="bookmark=id.46r0co2" w:colFirst="0" w:colLast="0"/>
      <w:bookmarkStart w:id="72" w:name="_Toc144360779"/>
      <w:bookmarkEnd w:id="71"/>
      <w:r>
        <w:t>De la disjonction</w:t>
      </w:r>
      <w:bookmarkEnd w:id="72"/>
    </w:p>
    <w:tbl>
      <w:tblPr>
        <w:tblStyle w:val="a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25A8C26A" w14:textId="77777777" w:rsidTr="00BF18CF">
        <w:tc>
          <w:tcPr>
            <w:tcW w:w="10690" w:type="dxa"/>
          </w:tcPr>
          <w:p w14:paraId="29000201" w14:textId="77777777" w:rsidR="00BF18CF" w:rsidRDefault="00E51347">
            <w:r>
              <w:t xml:space="preserve">Des </w:t>
            </w:r>
            <w:hyperlink r:id="rId331" w:anchor="classe">
              <w:r>
                <w:rPr>
                  <w:color w:val="4F81BD"/>
                </w:rPr>
                <w:t>classes</w:t>
              </w:r>
            </w:hyperlink>
            <w:r>
              <w:t xml:space="preserve"> qui ne peuvent pas partager </w:t>
            </w:r>
            <w:hyperlink r:id="rId332" w:anchor="instance">
              <w:r>
                <w:rPr>
                  <w:color w:val="4F81BD"/>
                </w:rPr>
                <w:t>d’instances</w:t>
              </w:r>
            </w:hyperlink>
            <w:r>
              <w:t xml:space="preserve"> à quelque moment que ce soit (par le passé, dans le présent ou dans le futur) sont qualifiées de </w:t>
            </w:r>
            <w:hyperlink r:id="rId333" w:anchor="disjointe">
              <w:r>
                <w:rPr>
                  <w:b/>
                  <w:color w:val="4F81BD"/>
                </w:rPr>
                <w:t>disjointes</w:t>
              </w:r>
            </w:hyperlink>
            <w:r>
              <w:t xml:space="preserve">. Un élément ne peut pas être instancié avec une combinaison de classes qui sont mutuellement disjointes ou qui sont des </w:t>
            </w:r>
            <w:hyperlink r:id="rId334" w:anchor="sous-classe">
              <w:r>
                <w:rPr>
                  <w:color w:val="4F81BD"/>
                </w:rPr>
                <w:t>sous-classes</w:t>
              </w:r>
            </w:hyperlink>
            <w:r>
              <w:t xml:space="preserve"> de </w:t>
            </w:r>
            <w:hyperlink r:id="rId335" w:anchor="super-classe">
              <w:r>
                <w:rPr>
                  <w:color w:val="4F81BD"/>
                </w:rPr>
                <w:t>super-classes</w:t>
              </w:r>
            </w:hyperlink>
            <w:r>
              <w:t xml:space="preserve"> mutuellement disjointes (voir « </w:t>
            </w:r>
            <w:hyperlink r:id="rId336" w:anchor="instanciation-multiple">
              <w:r>
                <w:rPr>
                  <w:color w:val="4F81BD"/>
                </w:rPr>
                <w:t>Instanciation multiple</w:t>
              </w:r>
            </w:hyperlink>
            <w:r>
              <w:t xml:space="preserve"> » dans la section </w:t>
            </w:r>
            <w:hyperlink r:id="rId337">
              <w:r>
                <w:rPr>
                  <w:color w:val="4F81BD"/>
                </w:rPr>
                <w:t>Terminologie</w:t>
              </w:r>
            </w:hyperlink>
            <w:r>
              <w:t>).</w:t>
            </w:r>
          </w:p>
          <w:p w14:paraId="0059AA79" w14:textId="77777777" w:rsidR="00BF18CF" w:rsidRDefault="00E51347">
            <w:r>
              <w:t>Il y a de nombreuses paires de classes disjointes dans le CIDOC CRM et une déclaration exhaustive de toutes les combinaisons possibles de celles-ci n’aurait qu’une utilité pratique limitée, en plus d’entrer en conflit avec l’objectif du CIDOC CRM d’offrir des définitions concises, de sorte qu’une telle liste n’est pas recensée ici. Deux exemples emblématiques de disjonction de classes sont néanmoins essentiels à une bonne compréhension du CIDOC CRM :</w:t>
            </w:r>
          </w:p>
          <w:p w14:paraId="0AED89B9" w14:textId="77777777" w:rsidR="00BF18CF" w:rsidRDefault="00E51347">
            <w:pPr>
              <w:numPr>
                <w:ilvl w:val="0"/>
                <w:numId w:val="31"/>
              </w:numPr>
            </w:pPr>
            <w:r>
              <w:rPr>
                <w:rFonts w:ascii="Consolas" w:eastAsia="Consolas" w:hAnsi="Consolas" w:cs="Consolas"/>
                <w:sz w:val="22"/>
                <w:szCs w:val="22"/>
                <w:shd w:val="clear" w:color="auto" w:fill="EAEEF3"/>
              </w:rPr>
              <w:t>E2_Entité_temporelle</w:t>
            </w:r>
            <w:r>
              <w:t xml:space="preserve"> est disjoint de </w:t>
            </w:r>
            <w:r>
              <w:rPr>
                <w:rFonts w:ascii="Consolas" w:eastAsia="Consolas" w:hAnsi="Consolas" w:cs="Consolas"/>
                <w:sz w:val="22"/>
                <w:szCs w:val="22"/>
                <w:shd w:val="clear" w:color="auto" w:fill="EAEEF3"/>
              </w:rPr>
              <w:t>E77_Entité_persistante</w:t>
            </w:r>
            <w:r>
              <w:t xml:space="preserve"> : les instances de la classe </w:t>
            </w:r>
            <w:r>
              <w:rPr>
                <w:rFonts w:ascii="Consolas" w:eastAsia="Consolas" w:hAnsi="Consolas" w:cs="Consolas"/>
                <w:sz w:val="22"/>
                <w:szCs w:val="22"/>
                <w:shd w:val="clear" w:color="auto" w:fill="EAEEF3"/>
              </w:rPr>
              <w:t>E2_Entité_temporelle</w:t>
            </w:r>
            <w:r>
              <w:t xml:space="preserve"> sont perdurantes alors que les instances de </w:t>
            </w:r>
            <w:r>
              <w:rPr>
                <w:rFonts w:ascii="Consolas" w:eastAsia="Consolas" w:hAnsi="Consolas" w:cs="Consolas"/>
                <w:sz w:val="22"/>
                <w:szCs w:val="22"/>
                <w:shd w:val="clear" w:color="auto" w:fill="EAEEF3"/>
              </w:rPr>
              <w:t>E77_Entité_persistante</w:t>
            </w:r>
            <w:r>
              <w:t xml:space="preserve"> sont endurantes. Même si les instances de </w:t>
            </w:r>
            <w:r>
              <w:rPr>
                <w:rFonts w:ascii="Consolas" w:eastAsia="Consolas" w:hAnsi="Consolas" w:cs="Consolas"/>
                <w:sz w:val="22"/>
                <w:szCs w:val="22"/>
                <w:shd w:val="clear" w:color="auto" w:fill="EAEEF3"/>
              </w:rPr>
              <w:t>E77_Entité_persistante</w:t>
            </w:r>
            <w:r>
              <w:t xml:space="preserve"> ont une existence temporellement limitée, elles sont d’une nature fondamentalement différente des instances de </w:t>
            </w:r>
            <w:r>
              <w:rPr>
                <w:rFonts w:ascii="Consolas" w:eastAsia="Consolas" w:hAnsi="Consolas" w:cs="Consolas"/>
                <w:sz w:val="22"/>
                <w:szCs w:val="22"/>
                <w:shd w:val="clear" w:color="auto" w:fill="EAEEF3"/>
              </w:rPr>
              <w:t>E2_Entité_temporelle</w:t>
            </w:r>
            <w:r>
              <w:t>, car elles préservent leur identité d’un évènement à un autre. La disjonction de classes endurantes et perdurantes s’aligne à cet égard avec les distinctions structurelles des ensembles de données du domaine d’application du CIDOC CRM.</w:t>
            </w:r>
          </w:p>
          <w:p w14:paraId="55C946AA" w14:textId="77777777" w:rsidR="00BF18CF" w:rsidRDefault="00E51347">
            <w:pPr>
              <w:numPr>
                <w:ilvl w:val="0"/>
                <w:numId w:val="31"/>
              </w:numPr>
            </w:pPr>
            <w:r>
              <w:rPr>
                <w:rFonts w:ascii="Consolas" w:eastAsia="Consolas" w:hAnsi="Consolas" w:cs="Consolas"/>
                <w:sz w:val="22"/>
                <w:szCs w:val="22"/>
                <w:shd w:val="clear" w:color="auto" w:fill="EAEEF3"/>
              </w:rPr>
              <w:t>E18_Chose_matérielle</w:t>
            </w:r>
            <w:r>
              <w:t xml:space="preserve"> est disjoint de </w:t>
            </w:r>
            <w:r>
              <w:rPr>
                <w:rFonts w:ascii="Consolas" w:eastAsia="Consolas" w:hAnsi="Consolas" w:cs="Consolas"/>
                <w:sz w:val="22"/>
                <w:szCs w:val="22"/>
                <w:shd w:val="clear" w:color="auto" w:fill="EAEEF3"/>
              </w:rPr>
              <w:t>E28_Objet_conceptuel</w:t>
            </w:r>
            <w:r>
              <w:t xml:space="preserve"> : les instances de la classe </w:t>
            </w:r>
            <w:r>
              <w:rPr>
                <w:rFonts w:ascii="Consolas" w:eastAsia="Consolas" w:hAnsi="Consolas" w:cs="Consolas"/>
                <w:sz w:val="22"/>
                <w:szCs w:val="22"/>
                <w:shd w:val="clear" w:color="auto" w:fill="EAEEF3"/>
              </w:rPr>
              <w:t>E18_Chose_matérielle</w:t>
            </w:r>
            <w:r>
              <w:t xml:space="preserve"> sont de nature physique alors que les instances de la classe </w:t>
            </w:r>
            <w:r>
              <w:rPr>
                <w:rFonts w:ascii="Consolas" w:eastAsia="Consolas" w:hAnsi="Consolas" w:cs="Consolas"/>
                <w:sz w:val="22"/>
                <w:szCs w:val="22"/>
                <w:shd w:val="clear" w:color="auto" w:fill="EAEEF3"/>
              </w:rPr>
              <w:lastRenderedPageBreak/>
              <w:t>E28_Objet_conceptuel</w:t>
            </w:r>
            <w:r>
              <w:t xml:space="preserve"> sont de nature immatérielle et sont exclusivement élaborées par l’humain. Elles diffèrent fondamentalement, notamment en raison du fait que la production d’instances de </w:t>
            </w:r>
            <w:r>
              <w:rPr>
                <w:rFonts w:ascii="Consolas" w:eastAsia="Consolas" w:hAnsi="Consolas" w:cs="Consolas"/>
                <w:sz w:val="22"/>
                <w:szCs w:val="22"/>
                <w:shd w:val="clear" w:color="auto" w:fill="EAEEF3"/>
              </w:rPr>
              <w:t>E18_Chose_matérielle</w:t>
            </w:r>
            <w:r>
              <w:t xml:space="preserve"> implique des matériaux physiques alors que ce n’est pas le cas de la production d’instances de </w:t>
            </w:r>
            <w:r>
              <w:rPr>
                <w:rFonts w:ascii="Consolas" w:eastAsia="Consolas" w:hAnsi="Consolas" w:cs="Consolas"/>
                <w:sz w:val="22"/>
                <w:szCs w:val="22"/>
                <w:shd w:val="clear" w:color="auto" w:fill="EAEEF3"/>
              </w:rPr>
              <w:t>E28_Objet_conceptuel</w:t>
            </w:r>
            <w:r>
              <w:t xml:space="preserve">. De la même manière, les instances de </w:t>
            </w:r>
            <w:r>
              <w:rPr>
                <w:rFonts w:ascii="Consolas" w:eastAsia="Consolas" w:hAnsi="Consolas" w:cs="Consolas"/>
                <w:sz w:val="22"/>
                <w:szCs w:val="22"/>
                <w:shd w:val="clear" w:color="auto" w:fill="EAEEF3"/>
              </w:rPr>
              <w:t>E18_Chose_matérielle</w:t>
            </w:r>
            <w:r>
              <w:t xml:space="preserve"> cessent d’exister lorsqu’elles sont détruites alors que les instances de </w:t>
            </w:r>
            <w:r>
              <w:rPr>
                <w:rFonts w:ascii="Consolas" w:eastAsia="Consolas" w:hAnsi="Consolas" w:cs="Consolas"/>
                <w:sz w:val="22"/>
                <w:szCs w:val="22"/>
                <w:shd w:val="clear" w:color="auto" w:fill="EAEEF3"/>
              </w:rPr>
              <w:t>E28_Objet_conceptuel</w:t>
            </w:r>
            <w:r>
              <w:t xml:space="preserve"> s’éteignent lorsqu’elles sont oubliées ou que leur support physique est détruit.</w:t>
            </w:r>
          </w:p>
        </w:tc>
      </w:tr>
    </w:tbl>
    <w:p w14:paraId="56371ED1" w14:textId="77777777" w:rsidR="00BF18CF" w:rsidRDefault="00BF18CF"/>
    <w:tbl>
      <w:tblPr>
        <w:tblStyle w:val="aff5"/>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137773AC" w14:textId="77777777" w:rsidTr="00BF18CF">
        <w:tc>
          <w:tcPr>
            <w:tcW w:w="1828" w:type="dxa"/>
          </w:tcPr>
          <w:p w14:paraId="1BA62E9D" w14:textId="6B401D8A" w:rsidR="00BF18CF" w:rsidRDefault="00F27208">
            <w:r>
              <w:rPr>
                <w:i/>
              </w:rPr>
              <w:t>Note de traduction</w:t>
            </w:r>
          </w:p>
        </w:tc>
        <w:tc>
          <w:tcPr>
            <w:tcW w:w="8867" w:type="dxa"/>
          </w:tcPr>
          <w:p w14:paraId="51570C15" w14:textId="77777777" w:rsidR="00BF18CF" w:rsidRDefault="00BF18CF">
            <w:pPr>
              <w:pBdr>
                <w:top w:val="nil"/>
                <w:left w:val="nil"/>
                <w:bottom w:val="nil"/>
                <w:right w:val="nil"/>
                <w:between w:val="nil"/>
              </w:pBdr>
              <w:spacing w:before="36" w:after="36"/>
              <w:rPr>
                <w:color w:val="000000"/>
              </w:rPr>
            </w:pPr>
          </w:p>
        </w:tc>
      </w:tr>
      <w:tr w:rsidR="00BF18CF" w14:paraId="2428F671" w14:textId="77777777" w:rsidTr="00BF18CF">
        <w:tc>
          <w:tcPr>
            <w:tcW w:w="1828" w:type="dxa"/>
          </w:tcPr>
          <w:p w14:paraId="689D527E" w14:textId="77777777" w:rsidR="00BF18CF" w:rsidRDefault="00E51347">
            <w:r>
              <w:rPr>
                <w:i/>
              </w:rPr>
              <w:t>Références</w:t>
            </w:r>
          </w:p>
        </w:tc>
        <w:tc>
          <w:tcPr>
            <w:tcW w:w="8867" w:type="dxa"/>
          </w:tcPr>
          <w:p w14:paraId="767290C6" w14:textId="77777777" w:rsidR="00BF18CF" w:rsidRDefault="00BF18CF">
            <w:pPr>
              <w:pBdr>
                <w:top w:val="nil"/>
                <w:left w:val="nil"/>
                <w:bottom w:val="nil"/>
                <w:right w:val="nil"/>
                <w:between w:val="nil"/>
              </w:pBdr>
              <w:spacing w:before="36" w:after="36"/>
              <w:rPr>
                <w:color w:val="000000"/>
              </w:rPr>
            </w:pPr>
          </w:p>
        </w:tc>
      </w:tr>
    </w:tbl>
    <w:p w14:paraId="5282FFED" w14:textId="77777777" w:rsidR="00BF18CF" w:rsidRDefault="00E51347">
      <w:pPr>
        <w:pStyle w:val="Heading2"/>
      </w:pPr>
      <w:bookmarkStart w:id="73" w:name="bookmark=id.2lwamvv" w:colFirst="0" w:colLast="0"/>
      <w:bookmarkStart w:id="74" w:name="_Toc144360780"/>
      <w:bookmarkEnd w:id="73"/>
      <w:r>
        <w:t>De l’héritage et de la transitivité</w:t>
      </w:r>
      <w:bookmarkEnd w:id="74"/>
    </w:p>
    <w:tbl>
      <w:tblPr>
        <w:tblStyle w:val="a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7408349D" w14:textId="77777777" w:rsidTr="00BF18CF">
        <w:tc>
          <w:tcPr>
            <w:tcW w:w="10690" w:type="dxa"/>
          </w:tcPr>
          <w:p w14:paraId="06A10DC1" w14:textId="77777777" w:rsidR="00BF18CF" w:rsidRDefault="00E51347">
            <w:r>
              <w:t xml:space="preserve">Le CIDOC CRM est un système de </w:t>
            </w:r>
            <w:hyperlink r:id="rId338" w:anchor="classe">
              <w:r>
                <w:rPr>
                  <w:color w:val="4F81BD"/>
                </w:rPr>
                <w:t>classe</w:t>
              </w:r>
            </w:hyperlink>
            <w:r>
              <w:t xml:space="preserve"> dotées </w:t>
            </w:r>
            <w:hyperlink r:id="rId339" w:anchor="heritage">
              <w:r>
                <w:rPr>
                  <w:color w:val="4F81BD"/>
                </w:rPr>
                <w:t>d’héritage</w:t>
              </w:r>
            </w:hyperlink>
            <w:r>
              <w:t xml:space="preserve">, de telle manière qu’une </w:t>
            </w:r>
            <w:hyperlink r:id="rId340" w:anchor="propriete">
              <w:r>
                <w:rPr>
                  <w:color w:val="4F81BD"/>
                </w:rPr>
                <w:t>propriété</w:t>
              </w:r>
            </w:hyperlink>
            <w:r>
              <w:t xml:space="preserve"> </w:t>
            </w:r>
            <w:r>
              <w:rPr>
                <w:rFonts w:ascii="Consolas" w:eastAsia="Consolas" w:hAnsi="Consolas" w:cs="Consolas"/>
                <w:sz w:val="22"/>
                <w:szCs w:val="22"/>
                <w:shd w:val="clear" w:color="auto" w:fill="EAEEF3"/>
              </w:rPr>
              <w:t>P</w:t>
            </w:r>
            <w:r>
              <w:t xml:space="preserve"> ayant pour </w:t>
            </w:r>
            <w:hyperlink r:id="rId341" w:anchor="domaine">
              <w:r>
                <w:rPr>
                  <w:color w:val="4F81BD"/>
                </w:rPr>
                <w:t>domaine</w:t>
              </w:r>
            </w:hyperlink>
            <w:r>
              <w:t xml:space="preserve"> </w:t>
            </w:r>
            <w:r>
              <w:rPr>
                <w:rFonts w:ascii="Consolas" w:eastAsia="Consolas" w:hAnsi="Consolas" w:cs="Consolas"/>
                <w:sz w:val="22"/>
                <w:szCs w:val="22"/>
                <w:shd w:val="clear" w:color="auto" w:fill="EAEEF3"/>
              </w:rPr>
              <w:t>A</w:t>
            </w:r>
            <w:r>
              <w:t xml:space="preserve"> et pour </w:t>
            </w:r>
            <w:hyperlink r:id="rId342" w:anchor="portee">
              <w:r>
                <w:rPr>
                  <w:color w:val="4F81BD"/>
                </w:rPr>
                <w:t>portée</w:t>
              </w:r>
            </w:hyperlink>
            <w:r>
              <w:t xml:space="preserve"> </w:t>
            </w:r>
            <w:r>
              <w:rPr>
                <w:rFonts w:ascii="Consolas" w:eastAsia="Consolas" w:hAnsi="Consolas" w:cs="Consolas"/>
                <w:sz w:val="22"/>
                <w:szCs w:val="22"/>
                <w:shd w:val="clear" w:color="auto" w:fill="EAEEF3"/>
              </w:rPr>
              <w:t>B</w:t>
            </w:r>
            <w:r>
              <w:t xml:space="preserve"> sera aussi une propriété potentielle de toutes les </w:t>
            </w:r>
            <w:hyperlink r:id="rId343" w:anchor="sous-classe">
              <w:r>
                <w:rPr>
                  <w:color w:val="4F81BD"/>
                </w:rPr>
                <w:t>sous-classe</w:t>
              </w:r>
            </w:hyperlink>
            <w:r>
              <w:t xml:space="preserve">s de </w:t>
            </w:r>
            <w:r>
              <w:rPr>
                <w:rFonts w:ascii="Consolas" w:eastAsia="Consolas" w:hAnsi="Consolas" w:cs="Consolas"/>
                <w:sz w:val="22"/>
                <w:szCs w:val="22"/>
                <w:shd w:val="clear" w:color="auto" w:fill="EAEEF3"/>
              </w:rPr>
              <w:t>A</w:t>
            </w:r>
            <w:r>
              <w:t xml:space="preserve"> et de </w:t>
            </w:r>
            <w:r>
              <w:rPr>
                <w:rFonts w:ascii="Consolas" w:eastAsia="Consolas" w:hAnsi="Consolas" w:cs="Consolas"/>
                <w:sz w:val="22"/>
                <w:szCs w:val="22"/>
                <w:shd w:val="clear" w:color="auto" w:fill="EAEEF3"/>
              </w:rPr>
              <w:t>B</w:t>
            </w:r>
            <w:r>
              <w:t>. Dans la plupart des cas, il y aura une sous-classe commune (</w:t>
            </w:r>
            <w:r>
              <w:rPr>
                <w:rFonts w:ascii="Consolas" w:eastAsia="Consolas" w:hAnsi="Consolas" w:cs="Consolas"/>
                <w:sz w:val="22"/>
                <w:szCs w:val="22"/>
                <w:shd w:val="clear" w:color="auto" w:fill="EAEEF3"/>
              </w:rPr>
              <w:t>C</w:t>
            </w:r>
            <w:r>
              <w:t xml:space="preserve">) de </w:t>
            </w:r>
            <w:r>
              <w:rPr>
                <w:rFonts w:ascii="Consolas" w:eastAsia="Consolas" w:hAnsi="Consolas" w:cs="Consolas"/>
                <w:sz w:val="22"/>
                <w:szCs w:val="22"/>
                <w:shd w:val="clear" w:color="auto" w:fill="EAEEF3"/>
              </w:rPr>
              <w:t>A</w:t>
            </w:r>
            <w:r>
              <w:t xml:space="preserve"> et de </w:t>
            </w:r>
            <w:r>
              <w:rPr>
                <w:rFonts w:ascii="Consolas" w:eastAsia="Consolas" w:hAnsi="Consolas" w:cs="Consolas"/>
                <w:sz w:val="22"/>
                <w:szCs w:val="22"/>
                <w:shd w:val="clear" w:color="auto" w:fill="EAEEF3"/>
              </w:rPr>
              <w:t>B</w:t>
            </w:r>
            <w:r>
              <w:t xml:space="preserve">. Si c’est le cas, une propriété restreinte à </w:t>
            </w:r>
            <w:r>
              <w:rPr>
                <w:rFonts w:ascii="Consolas" w:eastAsia="Consolas" w:hAnsi="Consolas" w:cs="Consolas"/>
                <w:sz w:val="22"/>
                <w:szCs w:val="22"/>
                <w:shd w:val="clear" w:color="auto" w:fill="EAEEF3"/>
              </w:rPr>
              <w:t>C</w:t>
            </w:r>
            <w:r>
              <w:t xml:space="preserve"> (c.-à-d. une propriété ayant </w:t>
            </w:r>
            <w:r>
              <w:rPr>
                <w:rFonts w:ascii="Consolas" w:eastAsia="Consolas" w:hAnsi="Consolas" w:cs="Consolas"/>
                <w:sz w:val="22"/>
                <w:szCs w:val="22"/>
                <w:shd w:val="clear" w:color="auto" w:fill="EAEEF3"/>
              </w:rPr>
              <w:t>C</w:t>
            </w:r>
            <w:r>
              <w:t xml:space="preserve"> pour domaine et pour portée) pourrait être </w:t>
            </w:r>
            <w:hyperlink r:id="rId344" w:anchor="transitive">
              <w:r>
                <w:rPr>
                  <w:color w:val="4F81BD"/>
                </w:rPr>
                <w:t>transitive</w:t>
              </w:r>
            </w:hyperlink>
            <w:r>
              <w:t xml:space="preserve">. Par exemple, un </w:t>
            </w:r>
            <w:r>
              <w:rPr>
                <w:rFonts w:ascii="Consolas" w:eastAsia="Consolas" w:hAnsi="Consolas" w:cs="Consolas"/>
                <w:sz w:val="22"/>
                <w:szCs w:val="22"/>
                <w:shd w:val="clear" w:color="auto" w:fill="EAEEF3"/>
              </w:rPr>
              <w:t>E73_Objet_informationnel</w:t>
            </w:r>
            <w:r>
              <w:t xml:space="preserve"> peut faire partie d’un </w:t>
            </w:r>
            <w:r>
              <w:rPr>
                <w:rFonts w:ascii="Consolas" w:eastAsia="Consolas" w:hAnsi="Consolas" w:cs="Consolas"/>
                <w:sz w:val="22"/>
                <w:szCs w:val="22"/>
                <w:shd w:val="clear" w:color="auto" w:fill="EAEEF3"/>
              </w:rPr>
              <w:t>E90_Objet_symbolique</w:t>
            </w:r>
            <w:r>
              <w:t xml:space="preserve">, de telle sorte qu’un objet informationnel peut s’intégrer à un autre objet informationnel [n.d.t. puisqu’un </w:t>
            </w:r>
            <w:r>
              <w:rPr>
                <w:rFonts w:ascii="Consolas" w:eastAsia="Consolas" w:hAnsi="Consolas" w:cs="Consolas"/>
                <w:sz w:val="22"/>
                <w:szCs w:val="22"/>
                <w:shd w:val="clear" w:color="auto" w:fill="EAEEF3"/>
              </w:rPr>
              <w:t>E90_Objet_symbolique</w:t>
            </w:r>
            <w:r>
              <w:t xml:space="preserve"> est un </w:t>
            </w:r>
            <w:r>
              <w:rPr>
                <w:rFonts w:ascii="Consolas" w:eastAsia="Consolas" w:hAnsi="Consolas" w:cs="Consolas"/>
                <w:sz w:val="22"/>
                <w:szCs w:val="22"/>
                <w:shd w:val="clear" w:color="auto" w:fill="EAEEF3"/>
              </w:rPr>
              <w:t>E73_Objet_informationnel</w:t>
            </w:r>
            <w:r>
              <w:t>].</w:t>
            </w:r>
          </w:p>
          <w:p w14:paraId="6B9952BE" w14:textId="77777777" w:rsidR="00BF18CF" w:rsidRDefault="00E51347">
            <w:r>
              <w:t xml:space="preserve">Les propriétés transitives sont explicitement indiquées comme telles dans les </w:t>
            </w:r>
            <w:hyperlink r:id="rId345" w:anchor="note-dapplication">
              <w:r>
                <w:rPr>
                  <w:color w:val="4F81BD"/>
                </w:rPr>
                <w:t>notes d’application</w:t>
              </w:r>
            </w:hyperlink>
            <w:r>
              <w:t xml:space="preserve"> du CIDOC CRM, si bien que les propriétés dénuées de cette mention doivent être considérées comme non transitives.</w:t>
            </w:r>
          </w:p>
        </w:tc>
      </w:tr>
    </w:tbl>
    <w:p w14:paraId="79D752F5" w14:textId="77777777" w:rsidR="00BF18CF" w:rsidRDefault="00BF18CF"/>
    <w:tbl>
      <w:tblPr>
        <w:tblStyle w:val="a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562"/>
        <w:gridCol w:w="9128"/>
      </w:tblGrid>
      <w:tr w:rsidR="00BF18CF" w14:paraId="0424C3DC" w14:textId="77777777" w:rsidTr="00BF18CF">
        <w:tc>
          <w:tcPr>
            <w:tcW w:w="1562" w:type="dxa"/>
          </w:tcPr>
          <w:p w14:paraId="54967ECF" w14:textId="1FFB9D41" w:rsidR="00BF18CF" w:rsidRDefault="00F27208">
            <w:r>
              <w:rPr>
                <w:i/>
              </w:rPr>
              <w:t>Note de traduction</w:t>
            </w:r>
          </w:p>
        </w:tc>
        <w:tc>
          <w:tcPr>
            <w:tcW w:w="9128" w:type="dxa"/>
          </w:tcPr>
          <w:p w14:paraId="2C8BA424" w14:textId="77777777" w:rsidR="00BF18CF" w:rsidRDefault="00E51347">
            <w:r>
              <w:t>Certains paragraphes ont été édités dans la version francophone à des fins de compréhension. Les sections concernées sont indiquées de [n.d.t. texte concerné].</w:t>
            </w:r>
          </w:p>
        </w:tc>
      </w:tr>
      <w:tr w:rsidR="00BF18CF" w14:paraId="7472F96E" w14:textId="77777777" w:rsidTr="00BF18CF">
        <w:tc>
          <w:tcPr>
            <w:tcW w:w="1562" w:type="dxa"/>
          </w:tcPr>
          <w:p w14:paraId="117A8D0A" w14:textId="77777777" w:rsidR="00BF18CF" w:rsidRDefault="00E51347">
            <w:r>
              <w:rPr>
                <w:i/>
              </w:rPr>
              <w:t>Références</w:t>
            </w:r>
          </w:p>
        </w:tc>
        <w:tc>
          <w:tcPr>
            <w:tcW w:w="9128" w:type="dxa"/>
          </w:tcPr>
          <w:p w14:paraId="2581825D" w14:textId="77777777" w:rsidR="00BF18CF" w:rsidRDefault="00BF18CF">
            <w:pPr>
              <w:pBdr>
                <w:top w:val="nil"/>
                <w:left w:val="nil"/>
                <w:bottom w:val="nil"/>
                <w:right w:val="nil"/>
                <w:between w:val="nil"/>
              </w:pBdr>
              <w:spacing w:before="36" w:after="36"/>
              <w:rPr>
                <w:color w:val="000000"/>
              </w:rPr>
            </w:pPr>
          </w:p>
        </w:tc>
      </w:tr>
    </w:tbl>
    <w:p w14:paraId="79D7F462" w14:textId="77777777" w:rsidR="00BF18CF" w:rsidRDefault="00E51347">
      <w:pPr>
        <w:pStyle w:val="Heading1"/>
      </w:pPr>
      <w:bookmarkStart w:id="75" w:name="bookmark=id.111kx3o" w:colFirst="0" w:colLast="0"/>
      <w:bookmarkStart w:id="76" w:name="_Toc144360781"/>
      <w:bookmarkEnd w:id="75"/>
      <w:r>
        <w:t>Introduction aux concepts fondamentaux</w:t>
      </w:r>
      <w:bookmarkEnd w:id="76"/>
    </w:p>
    <w:tbl>
      <w:tblPr>
        <w:tblStyle w:val="a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046B19AB" w14:textId="77777777" w:rsidTr="00BF18CF">
        <w:tc>
          <w:tcPr>
            <w:tcW w:w="10690" w:type="dxa"/>
          </w:tcPr>
          <w:p w14:paraId="6CC74484" w14:textId="77777777" w:rsidR="00BF18CF" w:rsidRDefault="00E51347">
            <w:r>
              <w:t xml:space="preserve">Les paragraphes suivants expliquent la logique générale du CIDOC CRM, une ontologie formelle représentant le discours historique. À ce titre, le CIDOC CRM a pour objectif de soutenir la (re)présentation d'un discours analytique basé sur des faits reflétant ce qui s'est produit dans le passé, et ce de manière à être compréhensible par l'humain ainsi que par la machine. Le CIDOC CRM atteint cet objectif en proposant une série de propriétés (relations) et de classes formalisées. Ces propriétés formalisées soutiennent l'élaboration d'énoncés sémantiques explicites reliant des classes de choses. Leur définition formelle explique logiquement les classes de choses auxquelles elles sont pertinentes. Ces propriétés du CIDOC CRM permettent ainsi une description formelle, explicitée logiquement, des relations entre des entitées individuelles du monde réel classifiées sous des classes ontologiques distinctes. L'encodage de données analytiques au sujet du passé en utilisant un tel </w:t>
            </w:r>
            <w:r>
              <w:lastRenderedPageBreak/>
              <w:t>système permet de standardiser la représentation des données et permet l'application uniforme de processus de raisonnement logique à des ensembles de données de large taille.</w:t>
            </w:r>
          </w:p>
          <w:p w14:paraId="339C71F7" w14:textId="77777777" w:rsidR="00BF18CF" w:rsidRDefault="00E51347">
            <w:r>
              <w:t>Un système de classes et de relations hiérarchisé sous-tend la logique de ce système ainsi que des distinctions ontologiques de base qui permettent de représenter le discours historique. Une familiarité avec ces distinctions ontologiques de base dans les classes supérieures de la hiérarchie est nécessaire à la compréhension et à l'utilisation du CIDOC CRM à des fins de représentation des connaissances.</w:t>
            </w:r>
          </w:p>
          <w:p w14:paraId="13CCEDDF" w14:textId="77777777" w:rsidR="00BF18CF" w:rsidRDefault="00E51347">
            <w:r>
              <w:t>Dans le CIDOC CRM, le plus haut niveau de distinction est représenté par les concepts suivants:</w:t>
            </w:r>
          </w:p>
          <w:p w14:paraId="37CE2F05" w14:textId="77777777" w:rsidR="00BF18CF" w:rsidRDefault="00E51347">
            <w:pPr>
              <w:numPr>
                <w:ilvl w:val="0"/>
                <w:numId w:val="33"/>
              </w:numPr>
            </w:pPr>
            <w:r>
              <w:rPr>
                <w:rFonts w:ascii="Consolas" w:eastAsia="Consolas" w:hAnsi="Consolas" w:cs="Consolas"/>
                <w:sz w:val="22"/>
                <w:szCs w:val="22"/>
                <w:shd w:val="clear" w:color="auto" w:fill="EAEEF3"/>
              </w:rPr>
              <w:t>E2_Entité_temporelle</w:t>
            </w:r>
            <w:r>
              <w:t>, qui correspond à la notion philosophique de perdurance;</w:t>
            </w:r>
          </w:p>
          <w:p w14:paraId="7BEEB6B1" w14:textId="77777777" w:rsidR="00BF18CF" w:rsidRDefault="00E51347">
            <w:pPr>
              <w:numPr>
                <w:ilvl w:val="0"/>
                <w:numId w:val="33"/>
              </w:numPr>
            </w:pPr>
            <w:r>
              <w:rPr>
                <w:rFonts w:ascii="Consolas" w:eastAsia="Consolas" w:hAnsi="Consolas" w:cs="Consolas"/>
                <w:sz w:val="22"/>
                <w:szCs w:val="22"/>
                <w:shd w:val="clear" w:color="auto" w:fill="EAEEF3"/>
              </w:rPr>
              <w:t>E77_Entité_persistante</w:t>
            </w:r>
            <w:r>
              <w:t>, qui correspond à la notion philosophique d'endurance;</w:t>
            </w:r>
          </w:p>
          <w:p w14:paraId="0FE3A960" w14:textId="77777777" w:rsidR="00BF18CF" w:rsidRDefault="00E51347">
            <w:pPr>
              <w:numPr>
                <w:ilvl w:val="0"/>
                <w:numId w:val="33"/>
              </w:numPr>
            </w:pPr>
            <w:r>
              <w:rPr>
                <w:rFonts w:ascii="Consolas" w:eastAsia="Consolas" w:hAnsi="Consolas" w:cs="Consolas"/>
                <w:sz w:val="22"/>
                <w:szCs w:val="22"/>
                <w:shd w:val="clear" w:color="auto" w:fill="EAEEF3"/>
              </w:rPr>
              <w:t>E92_Volume_spatio-temporel</w:t>
            </w:r>
            <w:r>
              <w:t>.</w:t>
            </w:r>
          </w:p>
          <w:p w14:paraId="2BE59221" w14:textId="77777777" w:rsidR="00BF18CF" w:rsidRDefault="00E51347">
            <w:r>
              <w:t xml:space="preserve">Le CIDOC CRM est un modèle construit autour de la notion d'évènement qui soutient le discours historique. À ce titre, il permet la description d'entités qui sont elles-mêmes des processus limités dans le temps ou des évolutions s'inscrivant dans le passage du temps, et ce grâce à l'usage de la classe </w:t>
            </w:r>
            <w:r>
              <w:rPr>
                <w:rFonts w:ascii="Consolas" w:eastAsia="Consolas" w:hAnsi="Consolas" w:cs="Consolas"/>
                <w:sz w:val="22"/>
                <w:szCs w:val="22"/>
                <w:shd w:val="clear" w:color="auto" w:fill="EAEEF3"/>
              </w:rPr>
              <w:t>E2_Entité_temporelle</w:t>
            </w:r>
            <w:r>
              <w:t xml:space="preserve"> et de ses sous-classes. La principale fonction de </w:t>
            </w:r>
            <w:r>
              <w:rPr>
                <w:rFonts w:ascii="Consolas" w:eastAsia="Consolas" w:hAnsi="Consolas" w:cs="Consolas"/>
                <w:sz w:val="22"/>
                <w:szCs w:val="22"/>
                <w:shd w:val="clear" w:color="auto" w:fill="EAEEF3"/>
              </w:rPr>
              <w:t>E2_Entité_temporelle</w:t>
            </w:r>
            <w:r>
              <w:t xml:space="preserve"> et de ses sous-classes est de capturer le fait que quelque chose s'est produit à travers le temps. Ces sous-classes sont utilisées non seulement pour signaler une durée temporelle, mais aussi pour documenter des relations historiques entre des objets (à la manière des verbes actifs dans une phrase de langage naturel). Les sous-classes de </w:t>
            </w:r>
            <w:r>
              <w:rPr>
                <w:rFonts w:ascii="Consolas" w:eastAsia="Consolas" w:hAnsi="Consolas" w:cs="Consolas"/>
                <w:sz w:val="22"/>
                <w:szCs w:val="22"/>
                <w:shd w:val="clear" w:color="auto" w:fill="EAEEF3"/>
              </w:rPr>
              <w:t>E2_Entité_temporelle</w:t>
            </w:r>
            <w:r>
              <w:t xml:space="preserve">, lesquelles sont plus spécifiques, permettent la documentation d'évènements qui concernent des matériaux individuellement reliés ou affectés, ou encore des objets sociaux ou mentaux qui sont décrits grâce aux sous-classes de </w:t>
            </w:r>
            <w:r>
              <w:rPr>
                <w:rFonts w:ascii="Consolas" w:eastAsia="Consolas" w:hAnsi="Consolas" w:cs="Consolas"/>
                <w:sz w:val="22"/>
                <w:szCs w:val="22"/>
                <w:shd w:val="clear" w:color="auto" w:fill="EAEEF3"/>
              </w:rPr>
              <w:t>E77_Entité_persistante</w:t>
            </w:r>
            <w:r>
              <w:t xml:space="preserve">. Cette documentation précise est possible grâce à l'utilisation de propriétés spécialisées formalisant la manière de la relation ou de l'affect. Des exemples de sous-classes spécifiques de </w:t>
            </w:r>
            <w:r>
              <w:rPr>
                <w:rFonts w:ascii="Consolas" w:eastAsia="Consolas" w:hAnsi="Consolas" w:cs="Consolas"/>
                <w:sz w:val="22"/>
                <w:szCs w:val="22"/>
                <w:shd w:val="clear" w:color="auto" w:fill="EAEEF3"/>
              </w:rPr>
              <w:t>E2_Entité_temporelle</w:t>
            </w:r>
            <w:r>
              <w:t xml:space="preserve"> sont:</w:t>
            </w:r>
          </w:p>
          <w:p w14:paraId="2123D60E" w14:textId="77777777" w:rsidR="00BF18CF" w:rsidRDefault="00E51347">
            <w:pPr>
              <w:numPr>
                <w:ilvl w:val="0"/>
                <w:numId w:val="35"/>
              </w:numPr>
            </w:pPr>
            <w:r>
              <w:rPr>
                <w:rFonts w:ascii="Consolas" w:eastAsia="Consolas" w:hAnsi="Consolas" w:cs="Consolas"/>
                <w:sz w:val="22"/>
                <w:szCs w:val="22"/>
                <w:shd w:val="clear" w:color="auto" w:fill="EAEEF3"/>
              </w:rPr>
              <w:t>E12_Production</w:t>
            </w:r>
            <w:r>
              <w:t xml:space="preserve"> qui permet la représentation d'évènements où des humains fabriquent des choses;</w:t>
            </w:r>
          </w:p>
          <w:p w14:paraId="76D7974C" w14:textId="77777777" w:rsidR="00BF18CF" w:rsidRDefault="00E51347">
            <w:pPr>
              <w:numPr>
                <w:ilvl w:val="0"/>
                <w:numId w:val="35"/>
              </w:numPr>
            </w:pPr>
            <w:r>
              <w:rPr>
                <w:rFonts w:ascii="Consolas" w:eastAsia="Consolas" w:hAnsi="Consolas" w:cs="Consolas"/>
                <w:sz w:val="22"/>
                <w:szCs w:val="22"/>
                <w:shd w:val="clear" w:color="auto" w:fill="EAEEF3"/>
              </w:rPr>
              <w:t>E5_Évènement</w:t>
            </w:r>
            <w:r>
              <w:t xml:space="preserve"> qui permet la documentation d'évènements géologiques ou d'évènements sociaux de grande envergure (p. ex. une guerre).</w:t>
            </w:r>
          </w:p>
          <w:p w14:paraId="47D43200" w14:textId="77777777" w:rsidR="00BF18CF" w:rsidRDefault="00E51347">
            <w:r>
              <w:t xml:space="preserve">Des propriétés spécifiques à chacune de ces sous-classes permettent de représenter les connexions réelles entre des instances de </w:t>
            </w:r>
            <w:r>
              <w:rPr>
                <w:rFonts w:ascii="Consolas" w:eastAsia="Consolas" w:hAnsi="Consolas" w:cs="Consolas"/>
                <w:sz w:val="22"/>
                <w:szCs w:val="22"/>
                <w:shd w:val="clear" w:color="auto" w:fill="EAEEF3"/>
              </w:rPr>
              <w:t>E77_Entité_persistante</w:t>
            </w:r>
            <w:r>
              <w:t xml:space="preserve">, par exemple la relation d'un objet au moment de sa production grâce à la propriété </w:t>
            </w:r>
            <w:r>
              <w:rPr>
                <w:rFonts w:ascii="Consolas" w:eastAsia="Consolas" w:hAnsi="Consolas" w:cs="Consolas"/>
                <w:sz w:val="22"/>
                <w:szCs w:val="22"/>
                <w:shd w:val="clear" w:color="auto" w:fill="EAEEF3"/>
              </w:rPr>
              <w:t>P108_a_produit</w:t>
            </w:r>
            <w:r>
              <w:t xml:space="preserve"> (</w:t>
            </w:r>
            <w:r>
              <w:rPr>
                <w:rFonts w:ascii="Consolas" w:eastAsia="Consolas" w:hAnsi="Consolas" w:cs="Consolas"/>
                <w:sz w:val="22"/>
                <w:szCs w:val="22"/>
                <w:shd w:val="clear" w:color="auto" w:fill="EAEEF3"/>
              </w:rPr>
              <w:t>E12_Production</w:t>
            </w:r>
            <w:r>
              <w:t xml:space="preserve">) ou la relation d'un lieu à un phénomène géologique grâce à la propriété </w:t>
            </w:r>
            <w:r>
              <w:rPr>
                <w:rFonts w:ascii="Consolas" w:eastAsia="Consolas" w:hAnsi="Consolas" w:cs="Consolas"/>
                <w:sz w:val="22"/>
                <w:szCs w:val="22"/>
                <w:shd w:val="clear" w:color="auto" w:fill="EAEEF3"/>
              </w:rPr>
              <w:t xml:space="preserve">P7_a_eu_lieu_dans </w:t>
            </w:r>
            <w:r>
              <w:t>(</w:t>
            </w:r>
            <w:r>
              <w:rPr>
                <w:rFonts w:ascii="Consolas" w:eastAsia="Consolas" w:hAnsi="Consolas" w:cs="Consolas"/>
                <w:sz w:val="22"/>
                <w:szCs w:val="22"/>
                <w:shd w:val="clear" w:color="auto" w:fill="EAEEF3"/>
              </w:rPr>
              <w:t>E5_Évènement</w:t>
            </w:r>
            <w:r>
              <w:t xml:space="preserve">). Les entités que documente </w:t>
            </w:r>
            <w:r>
              <w:rPr>
                <w:rFonts w:ascii="Consolas" w:eastAsia="Consolas" w:hAnsi="Consolas" w:cs="Consolas"/>
                <w:sz w:val="22"/>
                <w:szCs w:val="22"/>
                <w:shd w:val="clear" w:color="auto" w:fill="EAEEF3"/>
              </w:rPr>
              <w:t>E2_Entité_temporelle</w:t>
            </w:r>
            <w:r>
              <w:t xml:space="preserve">, puisqu'elles sont des processus limités dans le temps ou des occurrences, sont d'une telle nature que leur existence ne peut être déclarée que sur la base d'observations: directes ou d'enregistrements d'un évènement, ou sur la base d'observations indirectes des manifestations d'un évènement sur un objet matériel ayant subi un changement en raison de ce même évènement. Des évènements peuvent aussi avoir été documentés textuellement ou inscrits dans l'histoire et la mémoire orale d'une collectivité. </w:t>
            </w:r>
            <w:r>
              <w:rPr>
                <w:rFonts w:ascii="Consolas" w:eastAsia="Consolas" w:hAnsi="Consolas" w:cs="Consolas"/>
                <w:sz w:val="22"/>
                <w:szCs w:val="22"/>
                <w:shd w:val="clear" w:color="auto" w:fill="EAEEF3"/>
              </w:rPr>
              <w:t>E2_Entité_temporelle</w:t>
            </w:r>
            <w:r>
              <w:t xml:space="preserve"> et ses sous-classes sont des éléments centraux du CIDOC CRM et sont essentielles à presque toutes les tâches de modélisation (p. ex. il n'est pas possible, dans un catalogue muséal, de considérer un objet en dehors de son évènement de production).</w:t>
            </w:r>
          </w:p>
          <w:p w14:paraId="328EF95A" w14:textId="77777777" w:rsidR="00BF18CF" w:rsidRDefault="00E51347">
            <w:r>
              <w:lastRenderedPageBreak/>
              <w:t xml:space="preserve">La modélisation évènementielle du CIDOC CRM a pour objectif de permettre une description historique fidèle en représentant des entités du monde réel grâce à la classe </w:t>
            </w:r>
            <w:r>
              <w:rPr>
                <w:rFonts w:ascii="Consolas" w:eastAsia="Consolas" w:hAnsi="Consolas" w:cs="Consolas"/>
                <w:sz w:val="22"/>
                <w:szCs w:val="22"/>
                <w:shd w:val="clear" w:color="auto" w:fill="EAEEF3"/>
              </w:rPr>
              <w:t>E77_Entité_persistante</w:t>
            </w:r>
            <w:r>
              <w:t xml:space="preserve"> et à ses sous-classes. </w:t>
            </w:r>
            <w:r>
              <w:rPr>
                <w:rFonts w:ascii="Consolas" w:eastAsia="Consolas" w:hAnsi="Consolas" w:cs="Consolas"/>
                <w:sz w:val="22"/>
                <w:szCs w:val="22"/>
                <w:shd w:val="clear" w:color="auto" w:fill="EAEEF3"/>
              </w:rPr>
              <w:t>E77_Entité_persistante</w:t>
            </w:r>
            <w:r>
              <w:t xml:space="preserve"> est utilisée pour décrire des entités qui sont formellement relativement stables à travers le temps et qui maintiennent une identité reconnaissable en raison du fait que leurs attributs significatifs ne changent pas. Des sous-classes spécifiques de </w:t>
            </w:r>
            <w:r>
              <w:rPr>
                <w:rFonts w:ascii="Consolas" w:eastAsia="Consolas" w:hAnsi="Consolas" w:cs="Consolas"/>
                <w:sz w:val="22"/>
                <w:szCs w:val="22"/>
                <w:shd w:val="clear" w:color="auto" w:fill="EAEEF3"/>
              </w:rPr>
              <w:t>E77_Entité_persistante</w:t>
            </w:r>
            <w:r>
              <w:t xml:space="preserve"> illustrent ceci:</w:t>
            </w:r>
          </w:p>
          <w:p w14:paraId="3200B2E2" w14:textId="77777777" w:rsidR="00BF18CF" w:rsidRDefault="00E51347">
            <w:pPr>
              <w:numPr>
                <w:ilvl w:val="0"/>
                <w:numId w:val="37"/>
              </w:numPr>
            </w:pPr>
            <w:r>
              <w:rPr>
                <w:rFonts w:ascii="Consolas" w:eastAsia="Consolas" w:hAnsi="Consolas" w:cs="Consolas"/>
                <w:sz w:val="22"/>
                <w:szCs w:val="22"/>
                <w:shd w:val="clear" w:color="auto" w:fill="EAEEF3"/>
              </w:rPr>
              <w:t>E22_Objet_élaboré_par_l’humain</w:t>
            </w:r>
            <w:r>
              <w:t xml:space="preserve"> est </w:t>
            </w:r>
            <w:proofErr w:type="gramStart"/>
            <w:r>
              <w:t>utilisée</w:t>
            </w:r>
            <w:proofErr w:type="gramEnd"/>
            <w:r>
              <w:t xml:space="preserve"> pour la description d'objets physiques distincts étant le produit de l'action humaine (p. ex. une œuvre d'art ou un monument est persistant quant à sa constitution physique et tant qu'il conserve sa forme physique générale, il est considéré exister et participer au flux des évènements historiques);</w:t>
            </w:r>
          </w:p>
          <w:p w14:paraId="5FDB62FD" w14:textId="77777777" w:rsidR="00BF18CF" w:rsidRDefault="00E51347">
            <w:pPr>
              <w:numPr>
                <w:ilvl w:val="0"/>
                <w:numId w:val="37"/>
              </w:numPr>
            </w:pPr>
            <w:r>
              <w:rPr>
                <w:rFonts w:ascii="Consolas" w:eastAsia="Consolas" w:hAnsi="Consolas" w:cs="Consolas"/>
                <w:sz w:val="22"/>
                <w:szCs w:val="22"/>
                <w:shd w:val="clear" w:color="auto" w:fill="EAEEF3"/>
              </w:rPr>
              <w:t>E28_Objet_conceptuel</w:t>
            </w:r>
            <w:r>
              <w:t xml:space="preserve"> est utilisée pour la description d'entités persistantes ayant un caractère mental, à savoir pour la description d'idées identifiables qui sont nommées et qui constituent un objet du discours historique, et dont les conditions identitaires reposent sur le fait qu'elles s'incarnent dans une chose grâce à laquelle ces idées peuvent être convoquées de nouveau ou rappelées.</w:t>
            </w:r>
          </w:p>
          <w:p w14:paraId="7E716A69" w14:textId="77777777" w:rsidR="00BF18CF" w:rsidRDefault="00E51347">
            <w:r>
              <w:t xml:space="preserve">Les entités décrites par </w:t>
            </w:r>
            <w:r>
              <w:rPr>
                <w:rFonts w:ascii="Consolas" w:eastAsia="Consolas" w:hAnsi="Consolas" w:cs="Consolas"/>
                <w:sz w:val="22"/>
                <w:szCs w:val="22"/>
                <w:shd w:val="clear" w:color="auto" w:fill="EAEEF3"/>
              </w:rPr>
              <w:t>E77_Entité_persistante</w:t>
            </w:r>
            <w:r>
              <w:t xml:space="preserve"> sont sujettes au changement du fait d'activités humaines ou biologiques, ou du fait de processus géologiques ou environnementaux. Elles sont néanmoins considérées continuer d'exister et d'être pareilles à elles-mêmes tant que ces changements n'altèrent pas leur identité fondamentale (essence) telle qu'elle est définie dans la note d'application de la classe concernée.</w:t>
            </w:r>
          </w:p>
          <w:p w14:paraId="600C2A90" w14:textId="77777777" w:rsidR="00BF18CF" w:rsidRDefault="00E51347">
            <w:r>
              <w:t xml:space="preserve">La notion d'identité est clé pour l'application du CIDOC CRM. Les propriétés et les relations que fournit le modèle sont conçues pour permettre la description historique fidèle de l'évolution d'entités réelles à travers le temps. Les classes et les propriétés sont donc créées afin de fournir une définition permettant leur application aux mêmes entités réelles par des utilisateurs divers. Ainsi, au sens du CIDOC CRM, l'identité implique que des personnes informées sont à même de convenir qu'elles réfèrent à une seule et même chose distincte tout au long des étendues et de la durée de son existence. Les critères permettant de déterminer ceci </w:t>
            </w:r>
            <w:proofErr w:type="gramStart"/>
            <w:r>
              <w:t>émanent</w:t>
            </w:r>
            <w:proofErr w:type="gramEnd"/>
            <w:r>
              <w:t xml:space="preserve"> de la note d'application de la classe du CIDOC CRM dont la chose est considérée être une instance, car la communication informatique ne soutient pas un dialogue entre utilisateurs. Par exemple, le Sphinx de Gizeh a été endommagé, notamment au niveau du nez qui est absent, mais il est considéré être le même monument qu'avant sa mutilation car il continue de représenter les caractéristiques distinctes d'une forme passée ayant une pertinence archéologique. Les choses n'étant pas dotées d'une stabilité et d'une distinction suffisantes ne sont pas des instances de </w:t>
            </w:r>
            <w:r>
              <w:rPr>
                <w:rFonts w:ascii="Consolas" w:eastAsia="Consolas" w:hAnsi="Consolas" w:cs="Consolas"/>
                <w:sz w:val="22"/>
                <w:szCs w:val="22"/>
                <w:shd w:val="clear" w:color="auto" w:fill="EAEEF3"/>
              </w:rPr>
              <w:t>E77_Entité_persistante</w:t>
            </w:r>
            <w:r>
              <w:t xml:space="preserve"> et elles ne se prêtent pas à l'intégration dans le CIDOC CRM (p. ex. l'atmosphère, les nuages, les vagues ou le sol). Un discours au sujet de telles entités peut être documenté sous forme d'observations au sujet des relations entre des choses à l'identité persistante (p. ex. des lieux) à l'aide de concepts du CIDOC CRM.</w:t>
            </w:r>
          </w:p>
          <w:p w14:paraId="4DC9D038" w14:textId="77777777" w:rsidR="00BF18CF" w:rsidRDefault="00E51347">
            <w:r>
              <w:rPr>
                <w:rFonts w:ascii="Times New Roman" w:eastAsia="Times New Roman" w:hAnsi="Times New Roman" w:cs="Times New Roman"/>
                <w:sz w:val="20"/>
                <w:szCs w:val="20"/>
              </w:rPr>
              <w:t>Il est crucial, afin de représenter</w:t>
            </w:r>
            <w:r>
              <w:t xml:space="preserve"> formellement des données analytiques historiques, de savoir distinguer et inter-relier des instances de </w:t>
            </w:r>
            <w:r>
              <w:rPr>
                <w:rFonts w:ascii="Consolas" w:eastAsia="Consolas" w:hAnsi="Consolas" w:cs="Consolas"/>
                <w:sz w:val="22"/>
                <w:szCs w:val="22"/>
                <w:shd w:val="clear" w:color="auto" w:fill="EAEEF3"/>
              </w:rPr>
              <w:t>E2_Entité_temporelle</w:t>
            </w:r>
            <w:r>
              <w:t xml:space="preserve"> (perdurants) et de </w:t>
            </w:r>
            <w:r>
              <w:rPr>
                <w:rFonts w:ascii="Consolas" w:eastAsia="Consolas" w:hAnsi="Consolas" w:cs="Consolas"/>
                <w:sz w:val="22"/>
                <w:szCs w:val="22"/>
                <w:shd w:val="clear" w:color="auto" w:fill="EAEEF3"/>
              </w:rPr>
              <w:t>E77_Entité_persistante</w:t>
            </w:r>
            <w:r>
              <w:t xml:space="preserve"> (endurants) grâce aux propriétés appropriées. Dans la majorité des cas, cette distinction combinée à l'élaboration de sous-classes et de propriétés est suffisante à la description des entrées de bases de données patrimoniales des domaines patrimoniaux culturel et scientifique. Exceptionnellement, lorsque des combinaisons complexes de changements de l'étendue spatiale à travers le temps doivent être documentées, il est nécessaire d'utiliser </w:t>
            </w:r>
            <w:r>
              <w:rPr>
                <w:rFonts w:ascii="Consolas" w:eastAsia="Consolas" w:hAnsi="Consolas" w:cs="Consolas"/>
                <w:sz w:val="22"/>
                <w:szCs w:val="22"/>
                <w:shd w:val="clear" w:color="auto" w:fill="EAEEF3"/>
              </w:rPr>
              <w:t>E92_Volume_spatio-temporel</w:t>
            </w:r>
            <w:r>
              <w:t xml:space="preserve"> qui décrit des entités dont la substance est ou contient une étendue identifiable et confinée géométriquement dans le monde réel, lequel peut varier à travers le temps indépendamment de frontières floues. Par exemple, les constructions de l'établissement de la ville d'Athènes sont contraintes par leur intervalle temporel </w:t>
            </w:r>
            <w:r>
              <w:lastRenderedPageBreak/>
              <w:t xml:space="preserve">(depuis la fondation jusqu'à aujourd'hui) par leur étendue géographique changeante à travers les siècles (ce qui peut être plus ou moins évident au regard des observations actuelles, des documents historiques, et des excavations). Bien que </w:t>
            </w:r>
            <w:r>
              <w:rPr>
                <w:rFonts w:ascii="Consolas" w:eastAsia="Consolas" w:hAnsi="Consolas" w:cs="Consolas"/>
                <w:sz w:val="22"/>
                <w:szCs w:val="22"/>
                <w:shd w:val="clear" w:color="auto" w:fill="EAEEF3"/>
              </w:rPr>
              <w:t>E92_Volume_spatio-temporel</w:t>
            </w:r>
            <w:r>
              <w:t xml:space="preserve"> soit une part théorique importante du CIDOC CRM, il peut dans la plupart des cas être ignoré en faveur d'une documentation et d'une modélisation appliquées.</w:t>
            </w:r>
          </w:p>
          <w:p w14:paraId="5245E27D" w14:textId="77777777" w:rsidR="00BF18CF" w:rsidRDefault="00E51347">
            <w:r>
              <w:t>La clé de la compréhension adéquate du CIDOC CRM est l'appropriation de ses divisions fondamentales et de la logique qu'elles représentent. Malgré cela, le CIDOC CRM n'est pas un système de classification ou un vocabulaire contrôlé. Ses divisions de classes sont déclarées afin de pouvoir appliquer des propriétés distinctes qui permettent d'énoncer des propositions analytiques représentant précisément des réalités historiques. Ainsi, le pouvoir expressif du CIDOC CRM n'émane pas de la classification d'entités, mais de la documentation des inter-relations entre des entités individuelles historiques grâce à des propriétés adéquatement définies. Typiquement, ces propriétés recoupent différents sujets comme :</w:t>
            </w:r>
          </w:p>
          <w:p w14:paraId="5E0EAFB2" w14:textId="77777777" w:rsidR="00BF18CF" w:rsidRDefault="00E51347">
            <w:pPr>
              <w:numPr>
                <w:ilvl w:val="0"/>
                <w:numId w:val="21"/>
              </w:numPr>
            </w:pPr>
            <w:proofErr w:type="gramStart"/>
            <w:r>
              <w:t>les</w:t>
            </w:r>
            <w:proofErr w:type="gramEnd"/>
            <w:r>
              <w:t xml:space="preserve"> relations d'identification d'entités grâce à des noms et des identifiants;</w:t>
            </w:r>
          </w:p>
          <w:p w14:paraId="74773B25" w14:textId="77777777" w:rsidR="00BF18CF" w:rsidRDefault="00E51347">
            <w:pPr>
              <w:numPr>
                <w:ilvl w:val="0"/>
                <w:numId w:val="21"/>
              </w:numPr>
            </w:pPr>
            <w:proofErr w:type="gramStart"/>
            <w:r>
              <w:t>les</w:t>
            </w:r>
            <w:proofErr w:type="gramEnd"/>
            <w:r>
              <w:t xml:space="preserve"> participations d'entités persistantes à des entités temporelles;</w:t>
            </w:r>
          </w:p>
          <w:p w14:paraId="1D24E178" w14:textId="77777777" w:rsidR="00BF18CF" w:rsidRDefault="00E51347">
            <w:pPr>
              <w:numPr>
                <w:ilvl w:val="0"/>
                <w:numId w:val="21"/>
              </w:numPr>
            </w:pPr>
            <w:proofErr w:type="gramStart"/>
            <w:r>
              <w:t>les</w:t>
            </w:r>
            <w:proofErr w:type="gramEnd"/>
            <w:r>
              <w:t xml:space="preserve"> lieux d'entités temporelles et de choses matérielles dans l'espace et dans le temps;</w:t>
            </w:r>
          </w:p>
          <w:p w14:paraId="2AEA8925" w14:textId="77777777" w:rsidR="00BF18CF" w:rsidRDefault="00E51347">
            <w:pPr>
              <w:numPr>
                <w:ilvl w:val="0"/>
                <w:numId w:val="21"/>
              </w:numPr>
            </w:pPr>
            <w:proofErr w:type="gramStart"/>
            <w:r>
              <w:t>les</w:t>
            </w:r>
            <w:proofErr w:type="gramEnd"/>
            <w:r>
              <w:t xml:space="preserve"> relations d'observation et d'évaluation;</w:t>
            </w:r>
          </w:p>
          <w:p w14:paraId="029C0E09" w14:textId="77777777" w:rsidR="00BF18CF" w:rsidRDefault="00E51347">
            <w:pPr>
              <w:numPr>
                <w:ilvl w:val="0"/>
                <w:numId w:val="21"/>
              </w:numPr>
            </w:pPr>
            <w:proofErr w:type="gramStart"/>
            <w:r>
              <w:t>les</w:t>
            </w:r>
            <w:proofErr w:type="gramEnd"/>
            <w:r>
              <w:t xml:space="preserve"> </w:t>
            </w:r>
            <w:r>
              <w:rPr>
                <w:rFonts w:ascii="Times New Roman" w:eastAsia="Times New Roman" w:hAnsi="Times New Roman" w:cs="Times New Roman"/>
              </w:rPr>
              <w:t>propriétés structurelles et les</w:t>
            </w:r>
            <w:r>
              <w:t xml:space="preserve"> décompositions en parties de choses;</w:t>
            </w:r>
          </w:p>
          <w:p w14:paraId="37D32E96" w14:textId="77777777" w:rsidR="00BF18CF" w:rsidRDefault="00E51347">
            <w:pPr>
              <w:numPr>
                <w:ilvl w:val="0"/>
                <w:numId w:val="21"/>
              </w:numPr>
            </w:pPr>
            <w:proofErr w:type="gramStart"/>
            <w:r>
              <w:t>l'influence</w:t>
            </w:r>
            <w:proofErr w:type="gramEnd"/>
            <w:r>
              <w:t xml:space="preserve"> des choses et des expériences sur les activités des personnes et des produits;</w:t>
            </w:r>
          </w:p>
          <w:p w14:paraId="3BAEF6A1" w14:textId="77777777" w:rsidR="00BF18CF" w:rsidRDefault="00E51347">
            <w:pPr>
              <w:numPr>
                <w:ilvl w:val="0"/>
                <w:numId w:val="21"/>
              </w:numPr>
            </w:pPr>
            <w:proofErr w:type="gramStart"/>
            <w:r>
              <w:t>les</w:t>
            </w:r>
            <w:proofErr w:type="gramEnd"/>
            <w:r>
              <w:t xml:space="preserve"> références d'objets informationnels à quoi que ce soit.</w:t>
            </w:r>
          </w:p>
          <w:p w14:paraId="42384991" w14:textId="77777777" w:rsidR="00BF18CF" w:rsidRDefault="00E51347">
            <w:r>
              <w:t>Les sections suivantes expliquent ces concepts à l'aide de diagrammes.</w:t>
            </w:r>
          </w:p>
        </w:tc>
      </w:tr>
    </w:tbl>
    <w:p w14:paraId="1BC46E5E" w14:textId="77777777" w:rsidR="00BF18CF" w:rsidRDefault="00BF18CF"/>
    <w:tbl>
      <w:tblPr>
        <w:tblStyle w:val="aff9"/>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32C9EE34" w14:textId="77777777" w:rsidTr="00BF18CF">
        <w:tc>
          <w:tcPr>
            <w:tcW w:w="1828" w:type="dxa"/>
          </w:tcPr>
          <w:p w14:paraId="59CADD4B" w14:textId="4DDE4334" w:rsidR="00BF18CF" w:rsidRDefault="00F27208">
            <w:r>
              <w:rPr>
                <w:i/>
              </w:rPr>
              <w:t>Note de traduction</w:t>
            </w:r>
          </w:p>
        </w:tc>
        <w:tc>
          <w:tcPr>
            <w:tcW w:w="8867" w:type="dxa"/>
          </w:tcPr>
          <w:p w14:paraId="56987B95" w14:textId="77777777" w:rsidR="00BF18CF" w:rsidRDefault="00BF18CF">
            <w:pPr>
              <w:pBdr>
                <w:top w:val="nil"/>
                <w:left w:val="nil"/>
                <w:bottom w:val="nil"/>
                <w:right w:val="nil"/>
                <w:between w:val="nil"/>
              </w:pBdr>
              <w:spacing w:before="36" w:after="36"/>
              <w:rPr>
                <w:color w:val="000000"/>
              </w:rPr>
            </w:pPr>
          </w:p>
        </w:tc>
      </w:tr>
      <w:tr w:rsidR="00BF18CF" w14:paraId="3FB85B15" w14:textId="77777777" w:rsidTr="00BF18CF">
        <w:tc>
          <w:tcPr>
            <w:tcW w:w="1828" w:type="dxa"/>
          </w:tcPr>
          <w:p w14:paraId="07C40A06" w14:textId="77777777" w:rsidR="00BF18CF" w:rsidRDefault="00E51347">
            <w:r>
              <w:rPr>
                <w:i/>
              </w:rPr>
              <w:t>Références</w:t>
            </w:r>
          </w:p>
        </w:tc>
        <w:tc>
          <w:tcPr>
            <w:tcW w:w="8867" w:type="dxa"/>
          </w:tcPr>
          <w:p w14:paraId="06C14673" w14:textId="77777777" w:rsidR="00BF18CF" w:rsidRDefault="00BF18CF">
            <w:pPr>
              <w:pBdr>
                <w:top w:val="nil"/>
                <w:left w:val="nil"/>
                <w:bottom w:val="nil"/>
                <w:right w:val="nil"/>
                <w:between w:val="nil"/>
              </w:pBdr>
              <w:spacing w:before="36" w:after="36"/>
              <w:rPr>
                <w:color w:val="000000"/>
              </w:rPr>
            </w:pPr>
          </w:p>
        </w:tc>
      </w:tr>
    </w:tbl>
    <w:p w14:paraId="1E8AFC0A" w14:textId="77777777" w:rsidR="00BF18CF" w:rsidRDefault="00E51347">
      <w:pPr>
        <w:pStyle w:val="Heading2"/>
      </w:pPr>
      <w:bookmarkStart w:id="77" w:name="bookmark=id.3l18frh" w:colFirst="0" w:colLast="0"/>
      <w:bookmarkStart w:id="78" w:name="_Toc144360782"/>
      <w:bookmarkEnd w:id="77"/>
      <w:r>
        <w:t>Des relations évènementielles</w:t>
      </w:r>
      <w:bookmarkEnd w:id="78"/>
    </w:p>
    <w:tbl>
      <w:tblPr>
        <w:tblStyle w:val="a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56890ACB" w14:textId="77777777" w:rsidTr="00BF18CF">
        <w:tc>
          <w:tcPr>
            <w:tcW w:w="10690" w:type="dxa"/>
          </w:tcPr>
          <w:p w14:paraId="54F3C314" w14:textId="77777777" w:rsidR="00BF18CF" w:rsidRDefault="00E51347">
            <w:r>
              <w:t xml:space="preserve">La figure 1 illustre les propriétés minimales pour documenter « ce qui s'est produit », à savoir le patron fondamental du CIDOC CRM. La classe </w:t>
            </w:r>
            <w:r>
              <w:rPr>
                <w:rFonts w:ascii="Consolas" w:eastAsia="Consolas" w:hAnsi="Consolas" w:cs="Consolas"/>
                <w:sz w:val="22"/>
                <w:szCs w:val="22"/>
                <w:shd w:val="clear" w:color="auto" w:fill="EAEEF3"/>
              </w:rPr>
              <w:t>E1_Entité_CRM</w:t>
            </w:r>
            <w:r>
              <w:t xml:space="preserve"> est la classe à la tête de la hiérarchie du modèle; elle a pour fonction de fédérer les concepts ontologiquement signifiants du modèle. De plus, cette classe déclare deux propriétés essentielles à la validité générale et aux caractéristiques distinctes du CIDOC CRM:</w:t>
            </w:r>
          </w:p>
          <w:p w14:paraId="268FBFFE" w14:textId="77777777" w:rsidR="00BF18CF" w:rsidRDefault="00E51347">
            <w:pPr>
              <w:numPr>
                <w:ilvl w:val="0"/>
                <w:numId w:val="22"/>
              </w:numPr>
            </w:pPr>
            <w:r>
              <w:rPr>
                <w:rFonts w:ascii="Consolas" w:eastAsia="Consolas" w:hAnsi="Consolas" w:cs="Consolas"/>
                <w:sz w:val="22"/>
                <w:szCs w:val="22"/>
                <w:shd w:val="clear" w:color="auto" w:fill="EAEEF3"/>
              </w:rPr>
              <w:t>P1_est_identifié_par</w:t>
            </w:r>
            <w:r>
              <w:t xml:space="preserve"> avec pour portée </w:t>
            </w:r>
            <w:r>
              <w:rPr>
                <w:rFonts w:ascii="Consolas" w:eastAsia="Consolas" w:hAnsi="Consolas" w:cs="Consolas"/>
                <w:sz w:val="22"/>
                <w:szCs w:val="22"/>
                <w:shd w:val="clear" w:color="auto" w:fill="EAEEF3"/>
              </w:rPr>
              <w:t>E41_Appellation</w:t>
            </w:r>
            <w:r>
              <w:t xml:space="preserve"> établit une distinction ontologique fondamentale entre l'identité d'un particulier et son identifiant (voir la section </w:t>
            </w:r>
            <w:hyperlink r:id="rId346" w:anchor="de-la-realite-des-bases-de-connaissance-et-du-cidoc-crm">
              <w:r>
                <w:rPr>
                  <w:color w:val="4F81BD"/>
                </w:rPr>
                <w:t>De la réalité, des bases de connaissance, et du CIDOC CRM</w:t>
              </w:r>
            </w:hyperlink>
            <w:r>
              <w:t>), ce qui permet de décrire un discours solutionnant des ambiguïtés historiques de noms ainsi que de réconcilier de multiples identifiants;</w:t>
            </w:r>
          </w:p>
          <w:p w14:paraId="73C5320F" w14:textId="77777777" w:rsidR="00BF18CF" w:rsidRDefault="00E51347">
            <w:pPr>
              <w:numPr>
                <w:ilvl w:val="0"/>
                <w:numId w:val="22"/>
              </w:numPr>
            </w:pPr>
            <w:r>
              <w:rPr>
                <w:rFonts w:ascii="Consolas" w:eastAsia="Consolas" w:hAnsi="Consolas" w:cs="Consolas"/>
                <w:sz w:val="22"/>
                <w:szCs w:val="22"/>
                <w:shd w:val="clear" w:color="auto" w:fill="EAEEF3"/>
              </w:rPr>
              <w:lastRenderedPageBreak/>
              <w:t>P2_a_pour_type</w:t>
            </w:r>
            <w:r>
              <w:t xml:space="preserve"> avec pour portée </w:t>
            </w:r>
            <w:r>
              <w:rPr>
                <w:rFonts w:ascii="Consolas" w:eastAsia="Consolas" w:hAnsi="Consolas" w:cs="Consolas"/>
                <w:sz w:val="22"/>
                <w:szCs w:val="22"/>
                <w:shd w:val="clear" w:color="auto" w:fill="EAEEF3"/>
              </w:rPr>
              <w:t>E55_Type</w:t>
            </w:r>
            <w:r>
              <w:t xml:space="preserve"> constitue une interface pratique pour rafiner des classes par le biais de terminologies, lesquelles sont souvent fluctuantes (voir la section </w:t>
            </w:r>
            <w:hyperlink r:id="rId347" w:anchor="des-types">
              <w:r>
                <w:rPr>
                  <w:color w:val="4F81BD"/>
                </w:rPr>
                <w:t>Des types</w:t>
              </w:r>
            </w:hyperlink>
            <w:r>
              <w:t>).</w:t>
            </w:r>
          </w:p>
          <w:p w14:paraId="6F1E71E4" w14:textId="77777777" w:rsidR="00BF18CF" w:rsidRDefault="00E51347">
            <w:r>
              <w:rPr>
                <w:noProof/>
              </w:rPr>
              <w:drawing>
                <wp:inline distT="0" distB="0" distL="0" distR="0" wp14:anchorId="20DAFE67" wp14:editId="0C5E8C6A">
                  <wp:extent cx="6699154" cy="3343316"/>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8"/>
                          <a:srcRect/>
                          <a:stretch>
                            <a:fillRect/>
                          </a:stretch>
                        </pic:blipFill>
                        <pic:spPr>
                          <a:xfrm>
                            <a:off x="0" y="0"/>
                            <a:ext cx="6699154" cy="3343316"/>
                          </a:xfrm>
                          <a:prstGeom prst="rect">
                            <a:avLst/>
                          </a:prstGeom>
                          <a:ln/>
                        </pic:spPr>
                      </pic:pic>
                    </a:graphicData>
                  </a:graphic>
                </wp:inline>
              </w:drawing>
            </w:r>
          </w:p>
          <w:p w14:paraId="7E042F2F" w14:textId="77777777" w:rsidR="00BF18CF" w:rsidRDefault="00E51347">
            <w:r>
              <w:rPr>
                <w:i/>
              </w:rPr>
              <w:t>Figure 1 : Propriétés et classes de haut-niveau du CIDOC CRM</w:t>
            </w:r>
          </w:p>
          <w:p w14:paraId="01932BEB" w14:textId="77777777" w:rsidR="00BF18CF" w:rsidRDefault="00E51347">
            <w:r>
              <w:t xml:space="preserve">Toutes les classes de la figure 1 sont des sous-classes directes ou indirectes de </w:t>
            </w:r>
            <w:r>
              <w:rPr>
                <w:rFonts w:ascii="Consolas" w:eastAsia="Consolas" w:hAnsi="Consolas" w:cs="Consolas"/>
                <w:sz w:val="22"/>
                <w:szCs w:val="22"/>
                <w:shd w:val="clear" w:color="auto" w:fill="EAEEF3"/>
              </w:rPr>
              <w:t>E1_Entité_CRM</w:t>
            </w:r>
            <w:r>
              <w:t xml:space="preserve">, mais à des fins de lisibilité seuls les liens de sous-classe depuis </w:t>
            </w:r>
            <w:r>
              <w:rPr>
                <w:rFonts w:ascii="Consolas" w:eastAsia="Consolas" w:hAnsi="Consolas" w:cs="Consolas"/>
                <w:sz w:val="22"/>
                <w:szCs w:val="22"/>
                <w:shd w:val="clear" w:color="auto" w:fill="EAEEF3"/>
              </w:rPr>
              <w:t>E2_Entité_temporelle</w:t>
            </w:r>
            <w:r>
              <w:t xml:space="preserve"> sont illustrés.</w:t>
            </w:r>
          </w:p>
          <w:p w14:paraId="06088402" w14:textId="77777777" w:rsidR="00BF18CF" w:rsidRDefault="00E51347">
            <w:r>
              <w:t xml:space="preserve">La classe </w:t>
            </w:r>
            <w:r>
              <w:rPr>
                <w:rFonts w:ascii="Consolas" w:eastAsia="Consolas" w:hAnsi="Consolas" w:cs="Consolas"/>
                <w:sz w:val="22"/>
                <w:szCs w:val="22"/>
                <w:shd w:val="clear" w:color="auto" w:fill="EAEEF3"/>
              </w:rPr>
              <w:t>E2_Entité_temporelle</w:t>
            </w:r>
            <w:r>
              <w:t xml:space="preserve"> comprend des phénomènes qui se produisent de manière continue sur une étendue de temps déterminée (</w:t>
            </w:r>
            <w:r>
              <w:rPr>
                <w:rFonts w:ascii="Consolas" w:eastAsia="Consolas" w:hAnsi="Consolas" w:cs="Consolas"/>
                <w:sz w:val="22"/>
                <w:szCs w:val="22"/>
                <w:shd w:val="clear" w:color="auto" w:fill="EAEEF3"/>
              </w:rPr>
              <w:t>E52_Intervalle_temporel</w:t>
            </w:r>
            <w:r>
              <w:t>) dans la dimension naturelle du temps bien que certains de ces phénomènes puissent de pas être confinés à une aire spécifique (p. ex. le statut d'être une personne mariée).</w:t>
            </w:r>
          </w:p>
          <w:p w14:paraId="0FBCE599" w14:textId="77777777" w:rsidR="00BF18CF" w:rsidRDefault="00E51347">
            <w:r>
              <w:t xml:space="preserve">La classe </w:t>
            </w:r>
            <w:r>
              <w:rPr>
                <w:rFonts w:ascii="Consolas" w:eastAsia="Consolas" w:hAnsi="Consolas" w:cs="Consolas"/>
                <w:sz w:val="22"/>
                <w:szCs w:val="22"/>
                <w:shd w:val="clear" w:color="auto" w:fill="EAEEF3"/>
              </w:rPr>
              <w:t>E4_Période</w:t>
            </w:r>
            <w:r>
              <w:t xml:space="preserve"> est encore plus spécifique et comprend des phénomènes se produisant dans l’espace et dans le temps, information qui peut être représentée par la propriété </w:t>
            </w:r>
            <w:r>
              <w:rPr>
                <w:rFonts w:ascii="Consolas" w:eastAsia="Consolas" w:hAnsi="Consolas" w:cs="Consolas"/>
                <w:sz w:val="22"/>
                <w:szCs w:val="22"/>
                <w:shd w:val="clear" w:color="auto" w:fill="EAEEF3"/>
              </w:rPr>
              <w:t>P7_a_eu_lieu_dans</w:t>
            </w:r>
            <w:r>
              <w:t xml:space="preserve"> avec pour portée </w:t>
            </w:r>
            <w:r>
              <w:rPr>
                <w:rFonts w:ascii="Consolas" w:eastAsia="Consolas" w:hAnsi="Consolas" w:cs="Consolas"/>
                <w:sz w:val="22"/>
                <w:szCs w:val="22"/>
                <w:shd w:val="clear" w:color="auto" w:fill="EAEEF3"/>
              </w:rPr>
              <w:t>E53_Lieu</w:t>
            </w:r>
            <w:r>
              <w:t xml:space="preserve">. Les instances de </w:t>
            </w:r>
            <w:r>
              <w:rPr>
                <w:rFonts w:ascii="Consolas" w:eastAsia="Consolas" w:hAnsi="Consolas" w:cs="Consolas"/>
                <w:sz w:val="22"/>
                <w:szCs w:val="22"/>
                <w:shd w:val="clear" w:color="auto" w:fill="EAEEF3"/>
              </w:rPr>
              <w:t>E4_Période</w:t>
            </w:r>
            <w:r>
              <w:t xml:space="preserve"> peuvent avoir des tailles variables (p. ex. la période des Royaumes combattants, la période Romaine, un siège, ou encore la procédure d'une signature).</w:t>
            </w:r>
          </w:p>
          <w:p w14:paraId="5CC0C547" w14:textId="77777777" w:rsidR="00BF18CF" w:rsidRDefault="00E51347">
            <w:r>
              <w:t xml:space="preserve">La classe </w:t>
            </w:r>
            <w:r>
              <w:rPr>
                <w:rFonts w:ascii="Consolas" w:eastAsia="Consolas" w:hAnsi="Consolas" w:cs="Consolas"/>
                <w:sz w:val="22"/>
                <w:szCs w:val="22"/>
                <w:shd w:val="clear" w:color="auto" w:fill="EAEEF3"/>
              </w:rPr>
              <w:t>E5_Évènement</w:t>
            </w:r>
            <w:r>
              <w:t xml:space="preserve"> est encore plus spécifique et comprend </w:t>
            </w:r>
            <w:proofErr w:type="gramStart"/>
            <w:r>
              <w:t>des phénomènes impliquant</w:t>
            </w:r>
            <w:proofErr w:type="gramEnd"/>
            <w:r>
              <w:t xml:space="preserve"> et affectant certaines instances de </w:t>
            </w:r>
            <w:r>
              <w:rPr>
                <w:rFonts w:ascii="Consolas" w:eastAsia="Consolas" w:hAnsi="Consolas" w:cs="Consolas"/>
                <w:sz w:val="22"/>
                <w:szCs w:val="22"/>
                <w:shd w:val="clear" w:color="auto" w:fill="EAEEF3"/>
              </w:rPr>
              <w:t>E77_Entité_persistante</w:t>
            </w:r>
            <w:r>
              <w:t xml:space="preserve"> d'une manière caractéristique de types de processus précisés par la propriété </w:t>
            </w:r>
            <w:r>
              <w:rPr>
                <w:rFonts w:ascii="Consolas" w:eastAsia="Consolas" w:hAnsi="Consolas" w:cs="Consolas"/>
                <w:sz w:val="22"/>
                <w:szCs w:val="22"/>
                <w:shd w:val="clear" w:color="auto" w:fill="EAEEF3"/>
              </w:rPr>
              <w:t>P12_a_eu_lieu_en_présence_de</w:t>
            </w:r>
            <w:r>
              <w:t>. Ce concept de présence est particulièrement puissant dans la mesure où il :</w:t>
            </w:r>
          </w:p>
          <w:p w14:paraId="6A5D132E" w14:textId="77777777" w:rsidR="00BF18CF" w:rsidRDefault="00E51347">
            <w:pPr>
              <w:numPr>
                <w:ilvl w:val="0"/>
                <w:numId w:val="23"/>
              </w:numPr>
            </w:pPr>
            <w:proofErr w:type="gramStart"/>
            <w:r>
              <w:t>contraint</w:t>
            </w:r>
            <w:proofErr w:type="gramEnd"/>
            <w:r>
              <w:t xml:space="preserve"> l'existence des choses impliquées aux lieux qui leur sont associés dans un temps spécifié;</w:t>
            </w:r>
          </w:p>
          <w:p w14:paraId="0FB5CEB0" w14:textId="77777777" w:rsidR="00BF18CF" w:rsidRDefault="00E51347">
            <w:pPr>
              <w:numPr>
                <w:ilvl w:val="0"/>
                <w:numId w:val="23"/>
              </w:numPr>
            </w:pPr>
            <w:proofErr w:type="gramStart"/>
            <w:r>
              <w:t>indique</w:t>
            </w:r>
            <w:proofErr w:type="gramEnd"/>
            <w:r>
              <w:t xml:space="preserve"> le potentiel d'une implication passive ou active [n.d.t. des entités impliquées] ainsi que leur impact mutuel les unes sur les autres.</w:t>
            </w:r>
          </w:p>
          <w:p w14:paraId="4CC6FCE5" w14:textId="77777777" w:rsidR="00BF18CF" w:rsidRDefault="00E51347">
            <w:r>
              <w:lastRenderedPageBreak/>
              <w:t>Du fait de ce concept de présence, les évènements représentent des nœuds dans un réseau de choses reliées entre elles dans des combinaisons diverses à travers le temps et dans différents lieux [n.d.t. (en d'autres termes, un patron de « rencontre » des entités)].</w:t>
            </w:r>
          </w:p>
          <w:p w14:paraId="08E0B78F" w14:textId="77777777" w:rsidR="00BF18CF" w:rsidRDefault="00E51347">
            <w:r>
              <w:t xml:space="preserve">Les spécialisations les plus importantes de </w:t>
            </w:r>
            <w:r>
              <w:rPr>
                <w:rFonts w:ascii="Consolas" w:eastAsia="Consolas" w:hAnsi="Consolas" w:cs="Consolas"/>
                <w:sz w:val="22"/>
                <w:szCs w:val="22"/>
                <w:shd w:val="clear" w:color="auto" w:fill="EAEEF3"/>
              </w:rPr>
              <w:t>E77_Entité_persistante</w:t>
            </w:r>
            <w:r>
              <w:t xml:space="preserve"> dans ce contexte sont:</w:t>
            </w:r>
          </w:p>
          <w:p w14:paraId="2FEE9EAD" w14:textId="77777777" w:rsidR="00BF18CF" w:rsidRDefault="00E51347">
            <w:pPr>
              <w:numPr>
                <w:ilvl w:val="0"/>
                <w:numId w:val="24"/>
              </w:numPr>
            </w:pPr>
            <w:r>
              <w:rPr>
                <w:rFonts w:ascii="Consolas" w:eastAsia="Consolas" w:hAnsi="Consolas" w:cs="Consolas"/>
                <w:sz w:val="22"/>
                <w:szCs w:val="22"/>
                <w:shd w:val="clear" w:color="auto" w:fill="EAEEF3"/>
              </w:rPr>
              <w:t>E18_Chose_matérielle</w:t>
            </w:r>
            <w:r>
              <w:t>, qui désigne des entités dont l'identité est déterminée par la stabilité relative de leur forme matérielle;</w:t>
            </w:r>
          </w:p>
          <w:p w14:paraId="704A0F63" w14:textId="77777777" w:rsidR="00BF18CF" w:rsidRDefault="00E51347">
            <w:pPr>
              <w:numPr>
                <w:ilvl w:val="0"/>
                <w:numId w:val="24"/>
              </w:numPr>
            </w:pPr>
            <w:r>
              <w:rPr>
                <w:rFonts w:ascii="Consolas" w:eastAsia="Consolas" w:hAnsi="Consolas" w:cs="Consolas"/>
                <w:sz w:val="22"/>
                <w:szCs w:val="22"/>
                <w:shd w:val="clear" w:color="auto" w:fill="EAEEF3"/>
              </w:rPr>
              <w:t>E28_Objet_conceptuel</w:t>
            </w:r>
            <w:r>
              <w:t>, qui désigne des choses idéalisées qui peuvent être reconnues, mais ont une identité indépendante de leur matérialisation sur un support physique;</w:t>
            </w:r>
          </w:p>
          <w:p w14:paraId="643D402D" w14:textId="77777777" w:rsidR="00BF18CF" w:rsidRDefault="00E51347">
            <w:pPr>
              <w:numPr>
                <w:ilvl w:val="0"/>
                <w:numId w:val="24"/>
              </w:numPr>
            </w:pPr>
            <w:r>
              <w:rPr>
                <w:rFonts w:ascii="Consolas" w:eastAsia="Consolas" w:hAnsi="Consolas" w:cs="Consolas"/>
                <w:sz w:val="22"/>
                <w:szCs w:val="22"/>
                <w:shd w:val="clear" w:color="auto" w:fill="EAEEF3"/>
              </w:rPr>
              <w:t>E39_Actant</w:t>
            </w:r>
            <w:r>
              <w:t>, qui désigne des entités capables d'actions intentionnelles.</w:t>
            </w:r>
          </w:p>
          <w:p w14:paraId="1CD3D7E4" w14:textId="77777777" w:rsidR="00BF18CF" w:rsidRDefault="00E51347">
            <w:r>
              <w:t xml:space="preserve">La propriété </w:t>
            </w:r>
            <w:r>
              <w:rPr>
                <w:rFonts w:ascii="Consolas" w:eastAsia="Consolas" w:hAnsi="Consolas" w:cs="Consolas"/>
                <w:sz w:val="22"/>
                <w:szCs w:val="22"/>
                <w:shd w:val="clear" w:color="auto" w:fill="EAEEF3"/>
              </w:rPr>
              <w:t>P12_a_eu_lieu_en_présence_</w:t>
            </w:r>
            <w:proofErr w:type="gramStart"/>
            <w:r>
              <w:rPr>
                <w:rFonts w:ascii="Consolas" w:eastAsia="Consolas" w:hAnsi="Consolas" w:cs="Consolas"/>
                <w:sz w:val="22"/>
                <w:szCs w:val="22"/>
                <w:shd w:val="clear" w:color="auto" w:fill="EAEEF3"/>
              </w:rPr>
              <w:t>de</w:t>
            </w:r>
            <w:r>
              <w:t xml:space="preserve"> a</w:t>
            </w:r>
            <w:proofErr w:type="gramEnd"/>
            <w:r>
              <w:t xml:space="preserve"> 36 sous-propriétés directes et indirectes qui permettent de relier de nombreuses sous-classes de </w:t>
            </w:r>
            <w:r>
              <w:rPr>
                <w:rFonts w:ascii="Consolas" w:eastAsia="Consolas" w:hAnsi="Consolas" w:cs="Consolas"/>
                <w:sz w:val="22"/>
                <w:szCs w:val="22"/>
                <w:shd w:val="clear" w:color="auto" w:fill="EAEEF3"/>
              </w:rPr>
              <w:t>E5_Évènement</w:t>
            </w:r>
            <w:r>
              <w:t xml:space="preserve"> et de </w:t>
            </w:r>
            <w:r>
              <w:rPr>
                <w:rFonts w:ascii="Consolas" w:eastAsia="Consolas" w:hAnsi="Consolas" w:cs="Consolas"/>
                <w:sz w:val="22"/>
                <w:szCs w:val="22"/>
                <w:shd w:val="clear" w:color="auto" w:fill="EAEEF3"/>
              </w:rPr>
              <w:t>E77_Entité_persistante</w:t>
            </w:r>
            <w:r>
              <w:t xml:space="preserve"> telles que celles mentionnées ci-haut. Qu'une base de connaissances compatible avec le CIDOC CRM soit créée uniquement avec ces propriétés ou qu'elle le soit avec leurs spécialisations (qui sont beaucoup plus expressives), des requêtes utilisant les quatre propriétés susmentionnées (</w:t>
            </w:r>
            <w:r>
              <w:rPr>
                <w:rFonts w:ascii="Consolas" w:eastAsia="Consolas" w:hAnsi="Consolas" w:cs="Consolas"/>
                <w:sz w:val="22"/>
                <w:szCs w:val="22"/>
                <w:shd w:val="clear" w:color="auto" w:fill="EAEEF3"/>
              </w:rPr>
              <w:t>P1_est_identifié_par</w:t>
            </w:r>
            <w:r>
              <w:t xml:space="preserve">, </w:t>
            </w:r>
            <w:r>
              <w:rPr>
                <w:rFonts w:ascii="Consolas" w:eastAsia="Consolas" w:hAnsi="Consolas" w:cs="Consolas"/>
                <w:sz w:val="22"/>
                <w:szCs w:val="22"/>
                <w:shd w:val="clear" w:color="auto" w:fill="EAEEF3"/>
              </w:rPr>
              <w:t>P2_a_pour_type</w:t>
            </w:r>
            <w:r>
              <w:t xml:space="preserve">, </w:t>
            </w:r>
            <w:r>
              <w:rPr>
                <w:rFonts w:ascii="Consolas" w:eastAsia="Consolas" w:hAnsi="Consolas" w:cs="Consolas"/>
                <w:sz w:val="22"/>
                <w:szCs w:val="22"/>
                <w:shd w:val="clear" w:color="auto" w:fill="EAEEF3"/>
              </w:rPr>
              <w:t>P7_a_eu_lieu_dans</w:t>
            </w:r>
            <w:r>
              <w:t xml:space="preserve">, </w:t>
            </w:r>
            <w:r>
              <w:rPr>
                <w:rFonts w:ascii="Consolas" w:eastAsia="Consolas" w:hAnsi="Consolas" w:cs="Consolas"/>
                <w:sz w:val="22"/>
                <w:szCs w:val="22"/>
                <w:shd w:val="clear" w:color="auto" w:fill="EAEEF3"/>
              </w:rPr>
              <w:t>P12_a_eu_lieu_en_présence_de</w:t>
            </w:r>
            <w:r>
              <w:t>) permettent de répondre à la plupart des questions de type « qui, quand, où, quoi et comment » et permettent de rapatrier des histoires richement élaborées de personnes, de lieux, de temps et de choses.</w:t>
            </w:r>
          </w:p>
          <w:p w14:paraId="060DFBA1" w14:textId="77777777" w:rsidR="00BF18CF" w:rsidRDefault="00E51347">
            <w:r>
              <w:t xml:space="preserve">Ce patron de « rencontre » des entités est assorti de deux sous-classes supplémentaires de </w:t>
            </w:r>
            <w:r>
              <w:rPr>
                <w:rFonts w:ascii="Consolas" w:eastAsia="Consolas" w:hAnsi="Consolas" w:cs="Consolas"/>
                <w:sz w:val="22"/>
                <w:szCs w:val="22"/>
                <w:shd w:val="clear" w:color="auto" w:fill="EAEEF3"/>
              </w:rPr>
              <w:t>E5_Évènement</w:t>
            </w:r>
            <w:r>
              <w:t xml:space="preserve"> : </w:t>
            </w:r>
            <w:r>
              <w:rPr>
                <w:rFonts w:ascii="Consolas" w:eastAsia="Consolas" w:hAnsi="Consolas" w:cs="Consolas"/>
                <w:sz w:val="22"/>
                <w:szCs w:val="22"/>
                <w:shd w:val="clear" w:color="auto" w:fill="EAEEF3"/>
              </w:rPr>
              <w:t>E63_Début_d’existence</w:t>
            </w:r>
            <w:r>
              <w:t xml:space="preserve"> et </w:t>
            </w:r>
            <w:r>
              <w:rPr>
                <w:rFonts w:ascii="Consolas" w:eastAsia="Consolas" w:hAnsi="Consolas" w:cs="Consolas"/>
                <w:sz w:val="22"/>
                <w:szCs w:val="22"/>
                <w:shd w:val="clear" w:color="auto" w:fill="EAEEF3"/>
              </w:rPr>
              <w:t>E64_Fin_d’existence</w:t>
            </w:r>
            <w:r>
              <w:t>. Celles-ci impliquent non seulement la présence des entités, mais constituent aussi les frontières externes de l'existence de choses et de personnes dans l'espace et dans le temps, et ce le plus souvent en présence et en interaction directes avec d'autres entités, notamment de manière causale par le fait de produire, de consommer, ou d'être témoin d'une chose.</w:t>
            </w:r>
          </w:p>
          <w:p w14:paraId="617B12FF" w14:textId="77777777" w:rsidR="00BF18CF" w:rsidRDefault="00E51347">
            <w:r>
              <w:t xml:space="preserve">Puisque le CIDOC CRM supporte la multi-instanciation, des évènements particuliers peuvent être des instances de combinaisons de ces classes ou d'autres classes afin de décrire des processus étroitement interreliés de natures multiples. La représentation de choses connectées à des évènements par leur présence, par le début de leur existence, ou par la fin de celle-ci, est suffisante à la description d'une logique </w:t>
            </w:r>
            <w:r>
              <w:rPr>
                <w:i/>
              </w:rPr>
              <w:t>termini postquos et antequos</w:t>
            </w:r>
            <w:r>
              <w:t>, une forme de raisonnement logique crucial à la chronologie des études historiques.</w:t>
            </w:r>
          </w:p>
          <w:p w14:paraId="4994B3BA" w14:textId="77777777" w:rsidR="00BF18CF" w:rsidRDefault="00E51347">
            <w:r>
              <w:t>Par exemple :</w:t>
            </w:r>
          </w:p>
          <w:p w14:paraId="68BFC068" w14:textId="77777777" w:rsidR="00BF18CF" w:rsidRDefault="00E51347">
            <w:r>
              <w:t xml:space="preserve">Un exemple représentant adéquatement l'application des concepts susmentionnés dans le contexte de l'histoire de l'art est celui de Johann Joachim Winckelmann (érudit allemand) voyant l'œuvre sculptée intitulée </w:t>
            </w:r>
            <w:r>
              <w:rPr>
                <w:i/>
              </w:rPr>
              <w:t>Groupe du Laocoön</w:t>
            </w:r>
            <w:r>
              <w:t xml:space="preserve"> en 1755 au vatican à Rome (exposée dans le Cortile del Belvedere). En 1764, dans son article « Histoire de l'art dans l'Antiquité », il décrit ses impressions et articule les différences entre l'art grec, l'art gréco-romain, et l'art romain (il a d'ailleurs indiqué dans un article précédent que l'art grec se distingue par une « noble simplicité et une grandeur tranquille, tant dans l’attitude que dans l’expression »). La sculpture, de style hellenistique pergamene baroque (Bieber 1961, Brilliant 2000), est reconnue être une copie, d'un original grec, effectuée entre 27 AEC et 68 EC à la suite d'une commande par un mécène romain. Johann Joachim Winckelmann, fils de Martin Winckelmann et de Anna-Maria Meyer, est né en 1717 [à Stendal (Allemagne)] et décédé en 1768 à Trieste (Italie).</w:t>
            </w:r>
          </w:p>
          <w:p w14:paraId="1F454DD2" w14:textId="77777777" w:rsidR="00BF18CF" w:rsidRDefault="00E51347">
            <w:r>
              <w:lastRenderedPageBreak/>
              <w:t>La figure 2 représente un graphe sémantique de ces évènements à l'aide des concepts du CIDOC CRM:</w:t>
            </w:r>
          </w:p>
          <w:p w14:paraId="40C72451" w14:textId="77777777" w:rsidR="00BF18CF" w:rsidRDefault="00E51347">
            <w:pPr>
              <w:numPr>
                <w:ilvl w:val="0"/>
                <w:numId w:val="3"/>
              </w:numPr>
            </w:pPr>
            <w:r>
              <w:t>Les éléments entre parenthèses ne sont pas représentés dans le diagramme ci-dessous à des fins de clarté et de simplicité;</w:t>
            </w:r>
          </w:p>
          <w:p w14:paraId="32C905A7" w14:textId="77777777" w:rsidR="00BF18CF" w:rsidRDefault="00E51347">
            <w:pPr>
              <w:numPr>
                <w:ilvl w:val="0"/>
                <w:numId w:val="3"/>
              </w:numPr>
            </w:pPr>
            <w:r>
              <w:t>Les instances de classes sont représentées par des libellés informatifs plutôt que par des identifiants, eux-mêmes surmontés des libellés de leurs classes précédés de leur code;</w:t>
            </w:r>
          </w:p>
          <w:p w14:paraId="64EAA36B" w14:textId="77777777" w:rsidR="00BF18CF" w:rsidRDefault="00E51347">
            <w:pPr>
              <w:numPr>
                <w:ilvl w:val="0"/>
                <w:numId w:val="3"/>
              </w:numPr>
            </w:pPr>
            <w:r>
              <w:t>Les propriétés sont représentées à l'aide de flèches auxquelles sont associés les libellés des propriétés en question;</w:t>
            </w:r>
          </w:p>
          <w:p w14:paraId="188C3237" w14:textId="77777777" w:rsidR="00BF18CF" w:rsidRDefault="00E51347">
            <w:pPr>
              <w:numPr>
                <w:ilvl w:val="0"/>
                <w:numId w:val="3"/>
              </w:numPr>
            </w:pPr>
            <w:r>
              <w:t>Les identifiants entre parenthèses représentent les super-classes et super-propriétés de haut niveau illustrées dans la figure 1, et ce afin d'indiquer comment cette information aurait pu être représentée et faire l'objet de requêtes en utilisant un nombre limité de concepts (ceci illustre aussi en quoi la spécialisation des classes et propriétés permet d'augmenter l'expressivité du modèle sans en perdre la généricité);</w:t>
            </w:r>
          </w:p>
          <w:p w14:paraId="556F2280" w14:textId="77777777" w:rsidR="00BF18CF" w:rsidRDefault="00E51347">
            <w:pPr>
              <w:numPr>
                <w:ilvl w:val="0"/>
                <w:numId w:val="3"/>
              </w:numPr>
            </w:pPr>
            <w:r>
              <w:t xml:space="preserve">La propriété de haut niveau </w:t>
            </w:r>
            <w:r>
              <w:rPr>
                <w:rFonts w:ascii="Consolas" w:eastAsia="Consolas" w:hAnsi="Consolas" w:cs="Consolas"/>
                <w:sz w:val="22"/>
                <w:szCs w:val="22"/>
                <w:shd w:val="clear" w:color="auto" w:fill="EAEEF3"/>
              </w:rPr>
              <w:t>P67_renvoie_à (fait_l’objet_d’un_renvoi_par)</w:t>
            </w:r>
            <w:r>
              <w:t xml:space="preserve"> est aussi illustrée dans ce diagramme, celle-ci décrit un fait appuyé par des preuves qu'un objet informationnel (</w:t>
            </w:r>
            <w:r>
              <w:rPr>
                <w:rFonts w:ascii="Consolas" w:eastAsia="Consolas" w:hAnsi="Consolas" w:cs="Consolas"/>
                <w:sz w:val="22"/>
                <w:szCs w:val="22"/>
                <w:shd w:val="clear" w:color="auto" w:fill="EAEEF3"/>
              </w:rPr>
              <w:t>E33_Objet_linguistique</w:t>
            </w:r>
            <w:r>
              <w:t>) réfère à une entité identifiable.</w:t>
            </w:r>
          </w:p>
          <w:p w14:paraId="238B5D05" w14:textId="77777777" w:rsidR="00BF18CF" w:rsidRDefault="00E51347">
            <w:r>
              <w:t>Il est intéressant de noter que le transfert d'information depuis l'original grec, vers sa copie romaine, puis vers l'esprit de Winckelmann et finalement vers ses écrits ne peut être compris que par cette chaîne de rencontres entre des entités présentes à différentes occasions. Il faut aussi noter que le degré de véracité perçue d'un fait n'affecte pas le choix des concepts du CIDOC CRM utilisés pour représenter ce fait; il n'affecte pas non plus le concept de réalité qui sous-tend le modèle lui-même.</w:t>
            </w:r>
          </w:p>
          <w:p w14:paraId="347C5E76" w14:textId="77777777" w:rsidR="00BF18CF" w:rsidRDefault="00E51347">
            <w:r>
              <w:rPr>
                <w:noProof/>
              </w:rPr>
              <w:lastRenderedPageBreak/>
              <w:drawing>
                <wp:inline distT="0" distB="0" distL="0" distR="0" wp14:anchorId="223D6D91" wp14:editId="29A109DA">
                  <wp:extent cx="6672813" cy="5643827"/>
                  <wp:effectExtent l="0" t="0" r="0" b="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9"/>
                          <a:srcRect/>
                          <a:stretch>
                            <a:fillRect/>
                          </a:stretch>
                        </pic:blipFill>
                        <pic:spPr>
                          <a:xfrm>
                            <a:off x="0" y="0"/>
                            <a:ext cx="6672813" cy="5643827"/>
                          </a:xfrm>
                          <a:prstGeom prst="rect">
                            <a:avLst/>
                          </a:prstGeom>
                          <a:ln/>
                        </pic:spPr>
                      </pic:pic>
                    </a:graphicData>
                  </a:graphic>
                </wp:inline>
              </w:drawing>
            </w:r>
          </w:p>
          <w:p w14:paraId="22409FF3" w14:textId="77777777" w:rsidR="00BF18CF" w:rsidRDefault="00E51347">
            <w:r>
              <w:rPr>
                <w:i/>
              </w:rPr>
              <w:t>Figure 2 : Exemple d'encodage avec le CIDOC CRM (Winckelmann voyant le</w:t>
            </w:r>
            <w:r>
              <w:t xml:space="preserve"> Laocoön</w:t>
            </w:r>
            <w:r>
              <w:rPr>
                <w:i/>
              </w:rPr>
              <w:t>)</w:t>
            </w:r>
          </w:p>
          <w:p w14:paraId="2444E0E8" w14:textId="77777777" w:rsidR="00BF18CF" w:rsidRDefault="00E51347">
            <w:r>
              <w:t>Tel que mentionné plus haut, le concept central du CIDOC CRM est la représentation d'une part de la réalité qui peut être représentée approximativement par un réseau de choses se rencontrant selon des combinaisons variées à travers le temps et l'espace. La figure 3 reprend l'exemple ci-haut afin de représenter symboliquement ce concept de « rencontre ». Ce diagramme a pour objectif d'illustrer comment par le passé les personnes et les choses ont performé des trajectoires dans l'espace et dans le temps qui sont en grande partie inconnues. Néanmoins, les faits historiques connus indiquent des intervalles temporels limités lors desquels les trajectoires de ces personnes et de ces choses se sont croisées à des lieux connus ou inconnus, ce qui permet de contraindre les hypothèses quant à leur présence.</w:t>
            </w:r>
          </w:p>
          <w:p w14:paraId="0174DD88" w14:textId="77777777" w:rsidR="00BF18CF" w:rsidRDefault="00E51347">
            <w:r>
              <w:t>Le CIDOC CRM fait usage d'un axe temporel vertical et d'une représentation unidimensionnelle de l'espace telle qu'elle est utilisée en archéologie afin de décrire l'évolution à travers le temps de périodes ou de cultures.</w:t>
            </w:r>
          </w:p>
          <w:p w14:paraId="7B635530" w14:textId="77777777" w:rsidR="00BF18CF" w:rsidRDefault="00E51347">
            <w:r>
              <w:t>La figure 3 offre un aperçu du système relationnel spatial et temporel du CIDOC CRM.</w:t>
            </w:r>
          </w:p>
          <w:p w14:paraId="2CC807C7" w14:textId="77777777" w:rsidR="00BF18CF" w:rsidRDefault="00E51347">
            <w:r>
              <w:rPr>
                <w:noProof/>
              </w:rPr>
              <w:lastRenderedPageBreak/>
              <w:drawing>
                <wp:inline distT="0" distB="0" distL="0" distR="0" wp14:anchorId="2203B030" wp14:editId="028AD990">
                  <wp:extent cx="6324600" cy="4991100"/>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0"/>
                          <a:srcRect/>
                          <a:stretch>
                            <a:fillRect/>
                          </a:stretch>
                        </pic:blipFill>
                        <pic:spPr>
                          <a:xfrm>
                            <a:off x="0" y="0"/>
                            <a:ext cx="6324600" cy="4991100"/>
                          </a:xfrm>
                          <a:prstGeom prst="rect">
                            <a:avLst/>
                          </a:prstGeom>
                          <a:ln/>
                        </pic:spPr>
                      </pic:pic>
                    </a:graphicData>
                  </a:graphic>
                </wp:inline>
              </w:drawing>
            </w:r>
          </w:p>
          <w:p w14:paraId="10DF2D8B" w14:textId="77777777" w:rsidR="00BF18CF" w:rsidRDefault="00E51347">
            <w:r>
              <w:rPr>
                <w:i/>
              </w:rPr>
              <w:t>Figure 3: Représentation symbolique de « Winckelmann voyant le Laocoön » en tant qu'évolution dans le temps et l'espace</w:t>
            </w:r>
          </w:p>
          <w:p w14:paraId="5CE2F593" w14:textId="77777777" w:rsidR="00BF18CF" w:rsidRDefault="00E51347">
            <w:pPr>
              <w:numPr>
                <w:ilvl w:val="0"/>
                <w:numId w:val="5"/>
              </w:numPr>
            </w:pPr>
            <w:r>
              <w:t>La trajectoire des personnes et des choses est symbolisée par des lignes reliant les évènements et dotées d'une ombre afin d'illustrer leur indétermination et leur nature floue;</w:t>
            </w:r>
          </w:p>
          <w:p w14:paraId="09F3FE91" w14:textId="77777777" w:rsidR="00BF18CF" w:rsidRDefault="00E51347">
            <w:pPr>
              <w:numPr>
                <w:ilvl w:val="0"/>
                <w:numId w:val="5"/>
              </w:numPr>
            </w:pPr>
            <w:r>
              <w:t>Les trajectoires des personnes, capables de se mouvoir de leur propre volition, sont illustrées par des flèches pleines;</w:t>
            </w:r>
          </w:p>
          <w:p w14:paraId="7079C54F" w14:textId="77777777" w:rsidR="00BF18CF" w:rsidRDefault="00E51347">
            <w:pPr>
              <w:numPr>
                <w:ilvl w:val="0"/>
                <w:numId w:val="5"/>
              </w:numPr>
            </w:pPr>
            <w:r>
              <w:t>Les trajectoires des choses inanimées, incapables de se mouvoir de leur propre volition, sont illustrées par des flèches pointillées;</w:t>
            </w:r>
          </w:p>
          <w:p w14:paraId="0A93503A" w14:textId="77777777" w:rsidR="00BF18CF" w:rsidRDefault="00E51347">
            <w:pPr>
              <w:numPr>
                <w:ilvl w:val="0"/>
                <w:numId w:val="5"/>
              </w:numPr>
            </w:pPr>
            <w:r>
              <w:t>Les évènements, dont la nature spatiale et temporelle est floue, sont représentés dans des bulles à l'effet glacé;</w:t>
            </w:r>
          </w:p>
          <w:p w14:paraId="50798388" w14:textId="77777777" w:rsidR="00BF18CF" w:rsidRDefault="00E51347">
            <w:pPr>
              <w:numPr>
                <w:ilvl w:val="0"/>
                <w:numId w:val="5"/>
              </w:numPr>
            </w:pPr>
            <w:r>
              <w:t>Dans le contexte de cette illustration qui représente un patron général, les choses peuvent « survivre » aux évènements, en émerger, ou s'y éteindre;</w:t>
            </w:r>
          </w:p>
          <w:p w14:paraId="60B7D6AA" w14:textId="77777777" w:rsidR="00BF18CF" w:rsidRDefault="00E51347">
            <w:pPr>
              <w:numPr>
                <w:ilvl w:val="0"/>
                <w:numId w:val="5"/>
              </w:numPr>
            </w:pPr>
            <w:r>
              <w:t>Le début et la fin de l'existence imposent des contraintes temporelles additionnelles aux évènements de nature causale interreliés dans cet exemple, ce qui peut parfois être plus signifiant que l'usage de dates explicites;</w:t>
            </w:r>
          </w:p>
          <w:p w14:paraId="07B324EF" w14:textId="77777777" w:rsidR="00BF18CF" w:rsidRDefault="00E51347">
            <w:pPr>
              <w:numPr>
                <w:ilvl w:val="0"/>
                <w:numId w:val="5"/>
              </w:numPr>
            </w:pPr>
            <w:r>
              <w:lastRenderedPageBreak/>
              <w:t>Les fins d'existence non-recensées de personnes et de choses, ces fins étant elles aussi des évènements, sont illustrées par la présence d'un point à la fin de leur trajectoire, elle-même représentée par une flèche.</w:t>
            </w:r>
          </w:p>
          <w:p w14:paraId="7E9C8AE2" w14:textId="77777777" w:rsidR="00BF18CF" w:rsidRDefault="00E51347">
            <w:r>
              <w:t>Ce système constitue un outil important pour la documentation du passé et possède une certaine complexité qui doit sommairement être comprise.</w:t>
            </w:r>
          </w:p>
        </w:tc>
      </w:tr>
    </w:tbl>
    <w:p w14:paraId="626FEFFA" w14:textId="77777777" w:rsidR="00BF18CF" w:rsidRDefault="00BF18CF"/>
    <w:tbl>
      <w:tblPr>
        <w:tblStyle w:val="a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410"/>
        <w:gridCol w:w="9280"/>
      </w:tblGrid>
      <w:tr w:rsidR="00BF18CF" w:rsidRPr="000467B7" w14:paraId="45FF3249" w14:textId="77777777" w:rsidTr="00BF18CF">
        <w:tc>
          <w:tcPr>
            <w:tcW w:w="1410" w:type="dxa"/>
          </w:tcPr>
          <w:p w14:paraId="7B5628AD" w14:textId="38A9B5BD" w:rsidR="00BF18CF" w:rsidRDefault="00F27208">
            <w:r>
              <w:rPr>
                <w:i/>
              </w:rPr>
              <w:t>Note de traduction</w:t>
            </w:r>
          </w:p>
        </w:tc>
        <w:tc>
          <w:tcPr>
            <w:tcW w:w="9280" w:type="dxa"/>
          </w:tcPr>
          <w:p w14:paraId="33637367" w14:textId="77777777" w:rsidR="00BF18CF" w:rsidRDefault="00E51347">
            <w:r>
              <w:t>Les auteurs mentionnent les « </w:t>
            </w:r>
            <w:r>
              <w:rPr>
                <w:i/>
              </w:rPr>
              <w:t>termini postquos and antequos</w:t>
            </w:r>
            <w:r>
              <w:t xml:space="preserve"> » qui réfèrent aux concepts de </w:t>
            </w:r>
            <w:r>
              <w:rPr>
                <w:i/>
              </w:rPr>
              <w:t>terminus ante quem</w:t>
            </w:r>
            <w:r>
              <w:t xml:space="preserve"> (c.-à-d. « date avant laquelle », qui signale la date avant laquelle un événement s'est nécessairement produit) et de </w:t>
            </w:r>
            <w:r>
              <w:rPr>
                <w:i/>
              </w:rPr>
              <w:t>terminus post quem</w:t>
            </w:r>
            <w:r>
              <w:t xml:space="preserve"> (c.-à-d. « date à partir de laquelle », qui signale la date à partir de laquelle un événement s'est nécessairement produit).</w:t>
            </w:r>
          </w:p>
          <w:p w14:paraId="094F0851" w14:textId="77777777" w:rsidR="00BF18CF" w:rsidRDefault="00E51347">
            <w:r>
              <w:t xml:space="preserve">La traduction de la citation de Wincklemann « noble simplicity, silent grandeur » (« noble simplicité et une grandeur tranquille, tant dans l’attitude que dans l’expression ») est issue de la traduction par Laure Cahen-Maurel de </w:t>
            </w:r>
            <w:r>
              <w:rPr>
                <w:i/>
              </w:rPr>
              <w:t>Pensées sur l’imitation des oeuvres grecques en peinture et en sculpture</w:t>
            </w:r>
            <w:r>
              <w:t>, où Winckelmann utilise cette expression dès 1755.</w:t>
            </w:r>
          </w:p>
          <w:p w14:paraId="37FED35C" w14:textId="77777777" w:rsidR="00BF18CF" w:rsidRPr="00EE61A5" w:rsidRDefault="00E51347">
            <w:pPr>
              <w:rPr>
                <w:lang w:val="en-CA"/>
              </w:rPr>
            </w:pPr>
            <w:r w:rsidRPr="00EE61A5">
              <w:rPr>
                <w:lang w:val="en-CA"/>
              </w:rPr>
              <w:t xml:space="preserve">Après consultation de la figure 3 à laquelle le texte fait référence, la phrase « Non-animate things use to be stationary if not transferred, whereas people may move around on their own » a été interprétée de la manière </w:t>
            </w:r>
            <w:proofErr w:type="gramStart"/>
            <w:r w:rsidRPr="00EE61A5">
              <w:rPr>
                <w:lang w:val="en-CA"/>
              </w:rPr>
              <w:t>suivante :</w:t>
            </w:r>
            <w:proofErr w:type="gramEnd"/>
            <w:r w:rsidRPr="00EE61A5">
              <w:rPr>
                <w:lang w:val="en-CA"/>
              </w:rPr>
              <w:t xml:space="preserve"> « Non-animate things use dotted lines to illustrate they are stationary if not transferred, whereas people may move around on their own and are using full lines ».</w:t>
            </w:r>
          </w:p>
        </w:tc>
      </w:tr>
      <w:tr w:rsidR="00BF18CF" w14:paraId="6002C606" w14:textId="77777777" w:rsidTr="00BF18CF">
        <w:tc>
          <w:tcPr>
            <w:tcW w:w="1410" w:type="dxa"/>
          </w:tcPr>
          <w:p w14:paraId="6A38E765" w14:textId="77777777" w:rsidR="00BF18CF" w:rsidRDefault="00E51347">
            <w:r>
              <w:rPr>
                <w:i/>
              </w:rPr>
              <w:t>Références</w:t>
            </w:r>
          </w:p>
        </w:tc>
        <w:tc>
          <w:tcPr>
            <w:tcW w:w="9280" w:type="dxa"/>
          </w:tcPr>
          <w:p w14:paraId="2411F578" w14:textId="77777777" w:rsidR="00BF18CF" w:rsidRDefault="00E51347">
            <w:r>
              <w:t xml:space="preserve">Winckelmann, Johann Joachim. </w:t>
            </w:r>
            <w:r>
              <w:rPr>
                <w:i/>
              </w:rPr>
              <w:t>Pensées sur l’imitation des oeuvres grecques en peinture et en sculpture</w:t>
            </w:r>
            <w:r>
              <w:t>. Traduit par Laure Cahen-Maurel. Le dix-huitième siècle – entre les lumières et l’incendie. 1755. Reprint, Paris, FR-IDF: Allia, 2005.</w:t>
            </w:r>
            <w:hyperlink r:id="rId351">
              <w:r>
                <w:rPr>
                  <w:color w:val="4F81BD"/>
                </w:rPr>
                <w:t xml:space="preserve"> https://www.editions-allia.com/fr/livre/91/pensees-sur-limitation-des-uvres-grecques-en-peinture-et-en-sculpture</w:t>
              </w:r>
            </w:hyperlink>
            <w:r>
              <w:t>.</w:t>
            </w:r>
          </w:p>
        </w:tc>
      </w:tr>
    </w:tbl>
    <w:p w14:paraId="6573AE51" w14:textId="77777777" w:rsidR="00BF18CF" w:rsidRDefault="00E51347">
      <w:pPr>
        <w:pStyle w:val="Heading3"/>
      </w:pPr>
      <w:bookmarkStart w:id="79" w:name="bookmark=id.206ipza" w:colFirst="0" w:colLast="0"/>
      <w:bookmarkStart w:id="80" w:name="_Toc144360783"/>
      <w:bookmarkEnd w:id="79"/>
      <w:r>
        <w:t>Des relations spatiales</w:t>
      </w:r>
      <w:bookmarkEnd w:id="80"/>
    </w:p>
    <w:tbl>
      <w:tblPr>
        <w:tblStyle w:val="a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5ED2C328" w14:textId="77777777" w:rsidTr="00BF18CF">
        <w:tc>
          <w:tcPr>
            <w:tcW w:w="10690" w:type="dxa"/>
          </w:tcPr>
          <w:p w14:paraId="21F346F9" w14:textId="77777777" w:rsidR="00BF18CF" w:rsidRDefault="00E51347">
            <w:r>
              <w:t xml:space="preserve">L'un des axes centraux de la recherche historique et documentaire est le positionnement dans l'espace de ce qui s'est produit ainsi que des entités impliquées, de même que le raisonnement logique associé à ces relations spatiales. La classe essentielle à la modélisation de cette information dans le CIDOC CRM est </w:t>
            </w:r>
            <w:r>
              <w:rPr>
                <w:rFonts w:ascii="Consolas" w:eastAsia="Consolas" w:hAnsi="Consolas" w:cs="Consolas"/>
                <w:sz w:val="22"/>
                <w:szCs w:val="22"/>
                <w:shd w:val="clear" w:color="auto" w:fill="EAEEF3"/>
              </w:rPr>
              <w:t>E53_Lieu</w:t>
            </w:r>
            <w:r>
              <w:t xml:space="preserve">. Cette dernière est utilisée pour documenter des étendues géométriques dans un espace physique contenant des positions réelles ou possibles de choses ou d'évènements. Les classes et propriétés de haut niveau associées à </w:t>
            </w:r>
            <w:r>
              <w:rPr>
                <w:rFonts w:ascii="Consolas" w:eastAsia="Consolas" w:hAnsi="Consolas" w:cs="Consolas"/>
                <w:sz w:val="22"/>
                <w:szCs w:val="22"/>
                <w:shd w:val="clear" w:color="auto" w:fill="EAEEF3"/>
              </w:rPr>
              <w:t>E53_Lieu</w:t>
            </w:r>
            <w:r>
              <w:t xml:space="preserve"> permettent de documenter :</w:t>
            </w:r>
          </w:p>
          <w:p w14:paraId="0CF6875E" w14:textId="77777777" w:rsidR="00BF18CF" w:rsidRDefault="00E51347">
            <w:pPr>
              <w:numPr>
                <w:ilvl w:val="0"/>
                <w:numId w:val="8"/>
              </w:numPr>
            </w:pPr>
            <w:r>
              <w:t>Les relations entre des lieux;</w:t>
            </w:r>
          </w:p>
          <w:p w14:paraId="68B3CA82" w14:textId="77777777" w:rsidR="00BF18CF" w:rsidRDefault="00E51347">
            <w:pPr>
              <w:numPr>
                <w:ilvl w:val="0"/>
                <w:numId w:val="8"/>
              </w:numPr>
            </w:pPr>
            <w:r>
              <w:t>Les expressions géométriques définissant ou approximant un lieu ainsi que de documenter la fonction sémantique de ces expressions;</w:t>
            </w:r>
          </w:p>
          <w:p w14:paraId="546CC141" w14:textId="77777777" w:rsidR="00BF18CF" w:rsidRDefault="00E51347">
            <w:pPr>
              <w:numPr>
                <w:ilvl w:val="0"/>
                <w:numId w:val="8"/>
              </w:numPr>
            </w:pPr>
            <w:r>
              <w:t>L'historiques des localisations d'un objet physique (traçage);</w:t>
            </w:r>
          </w:p>
          <w:p w14:paraId="6B3EC742" w14:textId="77777777" w:rsidR="00BF18CF" w:rsidRDefault="00E51347">
            <w:pPr>
              <w:numPr>
                <w:ilvl w:val="0"/>
                <w:numId w:val="8"/>
              </w:numPr>
            </w:pPr>
            <w:r>
              <w:t>L'historiques des localisations d'un individu ou d'un groupe;</w:t>
            </w:r>
          </w:p>
          <w:p w14:paraId="626F175A" w14:textId="77777777" w:rsidR="00BF18CF" w:rsidRDefault="00E51347">
            <w:pPr>
              <w:numPr>
                <w:ilvl w:val="0"/>
                <w:numId w:val="8"/>
              </w:numPr>
            </w:pPr>
            <w:r>
              <w:t>Les lieux situés sur un objet physique;</w:t>
            </w:r>
          </w:p>
          <w:p w14:paraId="5ADFB295" w14:textId="77777777" w:rsidR="00BF18CF" w:rsidRDefault="00E51347">
            <w:pPr>
              <w:numPr>
                <w:ilvl w:val="0"/>
                <w:numId w:val="8"/>
              </w:numPr>
            </w:pPr>
            <w:r>
              <w:lastRenderedPageBreak/>
              <w:t>Les étendues spatiales de certaines entités temporelles.</w:t>
            </w:r>
          </w:p>
          <w:p w14:paraId="52D2E4A1" w14:textId="77777777" w:rsidR="00BF18CF" w:rsidRDefault="00E51347">
            <w:r>
              <w:rPr>
                <w:noProof/>
              </w:rPr>
              <w:drawing>
                <wp:inline distT="0" distB="0" distL="0" distR="0" wp14:anchorId="23C91EAA" wp14:editId="75AA1FD2">
                  <wp:extent cx="6660367" cy="4079552"/>
                  <wp:effectExtent l="0" t="0" r="0" b="0"/>
                  <wp:docPr id="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2"/>
                          <a:srcRect/>
                          <a:stretch>
                            <a:fillRect/>
                          </a:stretch>
                        </pic:blipFill>
                        <pic:spPr>
                          <a:xfrm>
                            <a:off x="0" y="0"/>
                            <a:ext cx="6660367" cy="4079552"/>
                          </a:xfrm>
                          <a:prstGeom prst="rect">
                            <a:avLst/>
                          </a:prstGeom>
                          <a:ln/>
                        </pic:spPr>
                      </pic:pic>
                    </a:graphicData>
                  </a:graphic>
                </wp:inline>
              </w:drawing>
            </w:r>
          </w:p>
          <w:p w14:paraId="7F99E0E8" w14:textId="77777777" w:rsidR="00BF18CF" w:rsidRDefault="00E51347">
            <w:r>
              <w:rPr>
                <w:i/>
              </w:rPr>
              <w:t>Figure 4: Propriétés et classes fondamentales pour le raisonnement logique au sujet d'information spatiale</w:t>
            </w:r>
          </w:p>
          <w:p w14:paraId="4D561E1D" w14:textId="77777777" w:rsidR="00BF18CF" w:rsidRDefault="00E51347">
            <w:r>
              <w:t>Les relations entre les lieux:</w:t>
            </w:r>
          </w:p>
          <w:p w14:paraId="7BCE25DC" w14:textId="77777777" w:rsidR="00BF18CF" w:rsidRDefault="00E51347">
            <w:r>
              <w:t xml:space="preserve">Le regroupement des relations </w:t>
            </w:r>
            <w:r>
              <w:rPr>
                <w:rFonts w:ascii="Consolas" w:eastAsia="Consolas" w:hAnsi="Consolas" w:cs="Consolas"/>
                <w:sz w:val="22"/>
                <w:szCs w:val="22"/>
                <w:shd w:val="clear" w:color="auto" w:fill="EAEEF3"/>
              </w:rPr>
              <w:t>P89_s’insère_dans (contient)</w:t>
            </w:r>
            <w:r>
              <w:t xml:space="preserve">, </w:t>
            </w:r>
            <w:r>
              <w:rPr>
                <w:rFonts w:ascii="Consolas" w:eastAsia="Consolas" w:hAnsi="Consolas" w:cs="Consolas"/>
                <w:sz w:val="22"/>
                <w:szCs w:val="22"/>
                <w:shd w:val="clear" w:color="auto" w:fill="EAEEF3"/>
              </w:rPr>
              <w:t>P121_se_superpose_partiellement_à</w:t>
            </w:r>
            <w:r>
              <w:t xml:space="preserve">, </w:t>
            </w:r>
            <w:r>
              <w:rPr>
                <w:rFonts w:ascii="Consolas" w:eastAsia="Consolas" w:hAnsi="Consolas" w:cs="Consolas"/>
                <w:sz w:val="22"/>
                <w:szCs w:val="22"/>
                <w:shd w:val="clear" w:color="auto" w:fill="EAEEF3"/>
              </w:rPr>
              <w:t>P122_est_limitrophe_de</w:t>
            </w:r>
            <w:r>
              <w:t xml:space="preserve"> et </w:t>
            </w:r>
            <w:r>
              <w:rPr>
                <w:rFonts w:ascii="Consolas" w:eastAsia="Consolas" w:hAnsi="Consolas" w:cs="Consolas"/>
                <w:sz w:val="22"/>
                <w:szCs w:val="22"/>
                <w:shd w:val="clear" w:color="auto" w:fill="EAEEF3"/>
              </w:rPr>
              <w:t>P189_approxime (est_approximé_par)</w:t>
            </w:r>
            <w:r>
              <w:t xml:space="preserve"> permet d'exprimer des relations relatives entre des lieux. Ces propriétés se situent entre des instances de </w:t>
            </w:r>
            <w:r>
              <w:rPr>
                <w:rFonts w:ascii="Consolas" w:eastAsia="Consolas" w:hAnsi="Consolas" w:cs="Consolas"/>
                <w:sz w:val="22"/>
                <w:szCs w:val="22"/>
                <w:shd w:val="clear" w:color="auto" w:fill="EAEEF3"/>
              </w:rPr>
              <w:t>E53_Lieu</w:t>
            </w:r>
            <w:r>
              <w:t xml:space="preserve"> et permettent d'ordonner de manière interne des lieux en utilisant des concepts méréotopologiques communs.</w:t>
            </w:r>
          </w:p>
          <w:p w14:paraId="2E8F5545" w14:textId="77777777" w:rsidR="00BF18CF" w:rsidRDefault="00E51347">
            <w:r>
              <w:t>Les expressions géométriques des lieux :</w:t>
            </w:r>
          </w:p>
          <w:p w14:paraId="4BC704B8" w14:textId="77777777" w:rsidR="00BF18CF" w:rsidRDefault="00E51347">
            <w:r>
              <w:t>La documentation contemporaine d'information spatiale bénéficie, d'une part, d'équipements spécialisés pour le recensement précis de lieux et, d'autre part, de bibliothèques d'informations géoréférencées au sujet des lieux. Pour cette raison, la documentation des lieux inclut souvent le recensement de coordonnées précises pour un lieu référencé.</w:t>
            </w:r>
          </w:p>
          <w:p w14:paraId="2D0CD9B7" w14:textId="77777777" w:rsidR="00BF18CF" w:rsidRDefault="00E51347">
            <w:r>
              <w:t xml:space="preserve">Il est crucial, d'un point de vue sémantique, de comprendre la manière dont l'expression géométrique d'un lieu </w:t>
            </w:r>
            <w:r>
              <w:rPr>
                <w:rFonts w:ascii="Consolas" w:eastAsia="Consolas" w:hAnsi="Consolas" w:cs="Consolas"/>
                <w:sz w:val="22"/>
                <w:szCs w:val="22"/>
                <w:shd w:val="clear" w:color="auto" w:fill="EAEEF3"/>
              </w:rPr>
              <w:t>A</w:t>
            </w:r>
            <w:r>
              <w:t xml:space="preserve"> est liée à un lieu référencé </w:t>
            </w:r>
            <w:r>
              <w:rPr>
                <w:rFonts w:ascii="Consolas" w:eastAsia="Consolas" w:hAnsi="Consolas" w:cs="Consolas"/>
                <w:sz w:val="22"/>
                <w:szCs w:val="22"/>
                <w:shd w:val="clear" w:color="auto" w:fill="EAEEF3"/>
              </w:rPr>
              <w:t>B</w:t>
            </w:r>
            <w:r>
              <w:t xml:space="preserve">. Le regroupement des relations </w:t>
            </w:r>
            <w:r>
              <w:rPr>
                <w:rFonts w:ascii="Consolas" w:eastAsia="Consolas" w:hAnsi="Consolas" w:cs="Consolas"/>
                <w:sz w:val="22"/>
                <w:szCs w:val="22"/>
                <w:shd w:val="clear" w:color="auto" w:fill="EAEEF3"/>
              </w:rPr>
              <w:t>P168_lieu_défini_par (définit_le_lieu)</w:t>
            </w:r>
            <w:r>
              <w:t xml:space="preserve">, </w:t>
            </w:r>
            <w:r>
              <w:rPr>
                <w:rFonts w:ascii="Consolas" w:eastAsia="Consolas" w:hAnsi="Consolas" w:cs="Consolas"/>
                <w:sz w:val="22"/>
                <w:szCs w:val="22"/>
                <w:shd w:val="clear" w:color="auto" w:fill="EAEEF3"/>
              </w:rPr>
              <w:t>P171_quelque_part_dans</w:t>
            </w:r>
            <w:r>
              <w:t xml:space="preserve"> et </w:t>
            </w:r>
            <w:r>
              <w:rPr>
                <w:rFonts w:ascii="Consolas" w:eastAsia="Consolas" w:hAnsi="Consolas" w:cs="Consolas"/>
                <w:sz w:val="22"/>
                <w:szCs w:val="22"/>
                <w:shd w:val="clear" w:color="auto" w:fill="EAEEF3"/>
              </w:rPr>
              <w:t>P172_contient</w:t>
            </w:r>
            <w:r>
              <w:t xml:space="preserve"> permet ceci en liant des expressions géométriques de lieux </w:t>
            </w:r>
            <w:r>
              <w:rPr>
                <w:rFonts w:ascii="Consolas" w:eastAsia="Consolas" w:hAnsi="Consolas" w:cs="Consolas"/>
                <w:sz w:val="22"/>
                <w:szCs w:val="22"/>
                <w:shd w:val="clear" w:color="auto" w:fill="EAEEF3"/>
              </w:rPr>
              <w:t>A</w:t>
            </w:r>
            <w:r>
              <w:t xml:space="preserve"> tout en indiquant précisément comment ces expressions sont liées au lieu référencé </w:t>
            </w:r>
            <w:r>
              <w:rPr>
                <w:rFonts w:ascii="Consolas" w:eastAsia="Consolas" w:hAnsi="Consolas" w:cs="Consolas"/>
                <w:sz w:val="22"/>
                <w:szCs w:val="22"/>
                <w:shd w:val="clear" w:color="auto" w:fill="EAEEF3"/>
              </w:rPr>
              <w:t>B</w:t>
            </w:r>
            <w:r>
              <w:t>.</w:t>
            </w:r>
          </w:p>
          <w:p w14:paraId="61091746" w14:textId="77777777" w:rsidR="00BF18CF" w:rsidRDefault="00E51347">
            <w:r>
              <w:t xml:space="preserve">Les expressions géométriques de lieux sont des instances de </w:t>
            </w:r>
            <w:r>
              <w:rPr>
                <w:rFonts w:ascii="Consolas" w:eastAsia="Consolas" w:hAnsi="Consolas" w:cs="Consolas"/>
                <w:sz w:val="22"/>
                <w:szCs w:val="22"/>
                <w:shd w:val="clear" w:color="auto" w:fill="EAEEF3"/>
              </w:rPr>
              <w:t>E94_Primitive_spatiale</w:t>
            </w:r>
            <w:r>
              <w:t xml:space="preserve">, une classe primitive ayant pour fonction d'exprimer des valeurs dans des systèmes de données qui ne sont pas </w:t>
            </w:r>
            <w:r>
              <w:lastRenderedPageBreak/>
              <w:t>couverts par le CIDOC CRM. Les propriétés susmentionnées procurent une interface valide pour CRMgeo (Doerr &amp; Hiebel 2013) qui mobilise les standards OGC [n.d.t. standards de l'Open Geospatial Consortium qui assurent l'interopérabilité dans les domaines de la géomatique et de l'information].</w:t>
            </w:r>
          </w:p>
          <w:p w14:paraId="34CEB172" w14:textId="77777777" w:rsidR="00BF18CF" w:rsidRDefault="00E51347">
            <w:r>
              <w:t>L'historique des localisations d'objets physiques :</w:t>
            </w:r>
          </w:p>
          <w:p w14:paraId="787A3428" w14:textId="77777777" w:rsidR="00BF18CF" w:rsidRDefault="00E51347">
            <w:r>
              <w:t xml:space="preserve">Les instances de </w:t>
            </w:r>
            <w:r>
              <w:rPr>
                <w:rFonts w:ascii="Consolas" w:eastAsia="Consolas" w:hAnsi="Consolas" w:cs="Consolas"/>
                <w:sz w:val="22"/>
                <w:szCs w:val="22"/>
                <w:shd w:val="clear" w:color="auto" w:fill="EAEEF3"/>
              </w:rPr>
              <w:t>E53_Lieu</w:t>
            </w:r>
            <w:r>
              <w:t xml:space="preserve"> sont souvent référencées afin d'enregistrer la localisation d'un objet et, lorsque les déplacements d'un objet à travers le temps sont eux-mêmes pertinents, il est aussi important de pouvoir recenser ces différentes localisations tant de manière spatiale que temporelle. Pour ce faire, le CIDOC CRM propose deux mécanismes de haut niveau permettant de tracer la relation des objets aux lieux.</w:t>
            </w:r>
          </w:p>
          <w:p w14:paraId="032FE942" w14:textId="77777777" w:rsidR="00BF18CF" w:rsidRDefault="00E51347">
            <w:r>
              <w:t xml:space="preserve">Dans l'éventualité où l'aspect temporel n'est pas d'intérêt ou est inconnu, un objet peut être lié à un lieu grâce aux propriétés </w:t>
            </w:r>
            <w:r>
              <w:rPr>
                <w:rFonts w:ascii="Consolas" w:eastAsia="Consolas" w:hAnsi="Consolas" w:cs="Consolas"/>
                <w:sz w:val="22"/>
                <w:szCs w:val="22"/>
                <w:shd w:val="clear" w:color="auto" w:fill="EAEEF3"/>
              </w:rPr>
              <w:t>P53_a_pour_localisation_actuelle_ou_antérieure (est_la_localisation_actuelle_ou_antérieure_de)</w:t>
            </w:r>
            <w:r>
              <w:t xml:space="preserve"> et </w:t>
            </w:r>
            <w:r>
              <w:rPr>
                <w:rFonts w:ascii="Consolas" w:eastAsia="Consolas" w:hAnsi="Consolas" w:cs="Consolas"/>
                <w:sz w:val="22"/>
                <w:szCs w:val="22"/>
                <w:shd w:val="clear" w:color="auto" w:fill="EAEEF3"/>
              </w:rPr>
              <w:t>P55_a_actuellement_pour_localisation (est_actuellement_la_localisation_de)</w:t>
            </w:r>
            <w:r>
              <w:t>. La première est appropriée pour documenter la relation d'un objet à un lieu lorsque les éléments temporels sont inconnus. La seconde est appropriée lorsque la localisation actuelle est activement suivie.</w:t>
            </w:r>
          </w:p>
          <w:p w14:paraId="60142CDE" w14:textId="77777777" w:rsidR="00BF18CF" w:rsidRDefault="00E51347">
            <w:r>
              <w:t xml:space="preserve">Lorsqu'un historique précis des aspects temporels de la localisation est disponible, il est préférable d'utiliser la classe temporelle </w:t>
            </w:r>
            <w:r>
              <w:rPr>
                <w:rFonts w:ascii="Consolas" w:eastAsia="Consolas" w:hAnsi="Consolas" w:cs="Consolas"/>
                <w:sz w:val="22"/>
                <w:szCs w:val="22"/>
                <w:shd w:val="clear" w:color="auto" w:fill="EAEEF3"/>
              </w:rPr>
              <w:t>E9_Déplacement</w:t>
            </w:r>
            <w:r>
              <w:t xml:space="preserve"> dont l'instanciation permet de documenter l'origine, la destination, et l'objet d'un évènement de déplacement de concert avec les propriétés </w:t>
            </w:r>
            <w:r>
              <w:rPr>
                <w:rFonts w:ascii="Consolas" w:eastAsia="Consolas" w:hAnsi="Consolas" w:cs="Consolas"/>
                <w:sz w:val="22"/>
                <w:szCs w:val="22"/>
                <w:shd w:val="clear" w:color="auto" w:fill="EAEEF3"/>
              </w:rPr>
              <w:t>P25_a_déplacé (a_été_déplacé_par)</w:t>
            </w:r>
            <w:r>
              <w:t xml:space="preserve">, </w:t>
            </w:r>
            <w:r>
              <w:rPr>
                <w:rFonts w:ascii="Consolas" w:eastAsia="Consolas" w:hAnsi="Consolas" w:cs="Consolas"/>
                <w:sz w:val="22"/>
                <w:szCs w:val="22"/>
                <w:shd w:val="clear" w:color="auto" w:fill="EAEEF3"/>
              </w:rPr>
              <w:t>P26_a_déplacé_vers (a_été_la_destination_de)</w:t>
            </w:r>
            <w:r>
              <w:t xml:space="preserve"> et </w:t>
            </w:r>
            <w:r>
              <w:rPr>
                <w:rFonts w:ascii="Consolas" w:eastAsia="Consolas" w:hAnsi="Consolas" w:cs="Consolas"/>
                <w:sz w:val="22"/>
                <w:szCs w:val="22"/>
                <w:shd w:val="clear" w:color="auto" w:fill="EAEEF3"/>
              </w:rPr>
              <w:t>P27_a_déplacé_depuis (a_été_le_point_de_départ_de)</w:t>
            </w:r>
            <w:r>
              <w:t xml:space="preserve">. Puisque c'est une classe temporelle, </w:t>
            </w:r>
            <w:r>
              <w:rPr>
                <w:rFonts w:ascii="Consolas" w:eastAsia="Consolas" w:hAnsi="Consolas" w:cs="Consolas"/>
                <w:sz w:val="22"/>
                <w:szCs w:val="22"/>
                <w:shd w:val="clear" w:color="auto" w:fill="EAEEF3"/>
              </w:rPr>
              <w:t>E9_Déplacement</w:t>
            </w:r>
            <w:r>
              <w:t xml:space="preserve"> permet aussi de tracer la temporalité, l'agentivité [n.d.t. d'un actant], etc.</w:t>
            </w:r>
          </w:p>
          <w:p w14:paraId="010A1AB8" w14:textId="77777777" w:rsidR="00BF18CF" w:rsidRDefault="00E51347">
            <w:r>
              <w:t>Il est important de prendre en considération que des choses peuvent être déplacées indirectement du fait de leur appartenance à d'autres choses (c.-à-d. parce qu'elles sont des parties d'ensembles ou parce qu'elles sont contenues par une autre chose).</w:t>
            </w:r>
          </w:p>
          <w:p w14:paraId="7BAFB5B2" w14:textId="77777777" w:rsidR="00BF18CF" w:rsidRDefault="00E51347">
            <w:r>
              <w:t>L'historique des localisations d'actants :</w:t>
            </w:r>
          </w:p>
          <w:p w14:paraId="1EDA57FE" w14:textId="77777777" w:rsidR="00BF18CF" w:rsidRDefault="00E51347">
            <w:r>
              <w:t xml:space="preserve">L'historique des localisations d'actants est comparable à l'historique des localisations d'objets physiques à la différence que dans le CIDOC CRM l'actant est défini comme étant une entité dotée d'agentivité (contrairement à d'autres entités physiques ou objets). L'essence de l'actant n'étant pas physique, celui-ci ne peut pas être le sujet d'instances de </w:t>
            </w:r>
            <w:r>
              <w:rPr>
                <w:rFonts w:ascii="Consolas" w:eastAsia="Consolas" w:hAnsi="Consolas" w:cs="Consolas"/>
                <w:sz w:val="22"/>
                <w:szCs w:val="22"/>
                <w:shd w:val="clear" w:color="auto" w:fill="EAEEF3"/>
              </w:rPr>
              <w:t>E9_Déplacement</w:t>
            </w:r>
            <w:r>
              <w:t xml:space="preserve"> afin de documenter ses relocalisations. Le CIDOC CRM offre donc la notion de résidence (</w:t>
            </w:r>
            <w:r>
              <w:rPr>
                <w:rFonts w:ascii="Consolas" w:eastAsia="Consolas" w:hAnsi="Consolas" w:cs="Consolas"/>
                <w:sz w:val="22"/>
                <w:szCs w:val="22"/>
                <w:shd w:val="clear" w:color="auto" w:fill="EAEEF3"/>
              </w:rPr>
              <w:t>P74_a_pour_résidence_actuelle_ou_antérieure (est_la_résidence_actuelle_ou_antérieure_de)</w:t>
            </w:r>
            <w:r>
              <w:t>) afin de documenter la relation d'une personne ou d'un groupe à une localisation le temps d'une résidence dans un lieu.</w:t>
            </w:r>
          </w:p>
          <w:p w14:paraId="396E60B3" w14:textId="77777777" w:rsidR="00BF18CF" w:rsidRDefault="00E51347">
            <w:r>
              <w:t>Les lieux situés sur des objets physiques :</w:t>
            </w:r>
          </w:p>
          <w:p w14:paraId="5A807A0F" w14:textId="77777777" w:rsidR="00BF18CF" w:rsidRDefault="00E51347">
            <w:r>
              <w:t xml:space="preserve">L'enregistrement de données patrimoniales et scientifiques exige souvent le recensement de l'emplacement précis d'un objet, d'une caractéristique, d'un phénomène ou de son observation (p. ex. dans le cas d'objets mobiles comme des bateaux). La propriété </w:t>
            </w:r>
            <w:r>
              <w:rPr>
                <w:rFonts w:ascii="Consolas" w:eastAsia="Consolas" w:hAnsi="Consolas" w:cs="Consolas"/>
                <w:sz w:val="22"/>
                <w:szCs w:val="22"/>
                <w:shd w:val="clear" w:color="auto" w:fill="EAEEF3"/>
              </w:rPr>
              <w:t>P59_a_pour_section (se_situe_sur_ou_dans)</w:t>
            </w:r>
            <w:r>
              <w:t xml:space="preserve"> peut être utilisée dans ce contexte afin de lier l'objet aux lieux qui sont définis sur ou dans celui-ci.</w:t>
            </w:r>
          </w:p>
          <w:p w14:paraId="0DD772C9" w14:textId="77777777" w:rsidR="00BF18CF" w:rsidRDefault="00E51347">
            <w:r>
              <w:t>Par défaut, c'est la planète Terre qui est désignée comme objet physique sur lequel les lieux sont interreliés. Des relations plus précises grâce à des références aux plaques tectoniques peuvent cependant être nécessaires dans le cadre d'analyses géologiques.</w:t>
            </w:r>
          </w:p>
          <w:p w14:paraId="1D5B3AA0" w14:textId="77777777" w:rsidR="00BF18CF" w:rsidRDefault="00E51347">
            <w:r>
              <w:lastRenderedPageBreak/>
              <w:t>Les étendues spatiales d'entités temporelles :</w:t>
            </w:r>
          </w:p>
          <w:p w14:paraId="4FE4C90B" w14:textId="77777777" w:rsidR="00BF18CF" w:rsidRDefault="00E51347">
            <w:r>
              <w:t xml:space="preserve">Le CIDOC CRM offre deux propriétés permettant de définir spatialement l'étendue temporelle de phénomènes (celles-ci s'appliquent à toutes les instances d'entités temporelles relevant de la classe </w:t>
            </w:r>
            <w:r>
              <w:rPr>
                <w:rFonts w:ascii="Consolas" w:eastAsia="Consolas" w:hAnsi="Consolas" w:cs="Consolas"/>
                <w:sz w:val="22"/>
                <w:szCs w:val="22"/>
                <w:shd w:val="clear" w:color="auto" w:fill="EAEEF3"/>
              </w:rPr>
              <w:t>E4_Période</w:t>
            </w:r>
            <w:r>
              <w:t>) :</w:t>
            </w:r>
          </w:p>
          <w:p w14:paraId="17017853" w14:textId="77777777" w:rsidR="00BF18CF" w:rsidRDefault="00E51347">
            <w:pPr>
              <w:numPr>
                <w:ilvl w:val="0"/>
                <w:numId w:val="11"/>
              </w:numPr>
            </w:pPr>
            <w:r>
              <w:rPr>
                <w:rFonts w:ascii="Consolas" w:eastAsia="Consolas" w:hAnsi="Consolas" w:cs="Consolas"/>
                <w:sz w:val="22"/>
                <w:szCs w:val="22"/>
                <w:shd w:val="clear" w:color="auto" w:fill="EAEEF3"/>
              </w:rPr>
              <w:t>P7_a_eu_lieu_dans (a_été_témoin_de)</w:t>
            </w:r>
            <w:r>
              <w:t xml:space="preserve"> permet de relier directement un phénomène temporel à des instances de </w:t>
            </w:r>
            <w:r>
              <w:rPr>
                <w:rFonts w:ascii="Consolas" w:eastAsia="Consolas" w:hAnsi="Consolas" w:cs="Consolas"/>
                <w:sz w:val="22"/>
                <w:szCs w:val="22"/>
                <w:shd w:val="clear" w:color="auto" w:fill="EAEEF3"/>
              </w:rPr>
              <w:t>E53_Lieu</w:t>
            </w:r>
            <w:r>
              <w:t>, fournissant de ce fait le contexte géométrique dans lequel le phénomène a pris place;</w:t>
            </w:r>
          </w:p>
          <w:p w14:paraId="2E71CD03" w14:textId="77777777" w:rsidR="00BF18CF" w:rsidRDefault="00E51347">
            <w:pPr>
              <w:numPr>
                <w:ilvl w:val="0"/>
                <w:numId w:val="11"/>
              </w:numPr>
            </w:pPr>
            <w:r>
              <w:rPr>
                <w:rFonts w:ascii="Consolas" w:eastAsia="Consolas" w:hAnsi="Consolas" w:cs="Consolas"/>
                <w:sz w:val="22"/>
                <w:szCs w:val="22"/>
                <w:shd w:val="clear" w:color="auto" w:fill="EAEEF3"/>
              </w:rPr>
              <w:t>P8_a_eu_lieu_à (a_été_témoin_de)</w:t>
            </w:r>
            <w:r>
              <w:t xml:space="preserve"> permet la documentation d'un phénomène temporel par rapport à un objet physique, ce qui est utile pour l'enregistrement d'information où la localisation géométrique n'est pas directement pertinente ou est inconnue (p. ex. l'occurrence d'un évènement sur un bateau en déplacement ou dans l'enceinte d'un conteneur d'entreposage particulier).</w:t>
            </w:r>
          </w:p>
        </w:tc>
      </w:tr>
    </w:tbl>
    <w:p w14:paraId="5695B1EB" w14:textId="77777777" w:rsidR="00BF18CF" w:rsidRDefault="00BF18CF"/>
    <w:tbl>
      <w:tblPr>
        <w:tblStyle w:val="affd"/>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678B8759" w14:textId="77777777" w:rsidTr="00BF18CF">
        <w:tc>
          <w:tcPr>
            <w:tcW w:w="1828" w:type="dxa"/>
          </w:tcPr>
          <w:p w14:paraId="47D75CC9" w14:textId="65F09687" w:rsidR="00BF18CF" w:rsidRDefault="00F27208">
            <w:r>
              <w:rPr>
                <w:i/>
              </w:rPr>
              <w:t>Note de traduction</w:t>
            </w:r>
          </w:p>
        </w:tc>
        <w:tc>
          <w:tcPr>
            <w:tcW w:w="8867" w:type="dxa"/>
          </w:tcPr>
          <w:p w14:paraId="2C0F71BF" w14:textId="77777777" w:rsidR="00BF18CF" w:rsidRDefault="00BF18CF">
            <w:pPr>
              <w:pBdr>
                <w:top w:val="nil"/>
                <w:left w:val="nil"/>
                <w:bottom w:val="nil"/>
                <w:right w:val="nil"/>
                <w:between w:val="nil"/>
              </w:pBdr>
              <w:spacing w:before="36" w:after="36"/>
              <w:rPr>
                <w:color w:val="000000"/>
              </w:rPr>
            </w:pPr>
          </w:p>
        </w:tc>
      </w:tr>
      <w:tr w:rsidR="00BF18CF" w14:paraId="680ADDC6" w14:textId="77777777" w:rsidTr="00BF18CF">
        <w:tc>
          <w:tcPr>
            <w:tcW w:w="1828" w:type="dxa"/>
          </w:tcPr>
          <w:p w14:paraId="6ED44ECD" w14:textId="77777777" w:rsidR="00BF18CF" w:rsidRDefault="00E51347">
            <w:r>
              <w:rPr>
                <w:i/>
              </w:rPr>
              <w:t>Références</w:t>
            </w:r>
          </w:p>
        </w:tc>
        <w:tc>
          <w:tcPr>
            <w:tcW w:w="8867" w:type="dxa"/>
          </w:tcPr>
          <w:p w14:paraId="61DFF6C5" w14:textId="77777777" w:rsidR="00BF18CF" w:rsidRDefault="00BF18CF">
            <w:pPr>
              <w:pBdr>
                <w:top w:val="nil"/>
                <w:left w:val="nil"/>
                <w:bottom w:val="nil"/>
                <w:right w:val="nil"/>
                <w:between w:val="nil"/>
              </w:pBdr>
              <w:spacing w:before="36" w:after="36"/>
              <w:rPr>
                <w:color w:val="000000"/>
              </w:rPr>
            </w:pPr>
          </w:p>
        </w:tc>
      </w:tr>
    </w:tbl>
    <w:p w14:paraId="03EAD897" w14:textId="77777777" w:rsidR="00BF18CF" w:rsidRDefault="00E51347">
      <w:pPr>
        <w:pStyle w:val="Heading3"/>
      </w:pPr>
      <w:bookmarkStart w:id="81" w:name="bookmark=id.4k668n3" w:colFirst="0" w:colLast="0"/>
      <w:bookmarkStart w:id="82" w:name="_Toc144360784"/>
      <w:bookmarkEnd w:id="81"/>
      <w:r>
        <w:t>Des relations temporelles</w:t>
      </w:r>
      <w:bookmarkEnd w:id="82"/>
    </w:p>
    <w:tbl>
      <w:tblPr>
        <w:tblStyle w:val="a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18562553" w14:textId="77777777" w:rsidTr="00BF18CF">
        <w:tc>
          <w:tcPr>
            <w:tcW w:w="10690" w:type="dxa"/>
          </w:tcPr>
          <w:p w14:paraId="6383BC4B" w14:textId="77777777" w:rsidR="00BF18CF" w:rsidRDefault="00E51347">
            <w:r>
              <w:t>Le discours historique et scientifique au sujet du passé concerne plusieurs niveaux de savoirs concernant des évènements et leur ordonnancement temporel tel qu'il s'inscrit dans une chronologie. Cette chronologie est fondamentale à la compréhension de l'histoire sociale et naturelle ainsi qu'à l'établissement de raisonnement logique au sujet des relations temporelles et de la causalité qui y sont directement rattachées. Une grande quantité d'observations physiques permet des inférences temporelles et vice versa. Il est important de pouvoir documenter la temporalité en ce qui a trait aux dates connues ainsi qu'en termes de positionnement relatif dans une ligne du temps historique. Les propriétés de haut niveau du CIDOC CRM qui sont liées à des entités temporelles supportent la documentation de :</w:t>
            </w:r>
          </w:p>
          <w:p w14:paraId="4FDB863A" w14:textId="77777777" w:rsidR="00BF18CF" w:rsidRDefault="00E51347">
            <w:pPr>
              <w:numPr>
                <w:ilvl w:val="0"/>
                <w:numId w:val="14"/>
              </w:numPr>
            </w:pPr>
            <w:r>
              <w:t>Dates en tant qu'intervalles temporels ou que dimensions temporelles;</w:t>
            </w:r>
          </w:p>
          <w:p w14:paraId="33B93803" w14:textId="77777777" w:rsidR="00BF18CF" w:rsidRDefault="00E51347">
            <w:pPr>
              <w:numPr>
                <w:ilvl w:val="0"/>
                <w:numId w:val="14"/>
              </w:numPr>
            </w:pPr>
            <w:r>
              <w:t>Relations méréologiques entre des entités temporelles;</w:t>
            </w:r>
          </w:p>
          <w:p w14:paraId="63A695DE" w14:textId="77777777" w:rsidR="00BF18CF" w:rsidRDefault="00E51347">
            <w:pPr>
              <w:numPr>
                <w:ilvl w:val="0"/>
                <w:numId w:val="14"/>
              </w:numPr>
            </w:pPr>
            <w:r>
              <w:t>Relations topologiques formant une suite complète.</w:t>
            </w:r>
          </w:p>
          <w:p w14:paraId="08D04A22" w14:textId="77777777" w:rsidR="00BF18CF" w:rsidRDefault="00E51347">
            <w:r>
              <w:t>Les dates et les durées :</w:t>
            </w:r>
          </w:p>
          <w:p w14:paraId="39B89DB8" w14:textId="77777777" w:rsidR="00BF18CF" w:rsidRDefault="00E51347">
            <w:r>
              <w:t xml:space="preserve">Lorsque des dates absolues limitant une entité temporelle sont connues, une instanciation de la propriété </w:t>
            </w:r>
            <w:r>
              <w:rPr>
                <w:rFonts w:ascii="Consolas" w:eastAsia="Consolas" w:hAnsi="Consolas" w:cs="Consolas"/>
                <w:sz w:val="22"/>
                <w:szCs w:val="22"/>
                <w:shd w:val="clear" w:color="auto" w:fill="EAEEF3"/>
              </w:rPr>
              <w:t>P4_a_pour_intervalle_temporel (est_l’intervalle_temporel_de)</w:t>
            </w:r>
            <w:r>
              <w:t xml:space="preserve"> et la création d'une instance de </w:t>
            </w:r>
            <w:r>
              <w:rPr>
                <w:rFonts w:ascii="Consolas" w:eastAsia="Consolas" w:hAnsi="Consolas" w:cs="Consolas"/>
                <w:sz w:val="22"/>
                <w:szCs w:val="22"/>
                <w:shd w:val="clear" w:color="auto" w:fill="EAEEF3"/>
              </w:rPr>
              <w:t>E52_Intervalle_temporel</w:t>
            </w:r>
            <w:r>
              <w:t xml:space="preserve"> sont recommandées. Ces dates devraient aussi être enregistrées comme instances de </w:t>
            </w:r>
            <w:r>
              <w:rPr>
                <w:rFonts w:ascii="Consolas" w:eastAsia="Consolas" w:hAnsi="Consolas" w:cs="Consolas"/>
                <w:sz w:val="22"/>
                <w:szCs w:val="22"/>
                <w:shd w:val="clear" w:color="auto" w:fill="EAEEF3"/>
              </w:rPr>
              <w:t>E61_Primitive_temporelle</w:t>
            </w:r>
            <w:r>
              <w:t xml:space="preserve"> et reliées à l'intervalle temporel par les propriétés </w:t>
            </w:r>
            <w:r>
              <w:rPr>
                <w:rFonts w:ascii="Consolas" w:eastAsia="Consolas" w:hAnsi="Consolas" w:cs="Consolas"/>
                <w:sz w:val="22"/>
                <w:szCs w:val="22"/>
                <w:shd w:val="clear" w:color="auto" w:fill="EAEEF3"/>
              </w:rPr>
              <w:t>P81_a_couvert</w:t>
            </w:r>
            <w:r>
              <w:t xml:space="preserve"> et </w:t>
            </w:r>
            <w:r>
              <w:rPr>
                <w:rFonts w:ascii="Consolas" w:eastAsia="Consolas" w:hAnsi="Consolas" w:cs="Consolas"/>
                <w:sz w:val="22"/>
                <w:szCs w:val="22"/>
                <w:shd w:val="clear" w:color="auto" w:fill="EAEEF3"/>
              </w:rPr>
              <w:t>P82_a_eu_lieu_durant</w:t>
            </w:r>
            <w:r>
              <w:t xml:space="preserve">. Puisque dans le CIDOC CRM le temps est enregistré à travers des intervalles (plutôt qu'à travers des instants), le choix de la propriété </w:t>
            </w:r>
            <w:r>
              <w:rPr>
                <w:rFonts w:ascii="Consolas" w:eastAsia="Consolas" w:hAnsi="Consolas" w:cs="Consolas"/>
                <w:sz w:val="22"/>
                <w:szCs w:val="22"/>
                <w:shd w:val="clear" w:color="auto" w:fill="EAEEF3"/>
              </w:rPr>
              <w:t>P81_a_couvert</w:t>
            </w:r>
            <w:r>
              <w:t xml:space="preserve"> permet de documenter le fait qu'un phénomène temporel avait lieu à tout le moins durant tous les instants d'un intervalle temporel connu. La propriété </w:t>
            </w:r>
            <w:r>
              <w:rPr>
                <w:rFonts w:ascii="Consolas" w:eastAsia="Consolas" w:hAnsi="Consolas" w:cs="Consolas"/>
                <w:sz w:val="22"/>
                <w:szCs w:val="22"/>
                <w:shd w:val="clear" w:color="auto" w:fill="EAEEF3"/>
              </w:rPr>
              <w:t>P82_a_eu_lieu_durant</w:t>
            </w:r>
            <w:r>
              <w:t xml:space="preserve"> permet d'affirmer moins précisément qu'un phénomène s'est produit à l'intérieur d'un intervalle temporel particulier sans pour autant indiquer précisément à quel moment. Cette dernière approche est la plus </w:t>
            </w:r>
            <w:r>
              <w:lastRenderedPageBreak/>
              <w:t>utilisée dans le cas de dates historiques où une année peut être indiquée bien que la durée de l'évènement ait certainement été moindre. Le mode d'encodage des dates lors du processus de documentation ne relève pas du CIDOC CRM qui le définit par le biais d'une classe primitive (</w:t>
            </w:r>
            <w:r>
              <w:rPr>
                <w:rFonts w:ascii="Consolas" w:eastAsia="Consolas" w:hAnsi="Consolas" w:cs="Consolas"/>
                <w:sz w:val="22"/>
                <w:szCs w:val="22"/>
                <w:shd w:val="clear" w:color="auto" w:fill="EAEEF3"/>
              </w:rPr>
              <w:t>E61_Primitive_temporelle</w:t>
            </w:r>
            <w:r>
              <w:t xml:space="preserve">). Finalement, la propriété </w:t>
            </w:r>
            <w:r>
              <w:rPr>
                <w:rFonts w:ascii="Consolas" w:eastAsia="Consolas" w:hAnsi="Consolas" w:cs="Consolas"/>
                <w:sz w:val="22"/>
                <w:szCs w:val="22"/>
                <w:shd w:val="clear" w:color="auto" w:fill="EAEEF3"/>
              </w:rPr>
              <w:t>P191_a_eu_pour_durée (était_la_durée_de)</w:t>
            </w:r>
            <w:r>
              <w:t xml:space="preserve"> peut être déployée afin de documenter un phénomène temporel dont la durée est déterminée sans que son positionnement temporel ne soit pour autant connu. Par exemple, la documentation d'une naissance pourrait indiquer que l'accouchement a duré 3 heures et a eu lieu une année précise.</w:t>
            </w:r>
          </w:p>
          <w:p w14:paraId="7A876B7D" w14:textId="77777777" w:rsidR="00BF18CF" w:rsidRDefault="00E51347">
            <w:r>
              <w:t xml:space="preserve">Pour documenter des intervalles temporels précis qui résultent de déclarations plutôt que d'observations, l'usage de la propriété </w:t>
            </w:r>
            <w:r>
              <w:rPr>
                <w:rFonts w:ascii="Consolas" w:eastAsia="Consolas" w:hAnsi="Consolas" w:cs="Consolas"/>
                <w:sz w:val="22"/>
                <w:szCs w:val="22"/>
                <w:shd w:val="clear" w:color="auto" w:fill="EAEEF3"/>
              </w:rPr>
              <w:t>P170_définit_le_temps (temps_défini_par)</w:t>
            </w:r>
            <w:r>
              <w:t xml:space="preserve"> est recommandé. Cela serait par exemple pertinent pour représenter un intervalle temporel dans lequel de multiples évènements s'inscrivent car cette propriété permet de spécifier un intervalle temporel uniquement à l'aide d'une primitive temporelle plutôt que par l'usage plus alambiqué de </w:t>
            </w:r>
            <w:r>
              <w:rPr>
                <w:rFonts w:ascii="Consolas" w:eastAsia="Consolas" w:hAnsi="Consolas" w:cs="Consolas"/>
                <w:sz w:val="22"/>
                <w:szCs w:val="22"/>
                <w:shd w:val="clear" w:color="auto" w:fill="EAEEF3"/>
              </w:rPr>
              <w:t>P81_a_couvert</w:t>
            </w:r>
            <w:r>
              <w:t xml:space="preserve"> et </w:t>
            </w:r>
            <w:r>
              <w:rPr>
                <w:rFonts w:ascii="Consolas" w:eastAsia="Consolas" w:hAnsi="Consolas" w:cs="Consolas"/>
                <w:sz w:val="22"/>
                <w:szCs w:val="22"/>
                <w:shd w:val="clear" w:color="auto" w:fill="EAEEF3"/>
              </w:rPr>
              <w:t>P82_a_eu_lieu_durant</w:t>
            </w:r>
            <w:r>
              <w:t xml:space="preserve"> faisant usage d'une primitive temporelle identique.</w:t>
            </w:r>
          </w:p>
          <w:p w14:paraId="38339DD6" w14:textId="77777777" w:rsidR="00BF18CF" w:rsidRDefault="00E51347">
            <w:r>
              <w:rPr>
                <w:noProof/>
              </w:rPr>
              <w:drawing>
                <wp:inline distT="0" distB="0" distL="0" distR="0" wp14:anchorId="1A93B7BF" wp14:editId="2FFCE8FD">
                  <wp:extent cx="6651350" cy="3794561"/>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3"/>
                          <a:srcRect/>
                          <a:stretch>
                            <a:fillRect/>
                          </a:stretch>
                        </pic:blipFill>
                        <pic:spPr>
                          <a:xfrm>
                            <a:off x="0" y="0"/>
                            <a:ext cx="6651350" cy="3794561"/>
                          </a:xfrm>
                          <a:prstGeom prst="rect">
                            <a:avLst/>
                          </a:prstGeom>
                          <a:ln/>
                        </pic:spPr>
                      </pic:pic>
                    </a:graphicData>
                  </a:graphic>
                </wp:inline>
              </w:drawing>
            </w:r>
          </w:p>
          <w:p w14:paraId="2F3AE54C" w14:textId="77777777" w:rsidR="00BF18CF" w:rsidRDefault="00E51347">
            <w:r>
              <w:rPr>
                <w:i/>
              </w:rPr>
              <w:t>Figure 5: Propriétés et classes fondamentales pour le raisonnement logique au sujet d'information temporelle</w:t>
            </w:r>
          </w:p>
          <w:p w14:paraId="017B6430" w14:textId="77777777" w:rsidR="00BF18CF" w:rsidRDefault="00E51347">
            <w:r>
              <w:t>Les relations méréologiques :</w:t>
            </w:r>
          </w:p>
          <w:p w14:paraId="75BF352A" w14:textId="77777777" w:rsidR="00BF18CF" w:rsidRDefault="00E51347">
            <w:r>
              <w:t>La documentation d'une relation partie-tout associée à un phénomène temporel est essentielle au raisonnement historique. Le CIDOC CRM distingue deux spécialisations immédiates des entités temporelles :</w:t>
            </w:r>
          </w:p>
          <w:p w14:paraId="43678126" w14:textId="77777777" w:rsidR="00BF18CF" w:rsidRDefault="00E51347">
            <w:pPr>
              <w:numPr>
                <w:ilvl w:val="0"/>
                <w:numId w:val="16"/>
              </w:numPr>
            </w:pPr>
            <w:r>
              <w:rPr>
                <w:rFonts w:ascii="Consolas" w:eastAsia="Consolas" w:hAnsi="Consolas" w:cs="Consolas"/>
                <w:sz w:val="22"/>
                <w:szCs w:val="22"/>
                <w:shd w:val="clear" w:color="auto" w:fill="EAEEF3"/>
              </w:rPr>
              <w:t>E4_Période</w:t>
            </w:r>
            <w:r>
              <w:t xml:space="preserve"> est un concept de haut niveau pour la documentation de phénomènes temporels portant sur des changements ou des interactions dans l'espace et dans le temps. Ceci inclut des périodes historiques (p. ex. Ming, Romaine) sans pour autant s'y limiter. </w:t>
            </w:r>
            <w:r>
              <w:rPr>
                <w:rFonts w:ascii="Consolas" w:eastAsia="Consolas" w:hAnsi="Consolas" w:cs="Consolas"/>
                <w:sz w:val="22"/>
                <w:szCs w:val="22"/>
                <w:shd w:val="clear" w:color="auto" w:fill="EAEEF3"/>
              </w:rPr>
              <w:t>E4_Période</w:t>
            </w:r>
            <w:r>
              <w:t xml:space="preserve"> est l'objet </w:t>
            </w:r>
            <w:r>
              <w:lastRenderedPageBreak/>
              <w:t>de davantage de spécialisation grâce à une riche hiérarchie de processus et d'activités plus spécifiques.</w:t>
            </w:r>
          </w:p>
          <w:p w14:paraId="74D25B9A" w14:textId="77777777" w:rsidR="00BF18CF" w:rsidRDefault="00E51347">
            <w:pPr>
              <w:numPr>
                <w:ilvl w:val="0"/>
                <w:numId w:val="16"/>
              </w:numPr>
            </w:pPr>
            <w:r>
              <w:rPr>
                <w:rFonts w:ascii="Consolas" w:eastAsia="Consolas" w:hAnsi="Consolas" w:cs="Consolas"/>
                <w:sz w:val="22"/>
                <w:szCs w:val="22"/>
                <w:shd w:val="clear" w:color="auto" w:fill="EAEEF3"/>
              </w:rPr>
              <w:t>E3_État_matériel</w:t>
            </w:r>
            <w:r>
              <w:t xml:space="preserve"> est une classe spécifique pour la documentation de phases statiques de choses physiques. Le CIDOC CRM ne décrit pas à l'heure actuelle de classe de haut niveau pour les phases statiques car ces dernières constituent la plupart du temps des déductions issues de multiples observations, sont souvent problématiques en termes d'intégration de l'information, et sont vulnérables à la révision non-monotone.</w:t>
            </w:r>
          </w:p>
          <w:p w14:paraId="45112A1E" w14:textId="77777777" w:rsidR="00BF18CF" w:rsidRDefault="00E51347">
            <w:r>
              <w:t>Pour ces deux classes deux relations méréologiques sont articulées par le CIDOC CRM :</w:t>
            </w:r>
          </w:p>
          <w:p w14:paraId="3E898E73" w14:textId="77777777" w:rsidR="00BF18CF" w:rsidRDefault="00E51347">
            <w:pPr>
              <w:numPr>
                <w:ilvl w:val="0"/>
                <w:numId w:val="18"/>
              </w:numPr>
            </w:pPr>
            <w:r>
              <w:rPr>
                <w:i/>
              </w:rPr>
              <w:t>Des relations de partie-tout</w:t>
            </w:r>
            <w:r>
              <w:t xml:space="preserve"> documentées entre des instances de </w:t>
            </w:r>
            <w:r>
              <w:rPr>
                <w:rFonts w:ascii="Consolas" w:eastAsia="Consolas" w:hAnsi="Consolas" w:cs="Consolas"/>
                <w:sz w:val="22"/>
                <w:szCs w:val="22"/>
                <w:shd w:val="clear" w:color="auto" w:fill="EAEEF3"/>
              </w:rPr>
              <w:t>E3_État_matériel</w:t>
            </w:r>
            <w:r>
              <w:t xml:space="preserve"> grâce à la propriété </w:t>
            </w:r>
            <w:r>
              <w:rPr>
                <w:rFonts w:ascii="Consolas" w:eastAsia="Consolas" w:hAnsi="Consolas" w:cs="Consolas"/>
                <w:sz w:val="22"/>
                <w:szCs w:val="22"/>
                <w:shd w:val="clear" w:color="auto" w:fill="EAEEF3"/>
              </w:rPr>
              <w:t>P5_comprend (fait_partie_de)</w:t>
            </w:r>
            <w:r>
              <w:t xml:space="preserve">, et documentées entre des instances de </w:t>
            </w:r>
            <w:r>
              <w:rPr>
                <w:rFonts w:ascii="Consolas" w:eastAsia="Consolas" w:hAnsi="Consolas" w:cs="Consolas"/>
                <w:sz w:val="22"/>
                <w:szCs w:val="22"/>
                <w:shd w:val="clear" w:color="auto" w:fill="EAEEF3"/>
              </w:rPr>
              <w:t>E4_Période</w:t>
            </w:r>
            <w:r>
              <w:t xml:space="preserve"> grâce à la propriété </w:t>
            </w:r>
            <w:r>
              <w:rPr>
                <w:rFonts w:ascii="Consolas" w:eastAsia="Consolas" w:hAnsi="Consolas" w:cs="Consolas"/>
                <w:sz w:val="22"/>
                <w:szCs w:val="22"/>
                <w:shd w:val="clear" w:color="auto" w:fill="EAEEF3"/>
              </w:rPr>
              <w:t>P9_comprend (fait_partie_de)</w:t>
            </w:r>
            <w:r>
              <w:t xml:space="preserve"> (c.-à-d. pour décrire comment les phénomènes constituant l'instance de </w:t>
            </w:r>
            <w:r>
              <w:rPr>
                <w:rFonts w:ascii="Consolas" w:eastAsia="Consolas" w:hAnsi="Consolas" w:cs="Consolas"/>
                <w:sz w:val="22"/>
                <w:szCs w:val="22"/>
                <w:shd w:val="clear" w:color="auto" w:fill="EAEEF3"/>
              </w:rPr>
              <w:t>E4_Période</w:t>
            </w:r>
            <w:r>
              <w:t xml:space="preserve"> peuvent être causalement sous-divisés en des phénomènes plus délimités);</w:t>
            </w:r>
          </w:p>
          <w:p w14:paraId="3E2AAB8B" w14:textId="77777777" w:rsidR="00BF18CF" w:rsidRDefault="00E51347">
            <w:pPr>
              <w:numPr>
                <w:ilvl w:val="0"/>
                <w:numId w:val="18"/>
              </w:numPr>
            </w:pPr>
            <w:r>
              <w:rPr>
                <w:i/>
              </w:rPr>
              <w:t>Des relations de co-occurrence non-causale dans une même étendue spatio-temporelle</w:t>
            </w:r>
            <w:r>
              <w:t xml:space="preserve"> documentées grâce à la propriété </w:t>
            </w:r>
            <w:r>
              <w:rPr>
                <w:rFonts w:ascii="Consolas" w:eastAsia="Consolas" w:hAnsi="Consolas" w:cs="Consolas"/>
                <w:sz w:val="22"/>
                <w:szCs w:val="22"/>
                <w:shd w:val="clear" w:color="auto" w:fill="EAEEF3"/>
              </w:rPr>
              <w:t>P10_s’insère_dans (contient)</w:t>
            </w:r>
            <w:r>
              <w:t xml:space="preserve"> [n.d.t. qui ne peut être utilisée dans ce contexte qu'avec des instances de </w:t>
            </w:r>
            <w:r>
              <w:rPr>
                <w:rFonts w:ascii="Consolas" w:eastAsia="Consolas" w:hAnsi="Consolas" w:cs="Consolas"/>
                <w:sz w:val="22"/>
                <w:szCs w:val="22"/>
                <w:shd w:val="clear" w:color="auto" w:fill="EAEEF3"/>
              </w:rPr>
              <w:t>E4_Période</w:t>
            </w:r>
            <w:r>
              <w:t xml:space="preserve">] (cette propriété est examinée davantage dans la section </w:t>
            </w:r>
            <w:hyperlink r:id="rId354" w:anchor="des-relations-spatio-temporelles">
              <w:r>
                <w:rPr>
                  <w:color w:val="4F81BD"/>
                </w:rPr>
                <w:t>Des relations spatio-temporelles</w:t>
              </w:r>
            </w:hyperlink>
            <w:r>
              <w:t>).</w:t>
            </w:r>
          </w:p>
          <w:p w14:paraId="0603BE34" w14:textId="77777777" w:rsidR="00BF18CF" w:rsidRDefault="00E51347">
            <w:r>
              <w:t>Les relations topologiques :</w:t>
            </w:r>
          </w:p>
          <w:p w14:paraId="58A48809" w14:textId="77777777" w:rsidR="00BF18CF" w:rsidRDefault="00E51347">
            <w:r>
              <w:t>Plusieurs relations sémantiques on une incidence sur l'ordonnancement temporel d'entités temporelles (p. ex. le fait de rencontrer quelqu'un ne peut survenir qu'après la naissance et avant la mort des personnes impliquées, de l'information ne peut être transmise qu'après avoir été apprise). De plus, de l'information directe sur l'ordonnancement temporel d'entités peut avoir une incidence sur leurs relations sémantiques possibles ou impossibles. Ce type de raisonnement est d'une grande importance pour la recherche au sujet du passé.</w:t>
            </w:r>
          </w:p>
          <w:p w14:paraId="3B03B57C" w14:textId="77777777" w:rsidR="00BF18CF" w:rsidRDefault="00E51347">
            <w:r>
              <w:t xml:space="preserve">Les relations temporelles définies dans « Maintaining knowledge about temporal intervals » (Allen 1983) et mobilisées dans les versions précédentes du CIDOC CRM ne permettent cependant pas de décrire adéquatement des inférences issues de relations sémantiques (voir la section </w:t>
            </w:r>
            <w:hyperlink r:id="rId355" w:anchor="des-relations-temporelles-primitives-fondees-sur-des-frontieres-floues">
              <w:r>
                <w:rPr>
                  <w:color w:val="4F81BD"/>
                </w:rPr>
                <w:t>Des relations temporelles primitives fondées sur des frontières floues</w:t>
              </w:r>
            </w:hyperlink>
            <w:r>
              <w:t>). Le CIDOC CRM introduit donc ici une théorie des frontières floues dans un contexte temporel, ce qui permet l'inter-positionnement d'entités temporelles tout en prenant en compte l'aspect flou inhérent à ces entités. Ce modèle subsume les relations précédentes de Allen qui peuvent néanmoins toujours être utilisées dans les extensions du CIDOC CRM.</w:t>
            </w:r>
          </w:p>
        </w:tc>
      </w:tr>
    </w:tbl>
    <w:p w14:paraId="3BE29B5F" w14:textId="77777777" w:rsidR="00BF18CF" w:rsidRDefault="00BF18CF"/>
    <w:tbl>
      <w:tblPr>
        <w:tblStyle w:val="afff"/>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3B3F1D12" w14:textId="77777777" w:rsidTr="00BF18CF">
        <w:tc>
          <w:tcPr>
            <w:tcW w:w="1828" w:type="dxa"/>
          </w:tcPr>
          <w:p w14:paraId="7F6F6A84" w14:textId="73F3C112" w:rsidR="00BF18CF" w:rsidRDefault="00F27208">
            <w:r>
              <w:rPr>
                <w:i/>
              </w:rPr>
              <w:t>Note de traduction</w:t>
            </w:r>
          </w:p>
        </w:tc>
        <w:tc>
          <w:tcPr>
            <w:tcW w:w="8867" w:type="dxa"/>
          </w:tcPr>
          <w:p w14:paraId="70565671" w14:textId="77777777" w:rsidR="00BF18CF" w:rsidRDefault="00BF18CF">
            <w:pPr>
              <w:pBdr>
                <w:top w:val="nil"/>
                <w:left w:val="nil"/>
                <w:bottom w:val="nil"/>
                <w:right w:val="nil"/>
                <w:between w:val="nil"/>
              </w:pBdr>
              <w:spacing w:before="36" w:after="36"/>
              <w:rPr>
                <w:color w:val="000000"/>
              </w:rPr>
            </w:pPr>
          </w:p>
        </w:tc>
      </w:tr>
      <w:tr w:rsidR="00BF18CF" w14:paraId="5839A41D" w14:textId="77777777" w:rsidTr="00BF18CF">
        <w:tc>
          <w:tcPr>
            <w:tcW w:w="1828" w:type="dxa"/>
          </w:tcPr>
          <w:p w14:paraId="7F4B044A" w14:textId="77777777" w:rsidR="00BF18CF" w:rsidRDefault="00E51347">
            <w:r>
              <w:rPr>
                <w:i/>
              </w:rPr>
              <w:t>Références</w:t>
            </w:r>
          </w:p>
        </w:tc>
        <w:tc>
          <w:tcPr>
            <w:tcW w:w="8867" w:type="dxa"/>
          </w:tcPr>
          <w:p w14:paraId="7BF09965" w14:textId="77777777" w:rsidR="00BF18CF" w:rsidRDefault="00BF18CF">
            <w:pPr>
              <w:pBdr>
                <w:top w:val="nil"/>
                <w:left w:val="nil"/>
                <w:bottom w:val="nil"/>
                <w:right w:val="nil"/>
                <w:between w:val="nil"/>
              </w:pBdr>
              <w:spacing w:before="36" w:after="36"/>
              <w:rPr>
                <w:color w:val="000000"/>
              </w:rPr>
            </w:pPr>
          </w:p>
        </w:tc>
      </w:tr>
    </w:tbl>
    <w:p w14:paraId="3659C015" w14:textId="2C12870D" w:rsidR="00BF18CF" w:rsidRDefault="00E51347">
      <w:pPr>
        <w:pStyle w:val="Heading3"/>
      </w:pPr>
      <w:bookmarkStart w:id="83" w:name="bookmark=id.2zbgiuw" w:colFirst="0" w:colLast="0"/>
      <w:bookmarkStart w:id="84" w:name="_Toc144360785"/>
      <w:bookmarkEnd w:id="83"/>
      <w:r>
        <w:t>Des relations spatio-temporelles</w:t>
      </w:r>
      <w:bookmarkEnd w:id="84"/>
    </w:p>
    <w:tbl>
      <w:tblPr>
        <w:tblStyle w:val="a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37295F9B" w14:textId="77777777" w:rsidTr="00BF18CF">
        <w:tc>
          <w:tcPr>
            <w:tcW w:w="10690" w:type="dxa"/>
          </w:tcPr>
          <w:p w14:paraId="2C2AAD69" w14:textId="77777777" w:rsidR="00BF18CF" w:rsidRDefault="00E51347">
            <w:r>
              <w:t xml:space="preserve">La plupart du temps, il est adéquat de traiter le temps et l'espace comme des entités distinctes lors de la description d'évènements et des lieux où ils se produisent. Une documentation et un raisonnement plus précis sont parfois requis afin de décrire des phénomènes se produisant dans la durée (p. ex. l'âge du bronze, un établissement, une nation, des cadres de référence pour les mouvements de </w:t>
            </w:r>
            <w:r>
              <w:lastRenderedPageBreak/>
              <w:t>bateaux, des choses étant entreposées dans des conteneurs puis déplacées, des constructions étant partiellement détruites, reconstruites ou altérées, etc.). L'espace et le temps doivent alors être conceptualisés sur un continuum cohérent : l'espace-temps.</w:t>
            </w:r>
          </w:p>
          <w:p w14:paraId="7C4B6F6E" w14:textId="77777777" w:rsidR="00BF18CF" w:rsidRDefault="00E51347">
            <w:r>
              <w:rPr>
                <w:noProof/>
              </w:rPr>
              <w:drawing>
                <wp:inline distT="0" distB="0" distL="0" distR="0" wp14:anchorId="1482FA25" wp14:editId="7FC314CF">
                  <wp:extent cx="6658739" cy="4756242"/>
                  <wp:effectExtent l="0" t="0" r="0" b="0"/>
                  <wp:docPr id="4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6"/>
                          <a:srcRect/>
                          <a:stretch>
                            <a:fillRect/>
                          </a:stretch>
                        </pic:blipFill>
                        <pic:spPr>
                          <a:xfrm>
                            <a:off x="0" y="0"/>
                            <a:ext cx="6658739" cy="4756242"/>
                          </a:xfrm>
                          <a:prstGeom prst="rect">
                            <a:avLst/>
                          </a:prstGeom>
                          <a:ln/>
                        </pic:spPr>
                      </pic:pic>
                    </a:graphicData>
                  </a:graphic>
                </wp:inline>
              </w:drawing>
            </w:r>
          </w:p>
          <w:p w14:paraId="74FECA71" w14:textId="77777777" w:rsidR="00BF18CF" w:rsidRDefault="00E51347">
            <w:r>
              <w:rPr>
                <w:i/>
              </w:rPr>
              <w:t>Figure 6: Propriétés et classes fondamentales pour le raisonnement logique avec les volumes spatio-temporels</w:t>
            </w:r>
          </w:p>
          <w:p w14:paraId="6DA93813" w14:textId="77777777" w:rsidR="00BF18CF" w:rsidRDefault="00E51347">
            <w:r>
              <w:t>Le modèle du CIDOC CRM est une interface valide pour CRMgeo (Doerr &amp; Hiebel 2013) qui mobilise les standards OGC [n.d.t. standards de l'Open Geospatial Consortium qui assurent l'interopérabilité dans les domaines de la géomatique et de l'information] qui sont essentiels à l'utilisation de systèmes d'information géographiques (applications SIG).</w:t>
            </w:r>
          </w:p>
          <w:p w14:paraId="0FD927D1" w14:textId="77777777" w:rsidR="00BF18CF" w:rsidRDefault="00E51347">
            <w:r>
              <w:t xml:space="preserve">La classe clé qu'offre le CIDOC CRM pour la modélisation de telles informations est </w:t>
            </w:r>
            <w:r>
              <w:rPr>
                <w:rFonts w:ascii="Consolas" w:eastAsia="Consolas" w:hAnsi="Consolas" w:cs="Consolas"/>
                <w:sz w:val="22"/>
                <w:szCs w:val="22"/>
                <w:shd w:val="clear" w:color="auto" w:fill="EAEEF3"/>
              </w:rPr>
              <w:t>E92_Volume_spatio-temporel</w:t>
            </w:r>
            <w:r>
              <w:t xml:space="preserve"> qui documente des étendues géométriques, situées dans l'espace-temps physique, qui contiennent des positions d'évènements ou de choses réelles ou possibles. </w:t>
            </w:r>
            <w:r>
              <w:rPr>
                <w:rFonts w:ascii="Consolas" w:eastAsia="Consolas" w:hAnsi="Consolas" w:cs="Consolas"/>
                <w:sz w:val="22"/>
                <w:szCs w:val="22"/>
                <w:shd w:val="clear" w:color="auto" w:fill="EAEEF3"/>
              </w:rPr>
              <w:t>E92_Volume_spatio-temporel</w:t>
            </w:r>
            <w:r>
              <w:t xml:space="preserve"> est particulièrement utilisé dans des changements de lieux documentés ne peuvent pas être réduits à des évènements distincts en raison d'une étendue spatiale en changement (p. ex. dans la description d'index géographiques). Les classes et propriétés de haut niveau qui s'articulent autour de </w:t>
            </w:r>
            <w:r>
              <w:rPr>
                <w:rFonts w:ascii="Consolas" w:eastAsia="Consolas" w:hAnsi="Consolas" w:cs="Consolas"/>
                <w:sz w:val="22"/>
                <w:szCs w:val="22"/>
                <w:shd w:val="clear" w:color="auto" w:fill="EAEEF3"/>
              </w:rPr>
              <w:t>E92_Volume_spatio-temporel</w:t>
            </w:r>
            <w:r>
              <w:t xml:space="preserve"> permettent de documenter :</w:t>
            </w:r>
          </w:p>
          <w:p w14:paraId="18D93A98" w14:textId="77777777" w:rsidR="00BF18CF" w:rsidRDefault="00E51347">
            <w:pPr>
              <w:numPr>
                <w:ilvl w:val="0"/>
                <w:numId w:val="39"/>
              </w:numPr>
            </w:pPr>
            <w:r>
              <w:t>Les relations entre des espaces-temps;</w:t>
            </w:r>
          </w:p>
          <w:p w14:paraId="60A99F80" w14:textId="77777777" w:rsidR="00BF18CF" w:rsidRDefault="00E51347">
            <w:pPr>
              <w:numPr>
                <w:ilvl w:val="0"/>
                <w:numId w:val="39"/>
              </w:numPr>
            </w:pPr>
            <w:r>
              <w:t>Les relations à l'espace et au temps en tant qu'entités distinctes;</w:t>
            </w:r>
          </w:p>
          <w:p w14:paraId="6658D9E0" w14:textId="77777777" w:rsidR="00BF18CF" w:rsidRDefault="00E51347">
            <w:pPr>
              <w:numPr>
                <w:ilvl w:val="0"/>
                <w:numId w:val="39"/>
              </w:numPr>
            </w:pPr>
            <w:r>
              <w:lastRenderedPageBreak/>
              <w:t>Le traitement de l'étendue exacte de choses physiques et de périodes dans l'espace à tout moment de leur existence en tant que volume spatio-temporel.</w:t>
            </w:r>
          </w:p>
          <w:p w14:paraId="79AB412F" w14:textId="77777777" w:rsidR="00BF18CF" w:rsidRDefault="00E51347">
            <w:r>
              <w:rPr>
                <w:i/>
              </w:rPr>
              <w:t>Définition d'un volume spatio-temporel</w:t>
            </w:r>
          </w:p>
          <w:p w14:paraId="39F0ADF9" w14:textId="77777777" w:rsidR="00BF18CF" w:rsidRDefault="00E51347">
            <w:r>
              <w:t>Il y a trois manières de définir un volume spatio-temporel :</w:t>
            </w:r>
          </w:p>
          <w:p w14:paraId="614EF3B6" w14:textId="77777777" w:rsidR="00BF18CF" w:rsidRDefault="00E51347">
            <w:pPr>
              <w:numPr>
                <w:ilvl w:val="0"/>
                <w:numId w:val="41"/>
              </w:numPr>
            </w:pPr>
            <w:r>
              <w:t xml:space="preserve">La propriété </w:t>
            </w:r>
            <w:r>
              <w:rPr>
                <w:rFonts w:ascii="Consolas" w:eastAsia="Consolas" w:hAnsi="Consolas" w:cs="Consolas"/>
                <w:sz w:val="22"/>
                <w:szCs w:val="22"/>
                <w:shd w:val="clear" w:color="auto" w:fill="EAEEF3"/>
              </w:rPr>
              <w:t>P169_définit_le_volume_spatio-temporel (volume_spatio-temporel_défini_par)</w:t>
            </w:r>
            <w:r>
              <w:t xml:space="preserve"> déclare un contenant spatio-temporel pour un évènement ou une chose. Ce contenant est défini en termes de coordonnées spatiales qui peuvent varier à travers le temps, variation qui peut être représentée par des étapes distinctes ou de manière continue à l'aide d'expression de l'espace-temps qui prennent alors la forme d'instances de </w:t>
            </w:r>
            <w:r>
              <w:rPr>
                <w:rFonts w:ascii="Consolas" w:eastAsia="Consolas" w:hAnsi="Consolas" w:cs="Consolas"/>
                <w:sz w:val="22"/>
                <w:szCs w:val="22"/>
                <w:shd w:val="clear" w:color="auto" w:fill="EAEEF3"/>
              </w:rPr>
              <w:t>E95_Primitive_spatio-temporelle</w:t>
            </w:r>
            <w:r>
              <w:t xml:space="preserve"> (une classe primitive pour l'expression de valeurs dans un système de données ne faisant pas l'objet d'analyses supplémentaires par le CIDOC CRM).</w:t>
            </w:r>
          </w:p>
          <w:p w14:paraId="2CE8672F" w14:textId="77777777" w:rsidR="00BF18CF" w:rsidRDefault="00E51347">
            <w:pPr>
              <w:numPr>
                <w:ilvl w:val="0"/>
                <w:numId w:val="41"/>
              </w:numPr>
            </w:pPr>
            <w:r>
              <w:t xml:space="preserve">Les instances de </w:t>
            </w:r>
            <w:r>
              <w:rPr>
                <w:rFonts w:ascii="Consolas" w:eastAsia="Consolas" w:hAnsi="Consolas" w:cs="Consolas"/>
                <w:sz w:val="22"/>
                <w:szCs w:val="22"/>
                <w:shd w:val="clear" w:color="auto" w:fill="EAEEF3"/>
              </w:rPr>
              <w:t>E4_Période</w:t>
            </w:r>
            <w:r>
              <w:t xml:space="preserve">, instances spécialisées de </w:t>
            </w:r>
            <w:r>
              <w:rPr>
                <w:rFonts w:ascii="Consolas" w:eastAsia="Consolas" w:hAnsi="Consolas" w:cs="Consolas"/>
                <w:sz w:val="22"/>
                <w:szCs w:val="22"/>
                <w:shd w:val="clear" w:color="auto" w:fill="EAEEF3"/>
              </w:rPr>
              <w:t>E92_Volume_spatio-temporel</w:t>
            </w:r>
            <w:r>
              <w:t xml:space="preserve"> qui sont floues tout en étant observables, forment un phénomène englobant qui prend lui aussi la forme d'une instance de </w:t>
            </w:r>
            <w:r>
              <w:rPr>
                <w:rFonts w:ascii="Consolas" w:eastAsia="Consolas" w:hAnsi="Consolas" w:cs="Consolas"/>
                <w:sz w:val="22"/>
                <w:szCs w:val="22"/>
                <w:shd w:val="clear" w:color="auto" w:fill="EAEEF3"/>
              </w:rPr>
              <w:t>E4_Période</w:t>
            </w:r>
            <w:r>
              <w:t>.</w:t>
            </w:r>
          </w:p>
          <w:p w14:paraId="6ACB3649" w14:textId="77777777" w:rsidR="00BF18CF" w:rsidRDefault="00E51347">
            <w:pPr>
              <w:numPr>
                <w:ilvl w:val="0"/>
                <w:numId w:val="41"/>
              </w:numPr>
            </w:pPr>
            <w:r>
              <w:t xml:space="preserve">Une instance de </w:t>
            </w:r>
            <w:r>
              <w:rPr>
                <w:rFonts w:ascii="Consolas" w:eastAsia="Consolas" w:hAnsi="Consolas" w:cs="Consolas"/>
                <w:sz w:val="22"/>
                <w:szCs w:val="22"/>
                <w:shd w:val="clear" w:color="auto" w:fill="EAEEF3"/>
              </w:rPr>
              <w:t>E18_Chose_matérielle</w:t>
            </w:r>
            <w:r>
              <w:t xml:space="preserve"> (en tant que séquence continue d'étendue spatiale occupée à travers le temps par la matière) définit un volume spatio-temporel unique du début à la fin de son existence, ce qui peut aussi être considéré comme sa trajectoire dans l'univers. La propriété </w:t>
            </w:r>
            <w:r>
              <w:rPr>
                <w:rFonts w:ascii="Consolas" w:eastAsia="Consolas" w:hAnsi="Consolas" w:cs="Consolas"/>
                <w:sz w:val="22"/>
                <w:szCs w:val="22"/>
                <w:shd w:val="clear" w:color="auto" w:fill="EAEEF3"/>
              </w:rPr>
              <w:t>P169_définit_le_volume_spatio-temporel (volume_spatio-temporel_défini_par)</w:t>
            </w:r>
            <w:r>
              <w:t xml:space="preserve"> permet de référer à ce volume spatio-temporel afin d'en documenter des attributs supplémentaires. Ce volume spatio-temporel est donc flou tout en étant observable et, bien qu'il ne soit pas aisé de visualiser mentalement le volume spatio-temporel d'une chose physique, ceci simplifie grandement le raisonnement logique au sujet des lieux où se sont trouvé des choses.</w:t>
            </w:r>
          </w:p>
          <w:p w14:paraId="10EE81EA" w14:textId="77777777" w:rsidR="00BF18CF" w:rsidRDefault="00E51347">
            <w:r>
              <w:rPr>
                <w:i/>
              </w:rPr>
              <w:t>Relations d'un volume spatio-temporel à des lieux ou à des choses physiques</w:t>
            </w:r>
          </w:p>
          <w:p w14:paraId="28FA96FF" w14:textId="77777777" w:rsidR="00BF18CF" w:rsidRDefault="00E51347">
            <w:r>
              <w:t xml:space="preserve">La propriété </w:t>
            </w:r>
            <w:r>
              <w:rPr>
                <w:rFonts w:ascii="Consolas" w:eastAsia="Consolas" w:hAnsi="Consolas" w:cs="Consolas"/>
                <w:sz w:val="22"/>
                <w:szCs w:val="22"/>
                <w:shd w:val="clear" w:color="auto" w:fill="EAEEF3"/>
              </w:rPr>
              <w:t>P161_a_pour_projection_spatiale (est_la_projection_spatiale_de)</w:t>
            </w:r>
            <w:r>
              <w:t xml:space="preserve"> associe un volume spatio-temporel à l'étendue spatiale qu'il a occupé durant l'intervalle temporel de la définition. En raison de la relativité de l'espace, la définition d'instances de </w:t>
            </w:r>
            <w:r>
              <w:rPr>
                <w:rFonts w:ascii="Consolas" w:eastAsia="Consolas" w:hAnsi="Consolas" w:cs="Consolas"/>
                <w:sz w:val="22"/>
                <w:szCs w:val="22"/>
                <w:shd w:val="clear" w:color="auto" w:fill="EAEEF3"/>
              </w:rPr>
              <w:t>E53_Lieu</w:t>
            </w:r>
            <w:r>
              <w:t xml:space="preserve"> doit être relative à une chose physique utilisée comme référence géométrique, une relation documentée par la propriété </w:t>
            </w:r>
            <w:r>
              <w:rPr>
                <w:rFonts w:ascii="Consolas" w:eastAsia="Consolas" w:hAnsi="Consolas" w:cs="Consolas"/>
                <w:sz w:val="22"/>
                <w:szCs w:val="22"/>
                <w:shd w:val="clear" w:color="auto" w:fill="EAEEF3"/>
              </w:rPr>
              <w:t>P157_est_à_l’arrêt_par_rapport_à (procure_l'espace_de_référence_pour)</w:t>
            </w:r>
            <w:r>
              <w:t xml:space="preserve">. Si l'emplacement d'une chose à un certain moment est disponible pour de multiples espaces relatifs de référence en mouvement (p. ex. dans le cas d'un bateau par rapport au sol marin), ces espaces définis différemment peuvent éventuellement s'éloigner ou se disjoindre les uns </w:t>
            </w:r>
            <w:proofErr w:type="gramStart"/>
            <w:r>
              <w:t>des autres</w:t>
            </w:r>
            <w:proofErr w:type="gramEnd"/>
            <w:r>
              <w:t>. Ainsi, un volume spatio-temporel, même s'il est défini de manière unique, peut avoir de nombreuses projections spatiales qui dépendent de l'espace de référence.</w:t>
            </w:r>
          </w:p>
          <w:p w14:paraId="307F75D3" w14:textId="77777777" w:rsidR="00BF18CF" w:rsidRDefault="00E51347">
            <w:r>
              <w:t xml:space="preserve">Les systèmes de géo-positionnement satellite (GPS) actuels définissent par défaut la surface de la Terre comme espace de référence. Dans le cas de descriptions d'objets mobiles dont la forme est fixe, comme dans le contexte de conservation d'art, il est parfois utile de désigner l'endroit précis d'une chose physique par rapport à elle-même en l'utilisant comme espace de référence de concert avec la propriété </w:t>
            </w:r>
            <w:r>
              <w:rPr>
                <w:rFonts w:ascii="Consolas" w:eastAsia="Consolas" w:hAnsi="Consolas" w:cs="Consolas"/>
                <w:sz w:val="22"/>
                <w:szCs w:val="22"/>
                <w:shd w:val="clear" w:color="auto" w:fill="EAEEF3"/>
              </w:rPr>
              <w:t>P156_occupe (est_occupé_par)</w:t>
            </w:r>
            <w:r>
              <w:t xml:space="preserve">. Cette dernière constitue une projection particulière du volume spatio-temporel de la chose en question. Elle se distingue de </w:t>
            </w:r>
            <w:r>
              <w:rPr>
                <w:rFonts w:ascii="Consolas" w:eastAsia="Consolas" w:hAnsi="Consolas" w:cs="Consolas"/>
                <w:sz w:val="22"/>
                <w:szCs w:val="22"/>
                <w:shd w:val="clear" w:color="auto" w:fill="EAEEF3"/>
              </w:rPr>
              <w:t>P53_a_pour_localisation_actuelle_ou_antérieure (est_la_localisation_actuelle_ou_antérieure_de)</w:t>
            </w:r>
            <w:r>
              <w:t xml:space="preserve"> qui ne décrit que le fait qu'une chose se trouvait dans un lieu spécifique par rapport à une référence spatiale sans précision temporelle.</w:t>
            </w:r>
          </w:p>
          <w:p w14:paraId="24D7FA8B" w14:textId="77777777" w:rsidR="00BF18CF" w:rsidRDefault="00E51347">
            <w:r>
              <w:rPr>
                <w:i/>
              </w:rPr>
              <w:lastRenderedPageBreak/>
              <w:t>Relations d'un volume spatio-temporel à des intervalles temporels et à des périodes</w:t>
            </w:r>
          </w:p>
          <w:p w14:paraId="0CB366A3" w14:textId="77777777" w:rsidR="00BF18CF" w:rsidRDefault="00E51347">
            <w:r>
              <w:t xml:space="preserve">La propriété </w:t>
            </w:r>
            <w:r>
              <w:rPr>
                <w:rFonts w:ascii="Consolas" w:eastAsia="Consolas" w:hAnsi="Consolas" w:cs="Consolas"/>
                <w:sz w:val="22"/>
                <w:szCs w:val="22"/>
                <w:shd w:val="clear" w:color="auto" w:fill="EAEEF3"/>
              </w:rPr>
              <w:t>P160_a_pour_projection_temporelle (est_la_projection_temporelle_de)</w:t>
            </w:r>
            <w:r>
              <w:t xml:space="preserve"> associe un volume spatio-temporel à l'étendue temporelle complète que ce volume a recoupé, y compris tous les lieux de sa définition. Contrairement aux lieux [n.d.t. dont les coordonnées de référence peuvent changer à travers le temps], le système de référence temporel est unique</w:t>
            </w:r>
            <w:r>
              <w:rPr>
                <w:vertAlign w:val="superscript"/>
              </w:rPr>
              <w:t>1</w:t>
            </w:r>
            <w:r>
              <w:t xml:space="preserve"> à l'exception du choix d'origine.</w:t>
            </w:r>
          </w:p>
          <w:p w14:paraId="59754146" w14:textId="77777777" w:rsidR="00BF18CF" w:rsidRDefault="00E51347">
            <w:r>
              <w:t xml:space="preserve">Comme les sous-classes de </w:t>
            </w:r>
            <w:r>
              <w:rPr>
                <w:rFonts w:ascii="Consolas" w:eastAsia="Consolas" w:hAnsi="Consolas" w:cs="Consolas"/>
                <w:sz w:val="22"/>
                <w:szCs w:val="22"/>
                <w:shd w:val="clear" w:color="auto" w:fill="EAEEF3"/>
              </w:rPr>
              <w:t>E2_Entité_temporelle</w:t>
            </w:r>
            <w:r>
              <w:t xml:space="preserve"> héritent de la propriété </w:t>
            </w:r>
            <w:r>
              <w:rPr>
                <w:rFonts w:ascii="Consolas" w:eastAsia="Consolas" w:hAnsi="Consolas" w:cs="Consolas"/>
                <w:sz w:val="22"/>
                <w:szCs w:val="22"/>
                <w:shd w:val="clear" w:color="auto" w:fill="EAEEF3"/>
              </w:rPr>
              <w:t>P4_a_pour_intervalle_temporel (est_l’intervalle_temporel_de)</w:t>
            </w:r>
            <w:r>
              <w:t xml:space="preserve">, les instances de </w:t>
            </w:r>
            <w:r>
              <w:rPr>
                <w:rFonts w:ascii="Consolas" w:eastAsia="Consolas" w:hAnsi="Consolas" w:cs="Consolas"/>
                <w:sz w:val="22"/>
                <w:szCs w:val="22"/>
                <w:shd w:val="clear" w:color="auto" w:fill="EAEEF3"/>
              </w:rPr>
              <w:t>E4_Période</w:t>
            </w:r>
            <w:r>
              <w:t xml:space="preserve"> et de ses sous-classes héritent de la propriété </w:t>
            </w:r>
            <w:r>
              <w:rPr>
                <w:rFonts w:ascii="Consolas" w:eastAsia="Consolas" w:hAnsi="Consolas" w:cs="Consolas"/>
                <w:sz w:val="22"/>
                <w:szCs w:val="22"/>
                <w:shd w:val="clear" w:color="auto" w:fill="EAEEF3"/>
              </w:rPr>
              <w:t>P160_a_pour_projection_temporelle (est_la_projection_temporelle_de)</w:t>
            </w:r>
            <w:r>
              <w:t xml:space="preserve"> qui lui est équivalente car elles décrivent toutes deux l'étendue temporelle du phénomène qui constitue une instance de </w:t>
            </w:r>
            <w:r>
              <w:rPr>
                <w:rFonts w:ascii="Consolas" w:eastAsia="Consolas" w:hAnsi="Consolas" w:cs="Consolas"/>
                <w:sz w:val="22"/>
                <w:szCs w:val="22"/>
                <w:shd w:val="clear" w:color="auto" w:fill="EAEEF3"/>
              </w:rPr>
              <w:t>E4_Période</w:t>
            </w:r>
            <w:r>
              <w:t xml:space="preserve">. Il est recommandé d'utiliser </w:t>
            </w:r>
            <w:r>
              <w:rPr>
                <w:rFonts w:ascii="Consolas" w:eastAsia="Consolas" w:hAnsi="Consolas" w:cs="Consolas"/>
                <w:sz w:val="22"/>
                <w:szCs w:val="22"/>
                <w:shd w:val="clear" w:color="auto" w:fill="EAEEF3"/>
              </w:rPr>
              <w:t>P4_a_pour_intervalle_temporel (est_l’intervalle_temporel_de)</w:t>
            </w:r>
            <w:r>
              <w:t xml:space="preserve"> de concert avec des instances de </w:t>
            </w:r>
            <w:r>
              <w:rPr>
                <w:rFonts w:ascii="Consolas" w:eastAsia="Consolas" w:hAnsi="Consolas" w:cs="Consolas"/>
                <w:sz w:val="22"/>
                <w:szCs w:val="22"/>
                <w:shd w:val="clear" w:color="auto" w:fill="EAEEF3"/>
              </w:rPr>
              <w:t>E4_Période</w:t>
            </w:r>
            <w:r>
              <w:t xml:space="preserve"> et de ses sous-classes plutôt que d'utiliser </w:t>
            </w:r>
            <w:r>
              <w:rPr>
                <w:rFonts w:ascii="Consolas" w:eastAsia="Consolas" w:hAnsi="Consolas" w:cs="Consolas"/>
                <w:sz w:val="22"/>
                <w:szCs w:val="22"/>
                <w:shd w:val="clear" w:color="auto" w:fill="EAEEF3"/>
              </w:rPr>
              <w:t>P160_a_pour_projection_temporelle (est_la_projection_temporelle_de)</w:t>
            </w:r>
            <w:r>
              <w:t>.</w:t>
            </w:r>
          </w:p>
          <w:p w14:paraId="0255EDE7" w14:textId="77777777" w:rsidR="00BF18CF" w:rsidRDefault="00E51347">
            <w:r>
              <w:rPr>
                <w:i/>
              </w:rPr>
              <w:t>Relations de présence</w:t>
            </w:r>
          </w:p>
          <w:p w14:paraId="359477BB" w14:textId="77777777" w:rsidR="00BF18CF" w:rsidRDefault="00E51347">
            <w:r>
              <w:t xml:space="preserve">Les instances de </w:t>
            </w:r>
            <w:r>
              <w:rPr>
                <w:rFonts w:ascii="Consolas" w:eastAsia="Consolas" w:hAnsi="Consolas" w:cs="Consolas"/>
                <w:sz w:val="22"/>
                <w:szCs w:val="22"/>
                <w:shd w:val="clear" w:color="auto" w:fill="EAEEF3"/>
              </w:rPr>
              <w:t>E93_Présence</w:t>
            </w:r>
            <w:r>
              <w:t xml:space="preserve"> sont des instances spécialisées de </w:t>
            </w:r>
            <w:r>
              <w:rPr>
                <w:rFonts w:ascii="Consolas" w:eastAsia="Consolas" w:hAnsi="Consolas" w:cs="Consolas"/>
                <w:sz w:val="22"/>
                <w:szCs w:val="22"/>
                <w:shd w:val="clear" w:color="auto" w:fill="EAEEF3"/>
              </w:rPr>
              <w:t>E92_Volume_spatio-temporel</w:t>
            </w:r>
            <w:r>
              <w:t xml:space="preserve"> qui sont identiques à l'évolution spatiale d'un volume spatio-temporel plus large spécifié par la propriété </w:t>
            </w:r>
            <w:r>
              <w:rPr>
                <w:rFonts w:ascii="Consolas" w:eastAsia="Consolas" w:hAnsi="Consolas" w:cs="Consolas"/>
                <w:sz w:val="22"/>
                <w:szCs w:val="22"/>
                <w:shd w:val="clear" w:color="auto" w:fill="EAEEF3"/>
              </w:rPr>
              <w:t>P166_a_été_une_présence_de (a_eu_pour_présence)</w:t>
            </w:r>
            <w:r>
              <w:t xml:space="preserve">, mais délimité par un intervalle temporel généralement court par la propriété </w:t>
            </w:r>
            <w:r>
              <w:rPr>
                <w:rFonts w:ascii="Consolas" w:eastAsia="Consolas" w:hAnsi="Consolas" w:cs="Consolas"/>
                <w:sz w:val="22"/>
                <w:szCs w:val="22"/>
                <w:shd w:val="clear" w:color="auto" w:fill="EAEEF3"/>
              </w:rPr>
              <w:t>P164_est_temporellement_spécifié_par (spécifie_temporellement)</w:t>
            </w:r>
            <w:r>
              <w:t xml:space="preserve">. Il s'agit donc d'instantanés ou de « tranches » temporelles d'un autre volume spatio-temporel (p. ex. l'étendue de l'empire romain durant l'année 30 EC). Les instances de </w:t>
            </w:r>
            <w:r>
              <w:rPr>
                <w:rFonts w:ascii="Consolas" w:eastAsia="Consolas" w:hAnsi="Consolas" w:cs="Consolas"/>
                <w:sz w:val="22"/>
                <w:szCs w:val="22"/>
                <w:shd w:val="clear" w:color="auto" w:fill="EAEEF3"/>
              </w:rPr>
              <w:t>E93_Présence</w:t>
            </w:r>
            <w:r>
              <w:t xml:space="preserve"> sont donc des construits spécifiques de modélisation qui décrivent précisément où une chose s'est produite ou s'est trouvée à un moment ou interval temporel particulier, et ce grâce à la propriété </w:t>
            </w:r>
            <w:r>
              <w:rPr>
                <w:rFonts w:ascii="Consolas" w:eastAsia="Consolas" w:hAnsi="Consolas" w:cs="Consolas"/>
                <w:sz w:val="22"/>
                <w:szCs w:val="22"/>
                <w:shd w:val="clear" w:color="auto" w:fill="EAEEF3"/>
              </w:rPr>
              <w:t>P161_a_pour_projection_spatiale (est_la_projection_spatiale_de)</w:t>
            </w:r>
            <w:r>
              <w:t xml:space="preserve">. Ce construit particulier permet de décrire les emplacements d'objets mobiles à différentes étapes (p. ex. l'os d'un saint qui s'est trouvé dans unee réserve muséale, dans un palace, dans le sol, ou transporté dans un conteneur). À des fins de simplicité, un raccourci pour </w:t>
            </w:r>
            <w:r>
              <w:rPr>
                <w:rFonts w:ascii="Consolas" w:eastAsia="Consolas" w:hAnsi="Consolas" w:cs="Consolas"/>
                <w:sz w:val="22"/>
                <w:szCs w:val="22"/>
                <w:shd w:val="clear" w:color="auto" w:fill="EAEEF3"/>
              </w:rPr>
              <w:t>E18_Chose_matérielle</w:t>
            </w:r>
            <w:r>
              <w:t xml:space="preserve"> est défini directement à travers l'usage de la propriété </w:t>
            </w:r>
            <w:r>
              <w:rPr>
                <w:rFonts w:ascii="Consolas" w:eastAsia="Consolas" w:hAnsi="Consolas" w:cs="Consolas"/>
                <w:sz w:val="22"/>
                <w:szCs w:val="22"/>
                <w:shd w:val="clear" w:color="auto" w:fill="EAEEF3"/>
              </w:rPr>
              <w:t>P195_a_été_une_présence_de (a_eu_pour_présence)</w:t>
            </w:r>
            <w:r>
              <w:t>, ce qui permet d'outrepasser la définition de son volume spatio-temporel.</w:t>
            </w:r>
          </w:p>
          <w:p w14:paraId="1BC21F59" w14:textId="77777777" w:rsidR="00BF18CF" w:rsidRDefault="00E51347">
            <w:r>
              <w:rPr>
                <w:i/>
              </w:rPr>
              <w:t>Relations topologiques</w:t>
            </w:r>
          </w:p>
          <w:p w14:paraId="01395EB8" w14:textId="77777777" w:rsidR="00BF18CF" w:rsidRDefault="00E51347">
            <w:r>
              <w:t xml:space="preserve">Finalement, le modèle définit des relations topologiques spatio-temporelles grâce à l'usage de la propriété </w:t>
            </w:r>
            <w:r>
              <w:rPr>
                <w:rFonts w:ascii="Consolas" w:eastAsia="Consolas" w:hAnsi="Consolas" w:cs="Consolas"/>
                <w:sz w:val="22"/>
                <w:szCs w:val="22"/>
                <w:shd w:val="clear" w:color="auto" w:fill="EAEEF3"/>
              </w:rPr>
              <w:t>P10_s’insère_dans (contient)</w:t>
            </w:r>
            <w:r>
              <w:t xml:space="preserve"> qui inclut entièrement un volume spatio-temporel dans un autre. Ceci n'équivaut cependant pas à l'inclusion de projections temporelles et spatiales qui peuvent être de plus grande ampleur (p. ex. en 14 EC, la mésopotamie n'était pas dans l'empire romain). En outre, la propriété </w:t>
            </w:r>
            <w:r>
              <w:rPr>
                <w:rFonts w:ascii="Consolas" w:eastAsia="Consolas" w:hAnsi="Consolas" w:cs="Consolas"/>
                <w:sz w:val="22"/>
                <w:szCs w:val="22"/>
                <w:shd w:val="clear" w:color="auto" w:fill="EAEEF3"/>
              </w:rPr>
              <w:t>P132_recoupe_spatio-temporellement</w:t>
            </w:r>
            <w:r>
              <w:t xml:space="preserve"> et sa négation </w:t>
            </w:r>
            <w:r>
              <w:rPr>
                <w:rFonts w:ascii="Consolas" w:eastAsia="Consolas" w:hAnsi="Consolas" w:cs="Consolas"/>
                <w:sz w:val="22"/>
                <w:szCs w:val="22"/>
                <w:shd w:val="clear" w:color="auto" w:fill="EAEEF3"/>
              </w:rPr>
              <w:t>P133_est_distinct_spatio-temporellement_de</w:t>
            </w:r>
            <w:r>
              <w:t xml:space="preserve"> sont fondamentales lorsqu'il est question de continuité possible, de relation partie-tout, etc.</w:t>
            </w:r>
          </w:p>
          <w:p w14:paraId="10F373F7" w14:textId="77777777" w:rsidR="00BF18CF" w:rsidRDefault="000467B7">
            <w:r>
              <w:pict w14:anchorId="7A025251">
                <v:rect id="_x0000_i1029" style="width:0;height:1.5pt" o:hralign="center" o:hrstd="t" o:hr="t" fillcolor="#a0a0a0" stroked="f"/>
              </w:pict>
            </w:r>
          </w:p>
          <w:p w14:paraId="66B48A45" w14:textId="77777777" w:rsidR="00BF18CF" w:rsidRDefault="00E51347">
            <w:r>
              <w:rPr>
                <w:vertAlign w:val="superscript"/>
              </w:rPr>
              <w:t>1</w:t>
            </w:r>
            <w:r>
              <w:t xml:space="preserve"> Ceci s'applique aux applications du domaine du CIDOC CRM qui sont de nature non-relativiste, mais ne s'applique pas strictement, par exemple, aux satellites.</w:t>
            </w:r>
          </w:p>
        </w:tc>
      </w:tr>
    </w:tbl>
    <w:p w14:paraId="49459A12" w14:textId="77777777" w:rsidR="00BF18CF" w:rsidRDefault="00BF18CF"/>
    <w:tbl>
      <w:tblPr>
        <w:tblStyle w:val="afff1"/>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7F91173F" w14:textId="77777777" w:rsidTr="00BF18CF">
        <w:tc>
          <w:tcPr>
            <w:tcW w:w="1828" w:type="dxa"/>
          </w:tcPr>
          <w:p w14:paraId="0E347970" w14:textId="401D80BE" w:rsidR="00BF18CF" w:rsidRDefault="00F27208">
            <w:r>
              <w:rPr>
                <w:i/>
              </w:rPr>
              <w:lastRenderedPageBreak/>
              <w:t>Note de traduction</w:t>
            </w:r>
          </w:p>
        </w:tc>
        <w:tc>
          <w:tcPr>
            <w:tcW w:w="8867" w:type="dxa"/>
          </w:tcPr>
          <w:p w14:paraId="0E236973" w14:textId="77777777" w:rsidR="00BF18CF" w:rsidRDefault="00BF18CF">
            <w:pPr>
              <w:pBdr>
                <w:top w:val="nil"/>
                <w:left w:val="nil"/>
                <w:bottom w:val="nil"/>
                <w:right w:val="nil"/>
                <w:between w:val="nil"/>
              </w:pBdr>
              <w:spacing w:before="36" w:after="36"/>
              <w:rPr>
                <w:color w:val="000000"/>
              </w:rPr>
            </w:pPr>
          </w:p>
        </w:tc>
      </w:tr>
      <w:tr w:rsidR="00BF18CF" w14:paraId="6D5AB0CB" w14:textId="77777777" w:rsidTr="00BF18CF">
        <w:tc>
          <w:tcPr>
            <w:tcW w:w="1828" w:type="dxa"/>
          </w:tcPr>
          <w:p w14:paraId="7C35CE1C" w14:textId="77777777" w:rsidR="00BF18CF" w:rsidRDefault="00E51347">
            <w:r>
              <w:rPr>
                <w:i/>
              </w:rPr>
              <w:t>Références</w:t>
            </w:r>
          </w:p>
        </w:tc>
        <w:tc>
          <w:tcPr>
            <w:tcW w:w="8867" w:type="dxa"/>
          </w:tcPr>
          <w:p w14:paraId="3730FCB0" w14:textId="77777777" w:rsidR="00BF18CF" w:rsidRDefault="00BF18CF">
            <w:pPr>
              <w:pBdr>
                <w:top w:val="nil"/>
                <w:left w:val="nil"/>
                <w:bottom w:val="nil"/>
                <w:right w:val="nil"/>
                <w:between w:val="nil"/>
              </w:pBdr>
              <w:spacing w:before="36" w:after="36"/>
              <w:rPr>
                <w:color w:val="000000"/>
              </w:rPr>
            </w:pPr>
          </w:p>
        </w:tc>
      </w:tr>
    </w:tbl>
    <w:p w14:paraId="4B3D592D" w14:textId="77777777" w:rsidR="00BF18CF" w:rsidRDefault="00E51347">
      <w:pPr>
        <w:pStyle w:val="Heading2"/>
      </w:pPr>
      <w:bookmarkStart w:id="85" w:name="bookmark=id.1egqt2p" w:colFirst="0" w:colLast="0"/>
      <w:bookmarkStart w:id="86" w:name="_Toc144360786"/>
      <w:bookmarkEnd w:id="85"/>
      <w:r>
        <w:t>Construits spécifiques de modélisation</w:t>
      </w:r>
      <w:bookmarkEnd w:id="86"/>
    </w:p>
    <w:p w14:paraId="0B92EFE3" w14:textId="77777777" w:rsidR="00BF18CF" w:rsidRDefault="00E51347">
      <w:pPr>
        <w:pStyle w:val="Heading3"/>
      </w:pPr>
      <w:bookmarkStart w:id="87" w:name="bookmark=id.3ygebqi" w:colFirst="0" w:colLast="0"/>
      <w:bookmarkStart w:id="88" w:name="_Toc144360787"/>
      <w:bookmarkEnd w:id="87"/>
      <w:r>
        <w:t>Des Types</w:t>
      </w:r>
      <w:bookmarkEnd w:id="88"/>
    </w:p>
    <w:tbl>
      <w:tblPr>
        <w:tblStyle w:val="a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6D4D8499" w14:textId="77777777" w:rsidTr="00BF18CF">
        <w:tc>
          <w:tcPr>
            <w:tcW w:w="10690" w:type="dxa"/>
          </w:tcPr>
          <w:p w14:paraId="1F099775" w14:textId="77777777" w:rsidR="00BF18CF" w:rsidRDefault="00E51347">
            <w:r>
              <w:t xml:space="preserve">La plupart des descriptions structurées d'objets muséaux sont initiées par la création d'un identifiant et d'information au sujet du type de cet objet, information qui est recensée dans des champs tels que « classification », « catégorie », « type d'objet », « nom d'objet », etc. Ces champs sont utilisés afin de recenser des termes qui déclarent que l'objet appartient à une catégorie particulière. Dans le CIDOC CRM, la classe </w:t>
            </w:r>
            <w:r>
              <w:rPr>
                <w:rFonts w:ascii="Consolas" w:eastAsia="Consolas" w:hAnsi="Consolas" w:cs="Consolas"/>
                <w:sz w:val="22"/>
                <w:szCs w:val="22"/>
                <w:shd w:val="clear" w:color="auto" w:fill="EAEEF3"/>
              </w:rPr>
              <w:t>E55_Type</w:t>
            </w:r>
            <w:r>
              <w:t xml:space="preserve"> accommode de tels termes issus de vocabulaires contrôlés et de thésauri utilisés afin de classifier et de caractériser des instances de classes du CIDOC CRM. Ces instances de </w:t>
            </w:r>
            <w:r>
              <w:rPr>
                <w:rFonts w:ascii="Consolas" w:eastAsia="Consolas" w:hAnsi="Consolas" w:cs="Consolas"/>
                <w:sz w:val="22"/>
                <w:szCs w:val="22"/>
                <w:shd w:val="clear" w:color="auto" w:fill="EAEEF3"/>
              </w:rPr>
              <w:t>E55_Type</w:t>
            </w:r>
            <w:r>
              <w:t xml:space="preserve"> représentent des concepts (universaux) qui se distinguent d'instances de </w:t>
            </w:r>
            <w:r>
              <w:rPr>
                <w:rFonts w:ascii="Consolas" w:eastAsia="Consolas" w:hAnsi="Consolas" w:cs="Consolas"/>
                <w:sz w:val="22"/>
                <w:szCs w:val="22"/>
                <w:shd w:val="clear" w:color="auto" w:fill="EAEEF3"/>
              </w:rPr>
              <w:t>E41_Appellation</w:t>
            </w:r>
            <w:r>
              <w:t xml:space="preserve"> qui sont utilisées pour nommer les instances de classes du CIDOC CRM.</w:t>
            </w:r>
          </w:p>
          <w:p w14:paraId="4E041BA0" w14:textId="77777777" w:rsidR="00BF18CF" w:rsidRDefault="00E51347">
            <w:r>
              <w:t>Le CIDOC CRM offre à cette fin deux propriétés de base qui décrivent une classification terminologique et qui correspondent aux pratiques courantes de la majorité des systèmes d'information :</w:t>
            </w:r>
          </w:p>
          <w:p w14:paraId="0EA4A4D7" w14:textId="77777777" w:rsidR="00BF18CF" w:rsidRDefault="00E51347">
            <w:pPr>
              <w:numPr>
                <w:ilvl w:val="0"/>
                <w:numId w:val="43"/>
              </w:numPr>
            </w:pPr>
            <w:r>
              <w:t xml:space="preserve">La propriété </w:t>
            </w:r>
            <w:r>
              <w:rPr>
                <w:rFonts w:ascii="Consolas" w:eastAsia="Consolas" w:hAnsi="Consolas" w:cs="Consolas"/>
                <w:sz w:val="22"/>
                <w:szCs w:val="22"/>
                <w:shd w:val="clear" w:color="auto" w:fill="EAEEF3"/>
              </w:rPr>
              <w:t>P2_a_pour_type (est_le_type_de)</w:t>
            </w:r>
            <w:r>
              <w:t xml:space="preserve"> qui a pour domaine la classe </w:t>
            </w:r>
            <w:r>
              <w:rPr>
                <w:rFonts w:ascii="Consolas" w:eastAsia="Consolas" w:hAnsi="Consolas" w:cs="Consolas"/>
                <w:sz w:val="22"/>
                <w:szCs w:val="22"/>
                <w:shd w:val="clear" w:color="auto" w:fill="EAEEF3"/>
              </w:rPr>
              <w:t>E1_Entité_CRM</w:t>
            </w:r>
            <w:r>
              <w:t xml:space="preserve"> et pour portée la classe </w:t>
            </w:r>
            <w:r>
              <w:rPr>
                <w:rFonts w:ascii="Consolas" w:eastAsia="Consolas" w:hAnsi="Consolas" w:cs="Consolas"/>
                <w:sz w:val="22"/>
                <w:szCs w:val="22"/>
                <w:shd w:val="clear" w:color="auto" w:fill="EAEEF3"/>
              </w:rPr>
              <w:t>E55_Type</w:t>
            </w:r>
            <w:r>
              <w:t xml:space="preserve">. Ainsi, chaque classe du CIDOC CRM à l'exception de </w:t>
            </w:r>
            <w:r>
              <w:rPr>
                <w:rFonts w:ascii="Consolas" w:eastAsia="Consolas" w:hAnsi="Consolas" w:cs="Consolas"/>
                <w:sz w:val="22"/>
                <w:szCs w:val="22"/>
                <w:shd w:val="clear" w:color="auto" w:fill="EAEEF3"/>
              </w:rPr>
              <w:t>E59_Valeur_primitive</w:t>
            </w:r>
            <w:r>
              <w:t xml:space="preserve"> hérite la propriété </w:t>
            </w:r>
            <w:r>
              <w:rPr>
                <w:rFonts w:ascii="Consolas" w:eastAsia="Consolas" w:hAnsi="Consolas" w:cs="Consolas"/>
                <w:sz w:val="22"/>
                <w:szCs w:val="22"/>
                <w:shd w:val="clear" w:color="auto" w:fill="EAEEF3"/>
              </w:rPr>
              <w:t>P2_a_pour_type (est_le_type_de)</w:t>
            </w:r>
            <w:r>
              <w:t>. Ceci offre un mécanisme alternatif à la spécialisation de la classification des instances du CIDOC CRM à des niveaux de détails divers en pointant plutôt vers des sources externes sous la forme de vocabulaires, de thésauri, de schèmes de classification ou d'ontologies.</w:t>
            </w:r>
          </w:p>
          <w:p w14:paraId="5D548C2B" w14:textId="77777777" w:rsidR="00BF18CF" w:rsidRDefault="00E51347">
            <w:pPr>
              <w:numPr>
                <w:ilvl w:val="0"/>
                <w:numId w:val="43"/>
              </w:numPr>
            </w:pPr>
            <w:r>
              <w:t xml:space="preserve">Certaines propriétés du CIDOC CRM sont supplémentées d'une fonction analogue à </w:t>
            </w:r>
            <w:r>
              <w:rPr>
                <w:rFonts w:ascii="Consolas" w:eastAsia="Consolas" w:hAnsi="Consolas" w:cs="Consolas"/>
                <w:sz w:val="22"/>
                <w:szCs w:val="22"/>
                <w:shd w:val="clear" w:color="auto" w:fill="EAEEF3"/>
              </w:rPr>
              <w:t>P2_a_pour_type (est_le_type_de)</w:t>
            </w:r>
            <w:r>
              <w:t xml:space="preserve"> et identifiées par le suffixe « </w:t>
            </w:r>
            <w:r>
              <w:rPr>
                <w:rFonts w:ascii="Consolas" w:eastAsia="Consolas" w:hAnsi="Consolas" w:cs="Consolas"/>
                <w:sz w:val="22"/>
                <w:szCs w:val="22"/>
                <w:shd w:val="clear" w:color="auto" w:fill="EAEEF3"/>
              </w:rPr>
              <w:t>.1</w:t>
            </w:r>
            <w:r>
              <w:t xml:space="preserve"> ». La fonction d'une propriété de propriété est d'offrir un mécanisme alternatif à la spécialisation du domaine d'une propriété par l'usage de sous-types déclarés sous forme d'instances de </w:t>
            </w:r>
            <w:r>
              <w:rPr>
                <w:rFonts w:ascii="Consolas" w:eastAsia="Consolas" w:hAnsi="Consolas" w:cs="Consolas"/>
                <w:sz w:val="22"/>
                <w:szCs w:val="22"/>
                <w:shd w:val="clear" w:color="auto" w:fill="EAEEF3"/>
              </w:rPr>
              <w:t>E55_Type</w:t>
            </w:r>
            <w:r>
              <w:t>. ces propriétés « </w:t>
            </w:r>
            <w:r>
              <w:rPr>
                <w:rFonts w:ascii="Consolas" w:eastAsia="Consolas" w:hAnsi="Consolas" w:cs="Consolas"/>
                <w:sz w:val="22"/>
                <w:szCs w:val="22"/>
                <w:shd w:val="clear" w:color="auto" w:fill="EAEEF3"/>
              </w:rPr>
              <w:t>.1</w:t>
            </w:r>
            <w:r>
              <w:t xml:space="preserve"> » n'apparaissent pas dans la </w:t>
            </w:r>
            <w:hyperlink r:id="rId357" w:anchor="liste-hierarchisee-des-proprietes-du-cidoc-crm">
              <w:r>
                <w:rPr>
                  <w:color w:val="4F81BD"/>
                </w:rPr>
                <w:t>Liste hiérarchisée des propriétés du CIDOC CRM</w:t>
              </w:r>
            </w:hyperlink>
            <w:r>
              <w:t xml:space="preserve">, mais elles sont incluses dans les déclarations de </w:t>
            </w:r>
            <w:hyperlink r:id="rId358" w:anchor="classe">
              <w:r>
                <w:rPr>
                  <w:color w:val="4F81BD"/>
                </w:rPr>
                <w:t>classes</w:t>
              </w:r>
            </w:hyperlink>
            <w:r>
              <w:t xml:space="preserve"> et de </w:t>
            </w:r>
            <w:hyperlink r:id="rId359" w:anchor="propriete">
              <w:r>
                <w:rPr>
                  <w:color w:val="4F81BD"/>
                </w:rPr>
                <w:t>propriétés</w:t>
              </w:r>
            </w:hyperlink>
            <w:r>
              <w:t xml:space="preserve">. Par exemple, </w:t>
            </w:r>
            <w:r>
              <w:rPr>
                <w:rFonts w:ascii="Consolas" w:eastAsia="Consolas" w:hAnsi="Consolas" w:cs="Consolas"/>
                <w:sz w:val="22"/>
                <w:szCs w:val="22"/>
                <w:shd w:val="clear" w:color="auto" w:fill="EAEEF3"/>
              </w:rPr>
              <w:t>P62.1_mode_d'illustration</w:t>
            </w:r>
            <w:r>
              <w:t xml:space="preserve"> : </w:t>
            </w:r>
            <w:r>
              <w:rPr>
                <w:rFonts w:ascii="Consolas" w:eastAsia="Consolas" w:hAnsi="Consolas" w:cs="Consolas"/>
                <w:sz w:val="22"/>
                <w:szCs w:val="22"/>
                <w:shd w:val="clear" w:color="auto" w:fill="EAEEF3"/>
              </w:rPr>
              <w:t>E55_Type</w:t>
            </w:r>
            <w:r>
              <w:t xml:space="preserve"> est associé avec </w:t>
            </w:r>
            <w:r>
              <w:rPr>
                <w:rFonts w:ascii="Consolas" w:eastAsia="Consolas" w:hAnsi="Consolas" w:cs="Consolas"/>
                <w:sz w:val="22"/>
                <w:szCs w:val="22"/>
                <w:shd w:val="clear" w:color="auto" w:fill="EAEEF3"/>
              </w:rPr>
              <w:t>E24_Chose_matérielle_élaborée_par_l’humain</w:t>
            </w:r>
            <w:r>
              <w:t xml:space="preserve">. </w:t>
            </w:r>
            <w:r>
              <w:rPr>
                <w:rFonts w:ascii="Consolas" w:eastAsia="Consolas" w:hAnsi="Consolas" w:cs="Consolas"/>
                <w:sz w:val="22"/>
                <w:szCs w:val="22"/>
                <w:shd w:val="clear" w:color="auto" w:fill="EAEEF3"/>
              </w:rPr>
              <w:t>P62_illustre (est_illustré_par)</w:t>
            </w:r>
            <w:r>
              <w:t xml:space="preserve"> : </w:t>
            </w:r>
            <w:r>
              <w:rPr>
                <w:rFonts w:ascii="Consolas" w:eastAsia="Consolas" w:hAnsi="Consolas" w:cs="Consolas"/>
                <w:sz w:val="22"/>
                <w:szCs w:val="22"/>
                <w:shd w:val="clear" w:color="auto" w:fill="EAEEF3"/>
              </w:rPr>
              <w:t>E1_Entité_CRM</w:t>
            </w:r>
            <w:r>
              <w:t>.</w:t>
            </w:r>
          </w:p>
          <w:p w14:paraId="0F923314" w14:textId="77777777" w:rsidR="00BF18CF" w:rsidRDefault="00E51347">
            <w:r>
              <w:t xml:space="preserve">La classe </w:t>
            </w:r>
            <w:r>
              <w:rPr>
                <w:rFonts w:ascii="Consolas" w:eastAsia="Consolas" w:hAnsi="Consolas" w:cs="Consolas"/>
                <w:sz w:val="22"/>
                <w:szCs w:val="22"/>
                <w:shd w:val="clear" w:color="auto" w:fill="EAEEF3"/>
              </w:rPr>
              <w:t>E55_Type</w:t>
            </w:r>
            <w:r>
              <w:t xml:space="preserve"> est la portée des propriétés qui portent sur des savoirs catégorisés fréquemment présents dans la documentation patrimoniale. Par exemple, la propriété </w:t>
            </w:r>
            <w:r>
              <w:rPr>
                <w:rFonts w:ascii="Consolas" w:eastAsia="Consolas" w:hAnsi="Consolas" w:cs="Consolas"/>
                <w:sz w:val="22"/>
                <w:szCs w:val="22"/>
                <w:shd w:val="clear" w:color="auto" w:fill="EAEEF3"/>
              </w:rPr>
              <w:t>P125_a_mobilisé_l'objet_du_type (a_été_le_type_d’objet_employé_pour)</w:t>
            </w:r>
            <w:r>
              <w:t xml:space="preserve"> permet au CIDOC CRM d'exprimer des énoncés tels que « ce moulage a été produit grâce à un moule », ce qui veut dire qu'un objet inconnu ou non-mentionné (le moule spécifique) a été utilisé. Ceci permet à l'instance spécifique du moulage d'être associée à des types d'appareils manufacturiers, les moules. De plus, les objets de type « moule » peuvent être reliés à ce terme par la propriété </w:t>
            </w:r>
            <w:r>
              <w:rPr>
                <w:rFonts w:ascii="Consolas" w:eastAsia="Consolas" w:hAnsi="Consolas" w:cs="Consolas"/>
                <w:sz w:val="22"/>
                <w:szCs w:val="22"/>
                <w:shd w:val="clear" w:color="auto" w:fill="EAEEF3"/>
              </w:rPr>
              <w:t>P2_a_pour_type (est_le_type_de)</w:t>
            </w:r>
            <w:r>
              <w:t xml:space="preserve">. Cette relation indirecte soutient la détection d'objets inconnus dans un environnement intégré. D'autre part, certains moulages peuvent référer directement à un moule particulier par l'entremise de la propriété </w:t>
            </w:r>
            <w:r>
              <w:rPr>
                <w:rFonts w:ascii="Consolas" w:eastAsia="Consolas" w:hAnsi="Consolas" w:cs="Consolas"/>
                <w:sz w:val="22"/>
                <w:szCs w:val="22"/>
                <w:shd w:val="clear" w:color="auto" w:fill="EAEEF3"/>
              </w:rPr>
              <w:t>P16_a_mobilisé_l’objet_spécifique (a_été_mobilisé_pour)</w:t>
            </w:r>
            <w:r>
              <w:t xml:space="preserve"> de telle sorte qu'une interrogation statistique quant au nombre d'objets d'une collection issus de moules pourrait être résolue correctement (grâce à deux chemins : </w:t>
            </w:r>
            <w:r>
              <w:rPr>
                <w:rFonts w:ascii="Consolas" w:eastAsia="Consolas" w:hAnsi="Consolas" w:cs="Consolas"/>
                <w:sz w:val="22"/>
                <w:szCs w:val="22"/>
                <w:shd w:val="clear" w:color="auto" w:fill="EAEEF3"/>
              </w:rPr>
              <w:lastRenderedPageBreak/>
              <w:t>P16_a_mobilisé_l’objet_spécifique (a_été_mobilisé_pour)</w:t>
            </w:r>
            <w:r>
              <w:t xml:space="preserve"> - </w:t>
            </w:r>
            <w:r>
              <w:rPr>
                <w:rFonts w:ascii="Consolas" w:eastAsia="Consolas" w:hAnsi="Consolas" w:cs="Consolas"/>
                <w:sz w:val="22"/>
                <w:szCs w:val="22"/>
                <w:shd w:val="clear" w:color="auto" w:fill="EAEEF3"/>
              </w:rPr>
              <w:t>P2_a_pour_type (est_le_type_de)</w:t>
            </w:r>
            <w:r>
              <w:t xml:space="preserve"> et </w:t>
            </w:r>
            <w:r>
              <w:rPr>
                <w:rFonts w:ascii="Consolas" w:eastAsia="Consolas" w:hAnsi="Consolas" w:cs="Consolas"/>
                <w:sz w:val="22"/>
                <w:szCs w:val="22"/>
                <w:shd w:val="clear" w:color="auto" w:fill="EAEEF3"/>
              </w:rPr>
              <w:t>P125_a_mobilisé_l'objet_du_type (a_été_le_type_d’objet_employé_pour)</w:t>
            </w:r>
            <w:r>
              <w:t>). Ce traitement cohérent de l'information catégorisée accroît la capacité du CIDOC CRM d'intégrer de l'information culturelle.</w:t>
            </w:r>
          </w:p>
          <w:p w14:paraId="76BE377E" w14:textId="77777777" w:rsidR="00BF18CF" w:rsidRDefault="00E51347">
            <w:r>
              <w:t xml:space="preserve">Les instances de </w:t>
            </w:r>
            <w:r>
              <w:rPr>
                <w:rFonts w:ascii="Consolas" w:eastAsia="Consolas" w:hAnsi="Consolas" w:cs="Consolas"/>
                <w:sz w:val="22"/>
                <w:szCs w:val="22"/>
                <w:shd w:val="clear" w:color="auto" w:fill="EAEEF3"/>
              </w:rPr>
              <w:t>E55_Type</w:t>
            </w:r>
            <w:r>
              <w:t xml:space="preserve"> et de ses sous-classes peuvent être utilisées pour caractériser les instances de classe du CIDOC CRM de manière à en affiner la définition. Un type « artiste » peut être utilisé pour caractériser une personne grâce à la propriété </w:t>
            </w:r>
            <w:r>
              <w:rPr>
                <w:rFonts w:ascii="Consolas" w:eastAsia="Consolas" w:hAnsi="Consolas" w:cs="Consolas"/>
                <w:sz w:val="22"/>
                <w:szCs w:val="22"/>
                <w:shd w:val="clear" w:color="auto" w:fill="EAEEF3"/>
              </w:rPr>
              <w:t>P2_a_pour_type (est_le_type_de)</w:t>
            </w:r>
            <w:r>
              <w:t xml:space="preserve">, par exemple. Mais il serait aussi possible, dans le contexte de l'histoire de l'art, d'étendre la classe </w:t>
            </w:r>
            <w:r>
              <w:rPr>
                <w:rFonts w:ascii="Consolas" w:eastAsia="Consolas" w:hAnsi="Consolas" w:cs="Consolas"/>
                <w:sz w:val="22"/>
                <w:szCs w:val="22"/>
                <w:shd w:val="clear" w:color="auto" w:fill="EAEEF3"/>
              </w:rPr>
              <w:t>E21_Personne</w:t>
            </w:r>
            <w:r>
              <w:t xml:space="preserve"> avec une sous-classe </w:t>
            </w:r>
            <w:r>
              <w:rPr>
                <w:rFonts w:ascii="Consolas" w:eastAsia="Consolas" w:hAnsi="Consolas" w:cs="Consolas"/>
                <w:sz w:val="22"/>
                <w:szCs w:val="22"/>
                <w:shd w:val="clear" w:color="auto" w:fill="EAEEF3"/>
              </w:rPr>
              <w:t>E21.xx_Artiste</w:t>
            </w:r>
            <w:r>
              <w:t xml:space="preserve">. D'un point de vue conceptuel, il n'y a pas de différence notable entre le type « artiste » et la classe Artiste car tous deux dénotent le concept « artiste » et identifient le même ensemble de personnes. Dans ce contexte, un type pourrait être envisagé comme une classe et une classe de types pourrait être considérée comme une métaclasse. Cependant, puisque les systèmes actuels ne permettent pas un contrôle adéquat de métaclasses définies par des utilisateurs, le CIDOC CRM préfère modéliser des instances de </w:t>
            </w:r>
            <w:r>
              <w:rPr>
                <w:rFonts w:ascii="Consolas" w:eastAsia="Consolas" w:hAnsi="Consolas" w:cs="Consolas"/>
                <w:sz w:val="22"/>
                <w:szCs w:val="22"/>
                <w:shd w:val="clear" w:color="auto" w:fill="EAEEF3"/>
              </w:rPr>
              <w:t>E55_Type</w:t>
            </w:r>
            <w:r>
              <w:t xml:space="preserve"> comme si elles étaient des particuliers, et ce grâce aux relations décrites dans les paragraphes précédents.</w:t>
            </w:r>
          </w:p>
          <w:p w14:paraId="7A63C392" w14:textId="77777777" w:rsidR="00BF18CF" w:rsidRDefault="00E51347">
            <w:r>
              <w:t xml:space="preserve">Les utilisateurs peuvent choisir d'implémenter un concept en tant qu'instance de </w:t>
            </w:r>
            <w:r>
              <w:rPr>
                <w:rFonts w:ascii="Consolas" w:eastAsia="Consolas" w:hAnsi="Consolas" w:cs="Consolas"/>
                <w:sz w:val="22"/>
                <w:szCs w:val="22"/>
                <w:shd w:val="clear" w:color="auto" w:fill="EAEEF3"/>
              </w:rPr>
              <w:t>E55_Type</w:t>
            </w:r>
            <w:r>
              <w:t xml:space="preserve"> ou en tant que sous-classe étendant le système de classes du CIDOC CRM. Cette dernière option ne devrait être privilégiée que si le concept qu'elle représente est suffisamment stable et associé à des propriétés additionnelles qui lui sont spécifiques et qui sont explicitement modelées (sans quoi l'usage de </w:t>
            </w:r>
            <w:r>
              <w:rPr>
                <w:rFonts w:ascii="Consolas" w:eastAsia="Consolas" w:hAnsi="Consolas" w:cs="Consolas"/>
                <w:sz w:val="22"/>
                <w:szCs w:val="22"/>
                <w:shd w:val="clear" w:color="auto" w:fill="EAEEF3"/>
              </w:rPr>
              <w:t>E55_Type</w:t>
            </w:r>
            <w:r>
              <w:t xml:space="preserve"> est préférable). Il est aussi possible que des utilisateurs souhaitent décrire un discours en étendant un concept du CIDOC CRM et en décrivant l'histoire de ce concept : ils peuvent alors modéliser ce même concept à la fois en tant que sous-classe et en tant qu'instance de </w:t>
            </w:r>
            <w:r>
              <w:rPr>
                <w:rFonts w:ascii="Consolas" w:eastAsia="Consolas" w:hAnsi="Consolas" w:cs="Consolas"/>
                <w:sz w:val="22"/>
                <w:szCs w:val="22"/>
                <w:shd w:val="clear" w:color="auto" w:fill="EAEEF3"/>
              </w:rPr>
              <w:t>E55_Type</w:t>
            </w:r>
            <w:r>
              <w:t xml:space="preserve"> du même nom. Il est de même recommandé d'entrevoir pour chaque hiérarchie de termes affinant une classe de CIDOC CRM un terme englobant équivalent à cette classe (p. ex. une hiérarchie de termes pour des instances de </w:t>
            </w:r>
            <w:r>
              <w:rPr>
                <w:rFonts w:ascii="Consolas" w:eastAsia="Consolas" w:hAnsi="Consolas" w:cs="Consolas"/>
                <w:sz w:val="22"/>
                <w:szCs w:val="22"/>
                <w:shd w:val="clear" w:color="auto" w:fill="EAEEF3"/>
              </w:rPr>
              <w:t>E21_Personne</w:t>
            </w:r>
            <w:r>
              <w:t xml:space="preserve"> pourrait débuter avec « personne »).</w:t>
            </w:r>
          </w:p>
          <w:p w14:paraId="6052C055" w14:textId="77777777" w:rsidR="00BF18CF" w:rsidRDefault="00E51347">
            <w:r>
              <w:rPr>
                <w:rFonts w:ascii="Consolas" w:eastAsia="Consolas" w:hAnsi="Consolas" w:cs="Consolas"/>
                <w:sz w:val="22"/>
                <w:szCs w:val="22"/>
                <w:shd w:val="clear" w:color="auto" w:fill="EAEEF3"/>
              </w:rPr>
              <w:t>E55_Type</w:t>
            </w:r>
            <w:r>
              <w:t xml:space="preserve"> agit comme une interface entre le CIDOC CRM et les domaines spécifiques d'ontologies, de thésauri, et de systèmes terminologiques moins formels. De tels ensembles de concepts peuvent être représentés dans le CIDOC CRM comme des sous-classes de </w:t>
            </w:r>
            <w:r>
              <w:rPr>
                <w:rFonts w:ascii="Consolas" w:eastAsia="Consolas" w:hAnsi="Consolas" w:cs="Consolas"/>
                <w:sz w:val="22"/>
                <w:szCs w:val="22"/>
                <w:shd w:val="clear" w:color="auto" w:fill="EAEEF3"/>
              </w:rPr>
              <w:t>E55_Type</w:t>
            </w:r>
            <w:r>
              <w:t xml:space="preserve"> afin de former des hiérarchies de termes (c.-à-d. des instances de </w:t>
            </w:r>
            <w:r>
              <w:rPr>
                <w:rFonts w:ascii="Consolas" w:eastAsia="Consolas" w:hAnsi="Consolas" w:cs="Consolas"/>
                <w:sz w:val="22"/>
                <w:szCs w:val="22"/>
                <w:shd w:val="clear" w:color="auto" w:fill="EAEEF3"/>
              </w:rPr>
              <w:t>E55_Type</w:t>
            </w:r>
            <w:r>
              <w:t xml:space="preserve"> liées par l'entremise de </w:t>
            </w:r>
            <w:r>
              <w:rPr>
                <w:rFonts w:ascii="Consolas" w:eastAsia="Consolas" w:hAnsi="Consolas" w:cs="Consolas"/>
                <w:sz w:val="22"/>
                <w:szCs w:val="22"/>
                <w:shd w:val="clear" w:color="auto" w:fill="EAEEF3"/>
              </w:rPr>
              <w:t>P127_a_pour_terme_général (a_pour_terme_spécifique)</w:t>
            </w:r>
            <w:r>
              <w:t xml:space="preserve">). De telles hiérarchies peuvent en outre être supplémentées de propriétés. D'autres standards peuvent aussi être utilisés afin de décrire des systèmes terminologiques du moment que ces modèles sont sémantiquement compatibles avec le CIDOC CRM : il faut alors déclarer leurs classes conceptuelles comme équivalentes à </w:t>
            </w:r>
            <w:r>
              <w:rPr>
                <w:rFonts w:ascii="Consolas" w:eastAsia="Consolas" w:hAnsi="Consolas" w:cs="Consolas"/>
                <w:sz w:val="22"/>
                <w:szCs w:val="22"/>
                <w:shd w:val="clear" w:color="auto" w:fill="EAEEF3"/>
              </w:rPr>
              <w:t>E55_Type</w:t>
            </w:r>
            <w:r>
              <w:t xml:space="preserve"> et leurs relations de généralité-spécificité comme équivalentes à </w:t>
            </w:r>
            <w:r>
              <w:rPr>
                <w:rFonts w:ascii="Consolas" w:eastAsia="Consolas" w:hAnsi="Consolas" w:cs="Consolas"/>
                <w:sz w:val="22"/>
                <w:szCs w:val="22"/>
                <w:shd w:val="clear" w:color="auto" w:fill="EAEEF3"/>
              </w:rPr>
              <w:t>P127_a_pour_terme_général (a_pour_terme_spécifique)</w:t>
            </w:r>
            <w:r>
              <w:t>.</w:t>
            </w:r>
          </w:p>
          <w:p w14:paraId="61A9664D" w14:textId="77777777" w:rsidR="00BF18CF" w:rsidRDefault="00E51347">
            <w:r>
              <w:t xml:space="preserve">Dans certains cas, en particulier en archéologie ou en sciences de la vie, </w:t>
            </w:r>
            <w:r>
              <w:rPr>
                <w:rFonts w:ascii="Consolas" w:eastAsia="Consolas" w:hAnsi="Consolas" w:cs="Consolas"/>
                <w:sz w:val="22"/>
                <w:szCs w:val="22"/>
                <w:shd w:val="clear" w:color="auto" w:fill="EAEEF3"/>
              </w:rPr>
              <w:t>E83_Création_de_type</w:t>
            </w:r>
            <w:r>
              <w:t xml:space="preserve"> nécessite l’identification d’un spécimen de référence et la publication de la définition de son type dans un forum de discussion scientifique approprié. L’activité modélisée comme une instance de </w:t>
            </w:r>
            <w:r>
              <w:rPr>
                <w:rFonts w:ascii="Consolas" w:eastAsia="Consolas" w:hAnsi="Consolas" w:cs="Consolas"/>
                <w:sz w:val="22"/>
                <w:szCs w:val="22"/>
                <w:shd w:val="clear" w:color="auto" w:fill="EAEEF3"/>
              </w:rPr>
              <w:t>E83_Création_de_type</w:t>
            </w:r>
            <w:r>
              <w:t xml:space="preserve"> est essentielle à la recherche en sciences de la vie. Dans ce domaine, le « taxon » fait référence au type, le « protologue » à la description du type et le « type original » ou « holotype » aux spécimens de référence</w:t>
            </w:r>
          </w:p>
          <w:p w14:paraId="3AC6879E" w14:textId="77777777" w:rsidR="00BF18CF" w:rsidRDefault="00E51347">
            <w:r>
              <w:t xml:space="preserve">Finalement, des instances de </w:t>
            </w:r>
            <w:r>
              <w:rPr>
                <w:rFonts w:ascii="Consolas" w:eastAsia="Consolas" w:hAnsi="Consolas" w:cs="Consolas"/>
                <w:sz w:val="22"/>
                <w:szCs w:val="22"/>
                <w:shd w:val="clear" w:color="auto" w:fill="EAEEF3"/>
              </w:rPr>
              <w:t>E55_Type</w:t>
            </w:r>
            <w:r>
              <w:t xml:space="preserve"> ou de ses sous-classes peuvent décrire des éléments universaux depuis des systèmes de catégorisation qui ne prennent pas la forme d'ontologies ou de thésauri, comme c'est le cas de types et de noms de produits industriels qui sont définis et publiés par leurs producteurs pour chaque nouveau produit ou dérivé.</w:t>
            </w:r>
          </w:p>
        </w:tc>
      </w:tr>
    </w:tbl>
    <w:p w14:paraId="51E4D75E" w14:textId="77777777" w:rsidR="00BF18CF" w:rsidRDefault="00BF18CF"/>
    <w:tbl>
      <w:tblPr>
        <w:tblStyle w:val="afff3"/>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7A462057" w14:textId="77777777" w:rsidTr="00BF18CF">
        <w:tc>
          <w:tcPr>
            <w:tcW w:w="1828" w:type="dxa"/>
          </w:tcPr>
          <w:p w14:paraId="53271FAB" w14:textId="3A98D35D" w:rsidR="00BF18CF" w:rsidRDefault="00F27208">
            <w:r>
              <w:rPr>
                <w:i/>
              </w:rPr>
              <w:t>Note de traduction</w:t>
            </w:r>
          </w:p>
        </w:tc>
        <w:tc>
          <w:tcPr>
            <w:tcW w:w="8867" w:type="dxa"/>
          </w:tcPr>
          <w:p w14:paraId="1EF6B9E4" w14:textId="77777777" w:rsidR="00BF18CF" w:rsidRDefault="00BF18CF">
            <w:pPr>
              <w:pBdr>
                <w:top w:val="nil"/>
                <w:left w:val="nil"/>
                <w:bottom w:val="nil"/>
                <w:right w:val="nil"/>
                <w:between w:val="nil"/>
              </w:pBdr>
              <w:spacing w:before="36" w:after="36"/>
              <w:rPr>
                <w:color w:val="000000"/>
              </w:rPr>
            </w:pPr>
          </w:p>
        </w:tc>
      </w:tr>
      <w:tr w:rsidR="00BF18CF" w14:paraId="47C90F7B" w14:textId="77777777" w:rsidTr="00BF18CF">
        <w:tc>
          <w:tcPr>
            <w:tcW w:w="1828" w:type="dxa"/>
          </w:tcPr>
          <w:p w14:paraId="6F539281" w14:textId="77777777" w:rsidR="00BF18CF" w:rsidRDefault="00E51347">
            <w:r>
              <w:rPr>
                <w:i/>
              </w:rPr>
              <w:t>Références</w:t>
            </w:r>
          </w:p>
        </w:tc>
        <w:tc>
          <w:tcPr>
            <w:tcW w:w="8867" w:type="dxa"/>
          </w:tcPr>
          <w:p w14:paraId="74284417" w14:textId="77777777" w:rsidR="00BF18CF" w:rsidRDefault="00BF18CF">
            <w:pPr>
              <w:pBdr>
                <w:top w:val="nil"/>
                <w:left w:val="nil"/>
                <w:bottom w:val="nil"/>
                <w:right w:val="nil"/>
                <w:between w:val="nil"/>
              </w:pBdr>
              <w:spacing w:before="36" w:after="36"/>
              <w:rPr>
                <w:color w:val="000000"/>
              </w:rPr>
            </w:pPr>
          </w:p>
        </w:tc>
      </w:tr>
    </w:tbl>
    <w:p w14:paraId="0763B588" w14:textId="77777777" w:rsidR="00BF18CF" w:rsidRDefault="00E51347">
      <w:pPr>
        <w:pStyle w:val="Heading3"/>
      </w:pPr>
      <w:bookmarkStart w:id="89" w:name="bookmark=id.2dlolyb" w:colFirst="0" w:colLast="0"/>
      <w:bookmarkStart w:id="90" w:name="_Toc144360788"/>
      <w:bookmarkEnd w:id="89"/>
      <w:r>
        <w:t>Des relations temporelles primitives fondées sur des frontières floues</w:t>
      </w:r>
      <w:bookmarkEnd w:id="90"/>
    </w:p>
    <w:tbl>
      <w:tblPr>
        <w:tblStyle w:val="a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19A3317F" w14:textId="77777777" w:rsidTr="00BF18CF">
        <w:tc>
          <w:tcPr>
            <w:tcW w:w="10690" w:type="dxa"/>
          </w:tcPr>
          <w:p w14:paraId="1737DFB3" w14:textId="77777777" w:rsidR="00BF18CF" w:rsidRDefault="00E51347">
            <w:r>
              <w:t xml:space="preserve">Il est fréquent que des sciences traitant du passé, comme l'histoire, l'archéologie ou la géologie, dérivent des relations topologiques depuis des stratigraphies, d'autres observations ou des causalités entre des évènements. La version 3.3 du CIDOC CRM a donc intégré des ensembles de relations temporelles basés sur la logique de Allen (les propriétés maintenant dépréciées </w:t>
            </w:r>
            <w:r>
              <w:rPr>
                <w:rFonts w:ascii="Consolas" w:eastAsia="Consolas" w:hAnsi="Consolas" w:cs="Consolas"/>
                <w:sz w:val="22"/>
                <w:szCs w:val="22"/>
                <w:shd w:val="clear" w:color="auto" w:fill="EAEEF3"/>
              </w:rPr>
              <w:t>P114_est_temporellement_équivalent_à</w:t>
            </w:r>
            <w:r>
              <w:t xml:space="preserve">, </w:t>
            </w:r>
            <w:r>
              <w:rPr>
                <w:rFonts w:ascii="Consolas" w:eastAsia="Consolas" w:hAnsi="Consolas" w:cs="Consolas"/>
                <w:sz w:val="22"/>
                <w:szCs w:val="22"/>
                <w:shd w:val="clear" w:color="auto" w:fill="EAEEF3"/>
              </w:rPr>
              <w:t>P115_termine (est_terminé_par)</w:t>
            </w:r>
            <w:r>
              <w:t xml:space="preserve">, </w:t>
            </w:r>
            <w:r>
              <w:rPr>
                <w:rFonts w:ascii="Consolas" w:eastAsia="Consolas" w:hAnsi="Consolas" w:cs="Consolas"/>
                <w:sz w:val="22"/>
                <w:szCs w:val="22"/>
                <w:shd w:val="clear" w:color="auto" w:fill="EAEEF3"/>
              </w:rPr>
              <w:t>P116_commence (est_commencé_par)</w:t>
            </w:r>
            <w:r>
              <w:t xml:space="preserve">, </w:t>
            </w:r>
            <w:r>
              <w:rPr>
                <w:rFonts w:ascii="Consolas" w:eastAsia="Consolas" w:hAnsi="Consolas" w:cs="Consolas"/>
                <w:sz w:val="22"/>
                <w:szCs w:val="22"/>
                <w:shd w:val="clear" w:color="auto" w:fill="EAEEF3"/>
              </w:rPr>
              <w:t>P117_se_produit_durant (inclut)</w:t>
            </w:r>
            <w:r>
              <w:t xml:space="preserve">, </w:t>
            </w:r>
            <w:r>
              <w:rPr>
                <w:rFonts w:ascii="Consolas" w:eastAsia="Consolas" w:hAnsi="Consolas" w:cs="Consolas"/>
                <w:sz w:val="22"/>
                <w:szCs w:val="22"/>
                <w:shd w:val="clear" w:color="auto" w:fill="EAEEF3"/>
              </w:rPr>
              <w:t>P118_recoupe_temporellement (est_recoupé_temporellement_par)</w:t>
            </w:r>
            <w:r>
              <w:t xml:space="preserve">, </w:t>
            </w:r>
            <w:r>
              <w:rPr>
                <w:rFonts w:ascii="Consolas" w:eastAsia="Consolas" w:hAnsi="Consolas" w:cs="Consolas"/>
                <w:sz w:val="22"/>
                <w:szCs w:val="22"/>
                <w:shd w:val="clear" w:color="auto" w:fill="EAEEF3"/>
              </w:rPr>
              <w:t>P119_rencontre_temporellement (est_rencontré_temporellement_par)</w:t>
            </w:r>
            <w:r>
              <w:t xml:space="preserve"> et </w:t>
            </w:r>
            <w:r>
              <w:rPr>
                <w:rFonts w:ascii="Consolas" w:eastAsia="Consolas" w:hAnsi="Consolas" w:cs="Consolas"/>
                <w:sz w:val="22"/>
                <w:szCs w:val="22"/>
                <w:shd w:val="clear" w:color="auto" w:fill="EAEEF3"/>
              </w:rPr>
              <w:t>P120_se_produit_avant (se_produit_après)</w:t>
            </w:r>
            <w:r>
              <w:t>) qui était à l'époque la théorie la plus exhaustive et adéquate pour traiter de relations topologiques ayant égard à des phénomènes spatio-temporels de nature historique et culturelle. La logique temporelle de Allen émane de l'idée que les frontières d'intervalles temporels sont connues et décrites par un ensemble exhaustif de relations mutuellement exclusives.</w:t>
            </w:r>
          </w:p>
          <w:p w14:paraId="558D9FD5" w14:textId="77777777" w:rsidR="00BF18CF" w:rsidRDefault="00E51347">
            <w:r>
              <w:t xml:space="preserve">Néanmoins, plusieurs relations temporelles peuvent être induites de faits (p. ex. la naissance d'une personne précède nécessairement son interaction intentionnelle avec une autre) ou d'observations effectuées sur des éléments matériels dont la temporalité absolue est inconnue. C'est la raison pour laquelle les relations temporelles du CIDOC CRM s'articulent autour des entités </w:t>
            </w:r>
            <w:r>
              <w:rPr>
                <w:rFonts w:ascii="Consolas" w:eastAsia="Consolas" w:hAnsi="Consolas" w:cs="Consolas"/>
                <w:sz w:val="22"/>
                <w:szCs w:val="22"/>
                <w:shd w:val="clear" w:color="auto" w:fill="EAEEF3"/>
              </w:rPr>
              <w:t>E2_Entité_temporelle</w:t>
            </w:r>
            <w:r>
              <w:t xml:space="preserve"> et non des entités </w:t>
            </w:r>
            <w:r>
              <w:rPr>
                <w:rFonts w:ascii="Consolas" w:eastAsia="Consolas" w:hAnsi="Consolas" w:cs="Consolas"/>
                <w:sz w:val="22"/>
                <w:szCs w:val="22"/>
                <w:shd w:val="clear" w:color="auto" w:fill="EAEEF3"/>
              </w:rPr>
              <w:t>E52_Intervalle_temporel</w:t>
            </w:r>
            <w:r>
              <w:t>, lesquelles nécessitent la connaissance d'une temporalité absolue. Dans l'éventualité où une temporalité absolue est connue, la déduction des relations de Allen relève de calculs automatisés plutôt que de considérations scientifiques (ces dernières constituant le cœur du CIDOC CRM). Cependant, l'application de ces calculs est problématique pour deux raisons :</w:t>
            </w:r>
          </w:p>
          <w:p w14:paraId="353984FF" w14:textId="77777777" w:rsidR="00BF18CF" w:rsidRDefault="00E51347">
            <w:r>
              <w:t xml:space="preserve">En premier lieu, les faits de causalité pertinents à des relations temporelles résultent fréquemment en des expressions qui nécessitent une disjonction (condition logique </w:t>
            </w:r>
            <w:proofErr w:type="gramStart"/>
            <w:r>
              <w:t>« ou »</w:t>
            </w:r>
            <w:proofErr w:type="gramEnd"/>
            <w:r>
              <w:t xml:space="preserve">) des relations d'Allen. Par exemple, un enfant peut être mort-né. En faisant fi des étapes de la grossesse comme c'est souvent le cas dans les sources historiques, la naissance peut être considérée soit comme un évènement égal à la mort, soit comme une rencontre avec la mort, soit comme un évènement qui précède la mort. La représentation formelle choisie ne doit cependant pas permettre de spécifier des disjonctions sauf dans le cadre de requêtes. Par conséquent, de simples propriétés du CIDOC CRM qui impliquent un ordre temporel, comme </w:t>
            </w:r>
            <w:r>
              <w:rPr>
                <w:rFonts w:ascii="Consolas" w:eastAsia="Consolas" w:hAnsi="Consolas" w:cs="Consolas"/>
                <w:sz w:val="22"/>
                <w:szCs w:val="22"/>
                <w:shd w:val="clear" w:color="auto" w:fill="EAEEF3"/>
              </w:rPr>
              <w:t>P134_a_continué (a_été_continué_par)</w:t>
            </w:r>
            <w:r>
              <w:t xml:space="preserve">, ne peuvent pas être déclarées sous-propriétés de relations temporelles qu'elles impliquent, ce qui équivaudrait à « se déroule avant, rencontre, chevauche, démarre, démarré par, contient, finit, fini par, est égal à, durant ou chevauché par » (voir </w:t>
            </w:r>
            <w:r>
              <w:rPr>
                <w:rFonts w:ascii="Consolas" w:eastAsia="Consolas" w:hAnsi="Consolas" w:cs="Consolas"/>
                <w:sz w:val="22"/>
                <w:szCs w:val="22"/>
                <w:shd w:val="clear" w:color="auto" w:fill="EAEEF3"/>
              </w:rPr>
              <w:t>P174_commence_avant_la_fin_de (se_termine_après_le_début_de)</w:t>
            </w:r>
            <w:r>
              <w:t>).</w:t>
            </w:r>
          </w:p>
          <w:p w14:paraId="7AB00393" w14:textId="77777777" w:rsidR="00BF18CF" w:rsidRDefault="00E51347">
            <w:r>
              <w:t>En second lieu, il n'est pas naturellement possible d'observer l'égalité de points temporels, un fait qui peut être interprété de trois manières qui impliquent toutes des frontières floues et qui sont toutes cohérentes avec la version actuelle du CIDOC CRM :</w:t>
            </w:r>
          </w:p>
          <w:p w14:paraId="4D860F8B" w14:textId="77777777" w:rsidR="00BF18CF" w:rsidRDefault="00E51347">
            <w:pPr>
              <w:numPr>
                <w:ilvl w:val="0"/>
                <w:numId w:val="25"/>
              </w:numPr>
            </w:pPr>
            <w:r>
              <w:t xml:space="preserve">Tout phénomène observable qui peut être daté </w:t>
            </w:r>
            <w:proofErr w:type="gramStart"/>
            <w:r>
              <w:t>a</w:t>
            </w:r>
            <w:proofErr w:type="gramEnd"/>
            <w:r>
              <w:t xml:space="preserve"> une étendue temporelle naturelle marquée par des frontières floues qui établissent une transition graduelle depuis un état de non-existence vers un état d'existence établie suivie d'un état d'existence révolue.</w:t>
            </w:r>
          </w:p>
          <w:p w14:paraId="2B0F2C20" w14:textId="77777777" w:rsidR="00BF18CF" w:rsidRDefault="00E51347">
            <w:pPr>
              <w:numPr>
                <w:ilvl w:val="0"/>
                <w:numId w:val="25"/>
              </w:numPr>
            </w:pPr>
            <w:r>
              <w:lastRenderedPageBreak/>
              <w:t>Ces frontières floues peuvent aussi être interprétées comme des intervalles temporels au sujet desquels des experts peuvent être en désaccord quant à l'état (déjà en cours ou non, toujours en cours ou non), et ce même s'ils ont une connaissance complète d'un phénomène en question.</w:t>
            </w:r>
          </w:p>
          <w:p w14:paraId="001C9F4C" w14:textId="77777777" w:rsidR="00BF18CF" w:rsidRDefault="00E51347">
            <w:pPr>
              <w:numPr>
                <w:ilvl w:val="0"/>
                <w:numId w:val="25"/>
              </w:numPr>
            </w:pPr>
            <w:r>
              <w:t xml:space="preserve">Le fait qu'une instance de </w:t>
            </w:r>
            <w:r>
              <w:rPr>
                <w:rFonts w:ascii="Consolas" w:eastAsia="Consolas" w:hAnsi="Consolas" w:cs="Consolas"/>
                <w:sz w:val="22"/>
                <w:szCs w:val="22"/>
                <w:shd w:val="clear" w:color="auto" w:fill="EAEEF3"/>
              </w:rPr>
              <w:t>E2_Entité_temporelle</w:t>
            </w:r>
            <w:r>
              <w:t xml:space="preserve"> soit en cours n'est pas observable durant ces frontières temporelles floues.</w:t>
            </w:r>
          </w:p>
          <w:p w14:paraId="6517C7A7" w14:textId="77777777" w:rsidR="00BF18CF" w:rsidRDefault="00E51347">
            <w:r>
              <w:t>Par exemple :</w:t>
            </w:r>
          </w:p>
          <w:p w14:paraId="5C532F7A" w14:textId="77777777" w:rsidR="00BF18CF" w:rsidRDefault="00E51347">
            <w:pPr>
              <w:numPr>
                <w:ilvl w:val="0"/>
                <w:numId w:val="26"/>
              </w:numPr>
            </w:pPr>
            <w:r>
              <w:t>Un accouchement a une durée limitée et non-négligeable de plusieurs heures durant laquelle l'évènement commence et se termine graduellement;</w:t>
            </w:r>
          </w:p>
          <w:p w14:paraId="7E51536D" w14:textId="77777777" w:rsidR="00BF18CF" w:rsidRDefault="00E51347">
            <w:pPr>
              <w:numPr>
                <w:ilvl w:val="0"/>
                <w:numId w:val="26"/>
              </w:numPr>
            </w:pPr>
            <w:r>
              <w:t>Son début et sa fin peuvent être qualifiés de définitions scientifiques déterminant leurs points temporels;</w:t>
            </w:r>
          </w:p>
          <w:p w14:paraId="10FA8352" w14:textId="77777777" w:rsidR="00BF18CF" w:rsidRDefault="00E51347">
            <w:pPr>
              <w:numPr>
                <w:ilvl w:val="0"/>
                <w:numId w:val="26"/>
              </w:numPr>
            </w:pPr>
            <w:r>
              <w:t>Ni l'un ni l'autre de ces points temporels ne peut être déterminé plus précisément qu'à l'échelle des minutes.</w:t>
            </w:r>
          </w:p>
          <w:p w14:paraId="758CAB0A" w14:textId="77777777" w:rsidR="00BF18CF" w:rsidRDefault="00E51347">
            <w:r>
              <w:t xml:space="preserve">Les frontières floues ne décrivent pas la relation entre la réalité et des connaissances incomplètes ou imprécises et adopter une granularité temporelle inférieure ne résout pas ce problème puisque l'étendue floue pertinente varie grandement en fonction du phénomène considéré, y compris dans le contexte culturel. La seule équivalence exacte est entre des intervalles temporels déclarés arbitrairement (p. ex. la fin d'une année étant le début de la suivante, la fin du minoen ancien étant le début du minoen moyen peu importe le moment où celui-ci a commencé). Conséquemment, un nouvel ensemble de relations temporelles primitives </w:t>
            </w:r>
            <w:proofErr w:type="gramStart"/>
            <w:r>
              <w:t>est</w:t>
            </w:r>
            <w:proofErr w:type="gramEnd"/>
            <w:r>
              <w:t xml:space="preserve"> doté des caractéristiques suivantes :</w:t>
            </w:r>
          </w:p>
          <w:p w14:paraId="308A9F10" w14:textId="77777777" w:rsidR="00BF18CF" w:rsidRDefault="00E51347">
            <w:pPr>
              <w:numPr>
                <w:ilvl w:val="0"/>
                <w:numId w:val="28"/>
              </w:numPr>
            </w:pPr>
            <w:r>
              <w:t>Cet ensemble minimal de propriétés permet de spécifier toutes les relations possibles entre deux intervalles temporels tels qu'ils sont définis par leur point de début et de fin, que ce soit directement ou par conjonction (condition logique « et »);</w:t>
            </w:r>
          </w:p>
          <w:p w14:paraId="5104E92D" w14:textId="77777777" w:rsidR="00BF18CF" w:rsidRDefault="00E51347">
            <w:pPr>
              <w:numPr>
                <w:ilvl w:val="0"/>
                <w:numId w:val="28"/>
              </w:numPr>
            </w:pPr>
            <w:r>
              <w:t>Les points de début et de fin sont interprétés comme des frontières floues « épaisses »;</w:t>
            </w:r>
          </w:p>
          <w:p w14:paraId="44723E50" w14:textId="77777777" w:rsidR="00BF18CF" w:rsidRDefault="00E51347">
            <w:pPr>
              <w:numPr>
                <w:ilvl w:val="0"/>
                <w:numId w:val="28"/>
              </w:numPr>
            </w:pPr>
            <w:r>
              <w:t>Les conditions d'égalité des points temporels externes sont étendues au point où les frontières floues se recouvrent de sorte que la connaissance de la forme de la fonction floue n'est pas nécessaire;</w:t>
            </w:r>
          </w:p>
          <w:p w14:paraId="6DCD4A2B" w14:textId="77777777" w:rsidR="00BF18CF" w:rsidRDefault="00E51347">
            <w:pPr>
              <w:numPr>
                <w:ilvl w:val="0"/>
                <w:numId w:val="28"/>
              </w:numPr>
            </w:pPr>
            <w:r>
              <w:t>Toutes les relations d'Allen peuvent être exprimées directement ou par conjonction des propriétés concernées;</w:t>
            </w:r>
          </w:p>
          <w:p w14:paraId="77A33BEB" w14:textId="77777777" w:rsidR="00BF18CF" w:rsidRDefault="00E51347">
            <w:pPr>
              <w:numPr>
                <w:ilvl w:val="0"/>
                <w:numId w:val="28"/>
              </w:numPr>
            </w:pPr>
            <w:r>
              <w:t>Dans le cas des intervalles temporels n'ayant pas de frontières floues courtes ou n'en ayant que des négligeables, toutes les relations de Allen peuvent être décrites par des conjonctions adéquates des propriétés concernées;</w:t>
            </w:r>
          </w:p>
          <w:p w14:paraId="4C3EA094" w14:textId="77777777" w:rsidR="00BF18CF" w:rsidRDefault="00E51347">
            <w:pPr>
              <w:numPr>
                <w:ilvl w:val="0"/>
                <w:numId w:val="28"/>
              </w:numPr>
            </w:pPr>
            <w:r>
              <w:t xml:space="preserve">Aucune relation n'est l'équivalent de l'inverse d'une autre de sorte que les inverses sont plutôt </w:t>
            </w:r>
            <w:proofErr w:type="gramStart"/>
            <w:r>
              <w:t>spécifiées</w:t>
            </w:r>
            <w:proofErr w:type="gramEnd"/>
            <w:r>
              <w:t xml:space="preserve"> par l'inversion du domaine et de la portée.</w:t>
            </w:r>
          </w:p>
        </w:tc>
      </w:tr>
    </w:tbl>
    <w:p w14:paraId="24AEA5E9" w14:textId="77777777" w:rsidR="00BF18CF" w:rsidRDefault="00BF18CF"/>
    <w:tbl>
      <w:tblPr>
        <w:tblStyle w:val="a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371"/>
        <w:gridCol w:w="9319"/>
      </w:tblGrid>
      <w:tr w:rsidR="00BF18CF" w14:paraId="67460DF2" w14:textId="77777777" w:rsidTr="00BF18CF">
        <w:tc>
          <w:tcPr>
            <w:tcW w:w="1371" w:type="dxa"/>
          </w:tcPr>
          <w:p w14:paraId="5B1FAE24" w14:textId="2DA8FC42" w:rsidR="00BF18CF" w:rsidRDefault="00F27208">
            <w:r>
              <w:rPr>
                <w:i/>
              </w:rPr>
              <w:t>Note de traduction</w:t>
            </w:r>
          </w:p>
        </w:tc>
        <w:tc>
          <w:tcPr>
            <w:tcW w:w="9319" w:type="dxa"/>
          </w:tcPr>
          <w:p w14:paraId="69687464" w14:textId="77777777" w:rsidR="00BF18CF" w:rsidRDefault="00E51347">
            <w:r>
              <w:t>La traduction des propriétés dépréciées (</w:t>
            </w:r>
            <w:r>
              <w:rPr>
                <w:rFonts w:ascii="Consolas" w:eastAsia="Consolas" w:hAnsi="Consolas" w:cs="Consolas"/>
                <w:sz w:val="22"/>
                <w:szCs w:val="22"/>
                <w:shd w:val="clear" w:color="auto" w:fill="EAEEF3"/>
              </w:rPr>
              <w:t>P114_est_temporellement_équivalent_à</w:t>
            </w:r>
            <w:r>
              <w:t xml:space="preserve">, </w:t>
            </w:r>
            <w:r>
              <w:rPr>
                <w:rFonts w:ascii="Consolas" w:eastAsia="Consolas" w:hAnsi="Consolas" w:cs="Consolas"/>
                <w:sz w:val="22"/>
                <w:szCs w:val="22"/>
                <w:shd w:val="clear" w:color="auto" w:fill="EAEEF3"/>
              </w:rPr>
              <w:t>P115_termine (est_terminé_par)</w:t>
            </w:r>
            <w:r>
              <w:t xml:space="preserve">, </w:t>
            </w:r>
            <w:r>
              <w:rPr>
                <w:rFonts w:ascii="Consolas" w:eastAsia="Consolas" w:hAnsi="Consolas" w:cs="Consolas"/>
                <w:sz w:val="22"/>
                <w:szCs w:val="22"/>
                <w:shd w:val="clear" w:color="auto" w:fill="EAEEF3"/>
              </w:rPr>
              <w:t>P116_commence (est_commencé_par)</w:t>
            </w:r>
            <w:r>
              <w:t xml:space="preserve">, </w:t>
            </w:r>
            <w:r>
              <w:rPr>
                <w:rFonts w:ascii="Consolas" w:eastAsia="Consolas" w:hAnsi="Consolas" w:cs="Consolas"/>
                <w:sz w:val="22"/>
                <w:szCs w:val="22"/>
                <w:shd w:val="clear" w:color="auto" w:fill="EAEEF3"/>
              </w:rPr>
              <w:t>P117_se_produit_durant (inclut)</w:t>
            </w:r>
            <w:r>
              <w:t xml:space="preserve">, </w:t>
            </w:r>
            <w:r>
              <w:rPr>
                <w:rFonts w:ascii="Consolas" w:eastAsia="Consolas" w:hAnsi="Consolas" w:cs="Consolas"/>
                <w:sz w:val="22"/>
                <w:szCs w:val="22"/>
                <w:shd w:val="clear" w:color="auto" w:fill="EAEEF3"/>
              </w:rPr>
              <w:t>P118_recoupe_temporellement (est_recoupé_temporellement_par)</w:t>
            </w:r>
            <w:r>
              <w:t xml:space="preserve">, </w:t>
            </w:r>
            <w:r>
              <w:rPr>
                <w:rFonts w:ascii="Consolas" w:eastAsia="Consolas" w:hAnsi="Consolas" w:cs="Consolas"/>
                <w:sz w:val="22"/>
                <w:szCs w:val="22"/>
                <w:shd w:val="clear" w:color="auto" w:fill="EAEEF3"/>
              </w:rPr>
              <w:t xml:space="preserve">P119_rencontre_temporellement </w:t>
            </w:r>
            <w:r>
              <w:rPr>
                <w:rFonts w:ascii="Consolas" w:eastAsia="Consolas" w:hAnsi="Consolas" w:cs="Consolas"/>
                <w:sz w:val="22"/>
                <w:szCs w:val="22"/>
                <w:shd w:val="clear" w:color="auto" w:fill="EAEEF3"/>
              </w:rPr>
              <w:lastRenderedPageBreak/>
              <w:t>(est_rencontré_temporellement_par)</w:t>
            </w:r>
            <w:r>
              <w:t xml:space="preserve"> et </w:t>
            </w:r>
            <w:r>
              <w:rPr>
                <w:rFonts w:ascii="Consolas" w:eastAsia="Consolas" w:hAnsi="Consolas" w:cs="Consolas"/>
                <w:sz w:val="22"/>
                <w:szCs w:val="22"/>
                <w:shd w:val="clear" w:color="auto" w:fill="EAEEF3"/>
              </w:rPr>
              <w:t>P120_se_produit_avant (se_produit_après)</w:t>
            </w:r>
            <w:r>
              <w:t>) est basée sur les libellés originaux de la version 6.2.</w:t>
            </w:r>
          </w:p>
        </w:tc>
      </w:tr>
      <w:tr w:rsidR="00BF18CF" w:rsidRPr="000467B7" w14:paraId="22206BF9" w14:textId="77777777" w:rsidTr="00BF18CF">
        <w:tc>
          <w:tcPr>
            <w:tcW w:w="1371" w:type="dxa"/>
          </w:tcPr>
          <w:p w14:paraId="0591F328" w14:textId="77777777" w:rsidR="00BF18CF" w:rsidRDefault="00E51347">
            <w:r>
              <w:rPr>
                <w:i/>
              </w:rPr>
              <w:lastRenderedPageBreak/>
              <w:t>Références</w:t>
            </w:r>
          </w:p>
        </w:tc>
        <w:tc>
          <w:tcPr>
            <w:tcW w:w="9319" w:type="dxa"/>
          </w:tcPr>
          <w:p w14:paraId="4B29EAC5" w14:textId="77777777" w:rsidR="00BF18CF" w:rsidRPr="00EE61A5" w:rsidRDefault="00E51347">
            <w:pPr>
              <w:rPr>
                <w:lang w:val="en-CA"/>
              </w:rPr>
            </w:pPr>
            <w:r w:rsidRPr="00EE61A5">
              <w:rPr>
                <w:lang w:val="en-CA"/>
              </w:rPr>
              <w:t>« Definition of the CIDOC Conceptual Reference Model ». Modèle. Paris, FR-IDF: CIDOC CRM Special Interest Group, mai 2015.</w:t>
            </w:r>
            <w:r w:rsidR="000467B7">
              <w:fldChar w:fldCharType="begin"/>
            </w:r>
            <w:r w:rsidR="000467B7" w:rsidRPr="000467B7">
              <w:rPr>
                <w:lang w:val="en-CA"/>
              </w:rPr>
              <w:instrText>HYPERLINK "https://cidoc-crm.org/sites/default/files/cidoc_crm_version_6.2.pdf" \h</w:instrText>
            </w:r>
            <w:r w:rsidR="000467B7">
              <w:fldChar w:fldCharType="separate"/>
            </w:r>
            <w:r w:rsidRPr="00EE61A5">
              <w:rPr>
                <w:color w:val="4F81BD"/>
                <w:lang w:val="en-CA"/>
              </w:rPr>
              <w:t xml:space="preserve"> https://cidoc-crm.org/sites/default/files/cidoc_crm_version_6.2.pdf</w:t>
            </w:r>
            <w:r w:rsidR="000467B7">
              <w:rPr>
                <w:color w:val="4F81BD"/>
                <w:lang w:val="en-CA"/>
              </w:rPr>
              <w:fldChar w:fldCharType="end"/>
            </w:r>
            <w:r w:rsidRPr="00EE61A5">
              <w:rPr>
                <w:lang w:val="en-CA"/>
              </w:rPr>
              <w:t>.</w:t>
            </w:r>
          </w:p>
        </w:tc>
      </w:tr>
    </w:tbl>
    <w:p w14:paraId="50DAF238" w14:textId="77777777" w:rsidR="00BF18CF" w:rsidRDefault="00E51347">
      <w:pPr>
        <w:pStyle w:val="Heading4"/>
      </w:pPr>
      <w:bookmarkStart w:id="91" w:name="bookmark=id.sqyw64" w:colFirst="0" w:colLast="0"/>
      <w:bookmarkEnd w:id="91"/>
      <w:r>
        <w:t>Notation</w:t>
      </w:r>
    </w:p>
    <w:tbl>
      <w:tblPr>
        <w:tblStyle w:val="a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587DBC83" w14:textId="77777777" w:rsidTr="00BF18CF">
        <w:tc>
          <w:tcPr>
            <w:tcW w:w="10690" w:type="dxa"/>
          </w:tcPr>
          <w:p w14:paraId="7A8B221C" w14:textId="77777777" w:rsidR="00BF18CF" w:rsidRDefault="00E51347">
            <w:r>
              <w:t xml:space="preserve">Lors de la comparaison de deux instances de </w:t>
            </w:r>
            <w:r>
              <w:rPr>
                <w:rFonts w:ascii="Consolas" w:eastAsia="Consolas" w:hAnsi="Consolas" w:cs="Consolas"/>
                <w:sz w:val="22"/>
                <w:szCs w:val="22"/>
                <w:shd w:val="clear" w:color="auto" w:fill="EAEEF3"/>
              </w:rPr>
              <w:t>E2_Entité_temporelle</w:t>
            </w:r>
            <w:r>
              <w:t xml:space="preserve"> l'une est identifiée par une lettre majuscule suivie de ses début et fin (flous) indiqués en exposants (A</w:t>
            </w:r>
            <w:r>
              <w:rPr>
                <w:vertAlign w:val="superscript"/>
              </w:rPr>
              <w:t>début</w:t>
            </w:r>
            <w:r>
              <w:t>, A</w:t>
            </w:r>
            <w:r>
              <w:rPr>
                <w:vertAlign w:val="superscript"/>
              </w:rPr>
              <w:t>fin</w:t>
            </w:r>
            <w:r>
              <w:t>) de telle sorte que A = [A</w:t>
            </w:r>
            <w:r>
              <w:rPr>
                <w:vertAlign w:val="superscript"/>
              </w:rPr>
              <w:t>début</w:t>
            </w:r>
            <w:r>
              <w:t>, A</w:t>
            </w:r>
            <w:r>
              <w:rPr>
                <w:vertAlign w:val="superscript"/>
              </w:rPr>
              <w:t>fin</w:t>
            </w:r>
            <w:r>
              <w:t>] et B = [B</w:t>
            </w:r>
            <w:r>
              <w:rPr>
                <w:vertAlign w:val="superscript"/>
              </w:rPr>
              <w:t>début</w:t>
            </w:r>
            <w:r>
              <w:t>, B</w:t>
            </w:r>
            <w:r>
              <w:rPr>
                <w:vertAlign w:val="superscript"/>
              </w:rPr>
              <w:t>fin</w:t>
            </w:r>
            <w:r>
              <w:t>].</w:t>
            </w:r>
          </w:p>
          <w:p w14:paraId="46A88F39" w14:textId="77777777" w:rsidR="00BF18CF" w:rsidRDefault="00E51347">
            <w:r>
              <w:t>La relation temporelle est identifée à l'aide d'un prédicat nommé (libellé) défini par une ou plusieurs expressions d'(in)égalité entre les points terminaux de telle sorte que :</w:t>
            </w:r>
          </w:p>
          <w:p w14:paraId="4B8B4BB5" w14:textId="77777777" w:rsidR="00BF18CF" w:rsidRDefault="00E51347">
            <w:r>
              <w:t xml:space="preserve">A </w:t>
            </w:r>
            <w:r>
              <w:rPr>
                <w:i/>
              </w:rPr>
              <w:t>commence avant la fin de</w:t>
            </w:r>
            <w:r>
              <w:t xml:space="preserve"> B si et seulement si (⇔) A</w:t>
            </w:r>
            <w:r>
              <w:rPr>
                <w:vertAlign w:val="superscript"/>
              </w:rPr>
              <w:t>début</w:t>
            </w:r>
            <w:r>
              <w:t xml:space="preserve"> &lt; B</w:t>
            </w:r>
            <w:r>
              <w:rPr>
                <w:vertAlign w:val="superscript"/>
              </w:rPr>
              <w:t>fin</w:t>
            </w:r>
          </w:p>
          <w:p w14:paraId="39E43BF7" w14:textId="77777777" w:rsidR="00BF18CF" w:rsidRDefault="00E51347">
            <w:r>
              <w:t xml:space="preserve">Les relations temporelles symbolisant les étendues temporelles de deux instances de </w:t>
            </w:r>
            <w:r>
              <w:rPr>
                <w:rFonts w:ascii="Consolas" w:eastAsia="Consolas" w:hAnsi="Consolas" w:cs="Consolas"/>
                <w:sz w:val="22"/>
                <w:szCs w:val="22"/>
                <w:shd w:val="clear" w:color="auto" w:fill="EAEEF3"/>
              </w:rPr>
              <w:t>E2_Entité_temporelle</w:t>
            </w:r>
            <w:r>
              <w:t xml:space="preserve"> A et B sont illustrées à l'aide de barres horizontales conçues comme une ligne du temps horizontale se lisant depuis la gauche vers la droite. Les frontières floues sont illustrées par une saturation de couleur croissante ou décroissante.</w:t>
            </w:r>
          </w:p>
          <w:p w14:paraId="03DD4B13" w14:textId="77777777" w:rsidR="00BF18CF" w:rsidRDefault="00E51347">
            <w:r>
              <w:t>Les différentes options d'ordonnancement relatif que permet la relation sont illustrés par deux positions extrêmes de l'instance A par rapport à l'instance B connectées par des flèches. Ceci pourrait par exemple représenter les positions relatives d'un train A approchant une station B.</w:t>
            </w:r>
          </w:p>
          <w:p w14:paraId="5B95D14C" w14:textId="77777777" w:rsidR="00BF18CF" w:rsidRDefault="00E51347">
            <w:r>
              <w:t>Dans l'éventualité où la longueur de A eut égard à B est d'intérêt, deux diagrammes sont disponibles :</w:t>
            </w:r>
          </w:p>
          <w:p w14:paraId="1D8B2FB2" w14:textId="77777777" w:rsidR="00BF18CF" w:rsidRDefault="00E51347">
            <w:r>
              <w:rPr>
                <w:noProof/>
              </w:rPr>
              <w:lastRenderedPageBreak/>
              <w:drawing>
                <wp:inline distT="0" distB="0" distL="0" distR="0" wp14:anchorId="461CD6DA" wp14:editId="5B6B328C">
                  <wp:extent cx="5346700" cy="5372100"/>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0"/>
                          <a:srcRect/>
                          <a:stretch>
                            <a:fillRect/>
                          </a:stretch>
                        </pic:blipFill>
                        <pic:spPr>
                          <a:xfrm>
                            <a:off x="0" y="0"/>
                            <a:ext cx="5346700" cy="5372100"/>
                          </a:xfrm>
                          <a:prstGeom prst="rect">
                            <a:avLst/>
                          </a:prstGeom>
                          <a:ln/>
                        </pic:spPr>
                      </pic:pic>
                    </a:graphicData>
                  </a:graphic>
                </wp:inline>
              </w:drawing>
            </w:r>
          </w:p>
          <w:p w14:paraId="7FB18665" w14:textId="77777777" w:rsidR="00BF18CF" w:rsidRDefault="00E51347">
            <w:r>
              <w:rPr>
                <w:i/>
              </w:rPr>
              <w:t xml:space="preserve">Figure 7: Explication des concepts d'intérieur et de frontière ainsi qu'example de l'utilisation de </w:t>
            </w:r>
            <w:r>
              <w:rPr>
                <w:rFonts w:ascii="Consolas" w:eastAsia="Consolas" w:hAnsi="Consolas" w:cs="Consolas"/>
                <w:sz w:val="22"/>
                <w:szCs w:val="22"/>
                <w:shd w:val="clear" w:color="auto" w:fill="EAEEF3"/>
              </w:rPr>
              <w:t>P174_commence_avant_la_fin_de (se_termine_après_le_début_de)</w:t>
            </w:r>
          </w:p>
        </w:tc>
      </w:tr>
    </w:tbl>
    <w:p w14:paraId="6AB5D61D" w14:textId="77777777" w:rsidR="00BF18CF" w:rsidRDefault="00BF18CF"/>
    <w:tbl>
      <w:tblPr>
        <w:tblStyle w:val="a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549"/>
        <w:gridCol w:w="9141"/>
      </w:tblGrid>
      <w:tr w:rsidR="00BF18CF" w14:paraId="7D9F787D" w14:textId="77777777" w:rsidTr="00BF18CF">
        <w:tc>
          <w:tcPr>
            <w:tcW w:w="1549" w:type="dxa"/>
          </w:tcPr>
          <w:p w14:paraId="5CE3FF49" w14:textId="71EECBD4" w:rsidR="00BF18CF" w:rsidRDefault="00F27208">
            <w:r>
              <w:rPr>
                <w:i/>
              </w:rPr>
              <w:t>Note de traduction</w:t>
            </w:r>
          </w:p>
        </w:tc>
        <w:tc>
          <w:tcPr>
            <w:tcW w:w="9141" w:type="dxa"/>
          </w:tcPr>
          <w:p w14:paraId="31C56AD0" w14:textId="77777777" w:rsidR="00BF18CF" w:rsidRDefault="00E51347">
            <w:r>
              <w:t>Le diagramme de la figure 7 dans la version 7.1 n'ayant pas de texte, c'est celui de la version 7.1.1 qui a été utilisée en lieu et place du diagramme initial reproduit ci-dessous:</w:t>
            </w:r>
          </w:p>
        </w:tc>
      </w:tr>
      <w:tr w:rsidR="00BF18CF" w14:paraId="49A8E022" w14:textId="77777777" w:rsidTr="00BF18CF">
        <w:tc>
          <w:tcPr>
            <w:tcW w:w="1549" w:type="dxa"/>
          </w:tcPr>
          <w:p w14:paraId="69DE45D3" w14:textId="77777777" w:rsidR="00BF18CF" w:rsidRDefault="00E51347">
            <w:r>
              <w:rPr>
                <w:i/>
              </w:rPr>
              <w:t>Références</w:t>
            </w:r>
          </w:p>
        </w:tc>
        <w:tc>
          <w:tcPr>
            <w:tcW w:w="9141" w:type="dxa"/>
          </w:tcPr>
          <w:p w14:paraId="0F299795" w14:textId="77777777" w:rsidR="00BF18CF" w:rsidRDefault="00BF18CF">
            <w:pPr>
              <w:pBdr>
                <w:top w:val="nil"/>
                <w:left w:val="nil"/>
                <w:bottom w:val="nil"/>
                <w:right w:val="nil"/>
                <w:between w:val="nil"/>
              </w:pBdr>
              <w:spacing w:before="36" w:after="36"/>
              <w:rPr>
                <w:color w:val="000000"/>
              </w:rPr>
            </w:pPr>
          </w:p>
        </w:tc>
      </w:tr>
    </w:tbl>
    <w:p w14:paraId="6EAB4A3F" w14:textId="7F82B465" w:rsidR="00BF18CF" w:rsidRDefault="00E51347">
      <w:pPr>
        <w:pStyle w:val="Heading4"/>
      </w:pPr>
      <w:bookmarkStart w:id="92" w:name="bookmark=id.3cqmetx" w:colFirst="0" w:colLast="0"/>
      <w:bookmarkEnd w:id="92"/>
      <w:r>
        <w:t>Aperçu des relations temporelles primitives</w:t>
      </w:r>
    </w:p>
    <w:tbl>
      <w:tblPr>
        <w:tblStyle w:val="a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76334EA8" w14:textId="77777777" w:rsidTr="00BF18CF">
        <w:tc>
          <w:tcPr>
            <w:tcW w:w="10690" w:type="dxa"/>
          </w:tcPr>
          <w:p w14:paraId="3C4C412F" w14:textId="77777777" w:rsidR="00BF18CF" w:rsidRDefault="00E51347">
            <w:r>
              <w:t>L'ensemble final de relations primitives temporelles peut être divisé en deux groupes :</w:t>
            </w:r>
          </w:p>
          <w:p w14:paraId="546D69EF" w14:textId="77777777" w:rsidR="00BF18CF" w:rsidRDefault="00E51347">
            <w:pPr>
              <w:numPr>
                <w:ilvl w:val="0"/>
                <w:numId w:val="30"/>
              </w:numPr>
            </w:pPr>
            <w:r>
              <w:t>Les relations qui se fondent sur des inégalités impropres comme A</w:t>
            </w:r>
            <w:r>
              <w:rPr>
                <w:vertAlign w:val="superscript"/>
              </w:rPr>
              <w:t>début</w:t>
            </w:r>
            <w:r>
              <w:t xml:space="preserve"> ≤ B</w:t>
            </w:r>
            <w:r>
              <w:rPr>
                <w:vertAlign w:val="superscript"/>
              </w:rPr>
              <w:t>fin</w:t>
            </w:r>
            <w:r>
              <w:t xml:space="preserve"> (les entités dont les nombres sont impairs dans le tableau ci-dessous);</w:t>
            </w:r>
          </w:p>
          <w:p w14:paraId="0485E911" w14:textId="77777777" w:rsidR="00BF18CF" w:rsidRDefault="00E51347">
            <w:pPr>
              <w:numPr>
                <w:ilvl w:val="0"/>
                <w:numId w:val="30"/>
              </w:numPr>
            </w:pPr>
            <w:r>
              <w:t>Les relations qui se fondent sur des inégalités propres comme A</w:t>
            </w:r>
            <w:r>
              <w:rPr>
                <w:vertAlign w:val="superscript"/>
              </w:rPr>
              <w:t>début</w:t>
            </w:r>
            <w:r>
              <w:t xml:space="preserve"> &lt; B</w:t>
            </w:r>
            <w:r>
              <w:rPr>
                <w:vertAlign w:val="superscript"/>
              </w:rPr>
              <w:t>fin</w:t>
            </w:r>
            <w:r>
              <w:t xml:space="preserve"> (les entités dont les nombres sont pairs dans le tableau ci-dessous).</w:t>
            </w:r>
          </w:p>
          <w:p w14:paraId="204AF297" w14:textId="77777777" w:rsidR="00BF18CF" w:rsidRDefault="00E51347">
            <w:r>
              <w:lastRenderedPageBreak/>
              <w:t>Les inégalités impropres ayant des frontières floues sont acceptées s'étendre à des situations dans lesquelles les frontières floues des points d'arrivée respectifs peuvent se chevaucher. Ils incluent donc des situations lors desquelles il est impossible de déterminer quand un intervalle a terminé et quand un autre a commencé, et où il n'y a pas de décalage déterminé entre ces points.</w:t>
            </w:r>
          </w:p>
          <w:p w14:paraId="76495448" w14:textId="77777777" w:rsidR="00BF18CF" w:rsidRDefault="00E51347">
            <w:r>
              <w:t>Les inégalités propres ayant des frontières floues ne peuvent avoir de points d'arrivée qui se chevauchent de sorte qu'il y a un décalage connu entre les points d'arrivée (p. ex. une discontinuité entre l'établissement de phases fondée sur l'observation de couches archéologiques).</w:t>
            </w:r>
          </w:p>
        </w:tc>
      </w:tr>
    </w:tbl>
    <w:p w14:paraId="295D70A7" w14:textId="77777777" w:rsidR="00BF18CF" w:rsidRDefault="00BF18CF"/>
    <w:tbl>
      <w:tblPr>
        <w:tblStyle w:val="afff9"/>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6A546360" w14:textId="77777777" w:rsidTr="00BF18CF">
        <w:tc>
          <w:tcPr>
            <w:tcW w:w="1828" w:type="dxa"/>
          </w:tcPr>
          <w:p w14:paraId="00B7869F" w14:textId="53131F9D" w:rsidR="00BF18CF" w:rsidRDefault="00F27208">
            <w:r>
              <w:rPr>
                <w:i/>
              </w:rPr>
              <w:t>Note de traduction</w:t>
            </w:r>
          </w:p>
        </w:tc>
        <w:tc>
          <w:tcPr>
            <w:tcW w:w="8867" w:type="dxa"/>
          </w:tcPr>
          <w:p w14:paraId="1BB42DF9" w14:textId="77777777" w:rsidR="00BF18CF" w:rsidRDefault="00BF18CF">
            <w:pPr>
              <w:pBdr>
                <w:top w:val="nil"/>
                <w:left w:val="nil"/>
                <w:bottom w:val="nil"/>
                <w:right w:val="nil"/>
                <w:between w:val="nil"/>
              </w:pBdr>
              <w:spacing w:before="36" w:after="36"/>
              <w:rPr>
                <w:color w:val="000000"/>
              </w:rPr>
            </w:pPr>
          </w:p>
        </w:tc>
      </w:tr>
      <w:tr w:rsidR="00BF18CF" w14:paraId="5A44C3FC" w14:textId="77777777" w:rsidTr="00BF18CF">
        <w:tc>
          <w:tcPr>
            <w:tcW w:w="1828" w:type="dxa"/>
          </w:tcPr>
          <w:p w14:paraId="42754EE0" w14:textId="77777777" w:rsidR="00BF18CF" w:rsidRDefault="00E51347">
            <w:r>
              <w:rPr>
                <w:i/>
              </w:rPr>
              <w:t>Références</w:t>
            </w:r>
          </w:p>
        </w:tc>
        <w:tc>
          <w:tcPr>
            <w:tcW w:w="8867" w:type="dxa"/>
          </w:tcPr>
          <w:p w14:paraId="295FC63C" w14:textId="77777777" w:rsidR="00BF18CF" w:rsidRDefault="00BF18CF">
            <w:pPr>
              <w:pBdr>
                <w:top w:val="nil"/>
                <w:left w:val="nil"/>
                <w:bottom w:val="nil"/>
                <w:right w:val="nil"/>
                <w:between w:val="nil"/>
              </w:pBdr>
              <w:spacing w:before="36" w:after="36"/>
              <w:rPr>
                <w:color w:val="000000"/>
              </w:rPr>
            </w:pPr>
          </w:p>
        </w:tc>
      </w:tr>
    </w:tbl>
    <w:p w14:paraId="1B1F92BC" w14:textId="77777777" w:rsidR="00BF18CF" w:rsidRDefault="00BF18CF"/>
    <w:tbl>
      <w:tblPr>
        <w:tblStyle w:val="a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349"/>
        <w:gridCol w:w="8658"/>
        <w:gridCol w:w="1683"/>
      </w:tblGrid>
      <w:tr w:rsidR="00BF18CF" w14:paraId="6F2AE0F6" w14:textId="77777777" w:rsidTr="00BF18CF">
        <w:tc>
          <w:tcPr>
            <w:tcW w:w="349" w:type="dxa"/>
          </w:tcPr>
          <w:p w14:paraId="254CF743" w14:textId="77777777" w:rsidR="00BF18CF" w:rsidRDefault="00BF18CF">
            <w:pPr>
              <w:pBdr>
                <w:top w:val="nil"/>
                <w:left w:val="nil"/>
                <w:bottom w:val="nil"/>
                <w:right w:val="nil"/>
                <w:between w:val="nil"/>
              </w:pBdr>
              <w:spacing w:before="36" w:after="36"/>
              <w:rPr>
                <w:color w:val="000000"/>
              </w:rPr>
            </w:pPr>
          </w:p>
        </w:tc>
        <w:tc>
          <w:tcPr>
            <w:tcW w:w="8658" w:type="dxa"/>
          </w:tcPr>
          <w:p w14:paraId="14B68B53" w14:textId="77777777" w:rsidR="00BF18CF" w:rsidRDefault="00E51347">
            <w:r>
              <w:t>Propriété</w:t>
            </w:r>
          </w:p>
        </w:tc>
        <w:tc>
          <w:tcPr>
            <w:tcW w:w="1683" w:type="dxa"/>
          </w:tcPr>
          <w:p w14:paraId="3A0BBBA8" w14:textId="77777777" w:rsidR="00BF18CF" w:rsidRDefault="00E51347">
            <w:r>
              <w:t>Interprétation</w:t>
            </w:r>
          </w:p>
        </w:tc>
      </w:tr>
      <w:tr w:rsidR="00BF18CF" w14:paraId="73AF74D8" w14:textId="77777777" w:rsidTr="00BF18CF">
        <w:tc>
          <w:tcPr>
            <w:tcW w:w="349" w:type="dxa"/>
          </w:tcPr>
          <w:p w14:paraId="5B0541C4" w14:textId="77777777" w:rsidR="00BF18CF" w:rsidRDefault="00E51347">
            <w:r>
              <w:t>1</w:t>
            </w:r>
          </w:p>
        </w:tc>
        <w:tc>
          <w:tcPr>
            <w:tcW w:w="8658" w:type="dxa"/>
          </w:tcPr>
          <w:p w14:paraId="73B8D48A" w14:textId="77777777" w:rsidR="00BF18CF" w:rsidRDefault="00E51347">
            <w:r>
              <w:rPr>
                <w:rFonts w:ascii="Consolas" w:eastAsia="Consolas" w:hAnsi="Consolas" w:cs="Consolas"/>
                <w:sz w:val="22"/>
                <w:szCs w:val="22"/>
                <w:shd w:val="clear" w:color="auto" w:fill="EAEEF3"/>
              </w:rPr>
              <w:t>P173_commence_avant_ou_au_moment_de_la_fin_de (se_termine_après_ou_au_moment_du_début_de)</w:t>
            </w:r>
          </w:p>
        </w:tc>
        <w:tc>
          <w:tcPr>
            <w:tcW w:w="1683" w:type="dxa"/>
          </w:tcPr>
          <w:p w14:paraId="14BEB842" w14:textId="77777777" w:rsidR="00BF18CF" w:rsidRDefault="00E51347">
            <w:r>
              <w:t>A</w:t>
            </w:r>
            <w:r>
              <w:rPr>
                <w:vertAlign w:val="superscript"/>
              </w:rPr>
              <w:t>début</w:t>
            </w:r>
            <w:r>
              <w:t xml:space="preserve"> ≤ B</w:t>
            </w:r>
            <w:r>
              <w:rPr>
                <w:vertAlign w:val="superscript"/>
              </w:rPr>
              <w:t>fin</w:t>
            </w:r>
          </w:p>
        </w:tc>
      </w:tr>
      <w:tr w:rsidR="00BF18CF" w14:paraId="6AAF5EBF" w14:textId="77777777" w:rsidTr="00BF18CF">
        <w:tc>
          <w:tcPr>
            <w:tcW w:w="349" w:type="dxa"/>
          </w:tcPr>
          <w:p w14:paraId="2D227D81" w14:textId="77777777" w:rsidR="00BF18CF" w:rsidRDefault="00E51347">
            <w:r>
              <w:t>2</w:t>
            </w:r>
          </w:p>
        </w:tc>
        <w:tc>
          <w:tcPr>
            <w:tcW w:w="8658" w:type="dxa"/>
          </w:tcPr>
          <w:p w14:paraId="1F357B3B" w14:textId="77777777" w:rsidR="00BF18CF" w:rsidRDefault="00E51347">
            <w:r>
              <w:rPr>
                <w:rFonts w:ascii="Consolas" w:eastAsia="Consolas" w:hAnsi="Consolas" w:cs="Consolas"/>
                <w:sz w:val="22"/>
                <w:szCs w:val="22"/>
                <w:shd w:val="clear" w:color="auto" w:fill="EAEEF3"/>
              </w:rPr>
              <w:t>P174_commence_avant_la_fin_de (se_termine_après_le_début_de)</w:t>
            </w:r>
          </w:p>
        </w:tc>
        <w:tc>
          <w:tcPr>
            <w:tcW w:w="1683" w:type="dxa"/>
          </w:tcPr>
          <w:p w14:paraId="61C55734" w14:textId="77777777" w:rsidR="00BF18CF" w:rsidRDefault="00E51347">
            <w:r>
              <w:t>A</w:t>
            </w:r>
            <w:r>
              <w:rPr>
                <w:vertAlign w:val="superscript"/>
              </w:rPr>
              <w:t>début</w:t>
            </w:r>
            <w:r>
              <w:t xml:space="preserve"> &lt; B</w:t>
            </w:r>
            <w:r>
              <w:rPr>
                <w:vertAlign w:val="superscript"/>
              </w:rPr>
              <w:t>fin</w:t>
            </w:r>
          </w:p>
        </w:tc>
      </w:tr>
      <w:tr w:rsidR="00BF18CF" w14:paraId="5107DE21" w14:textId="77777777" w:rsidTr="00BF18CF">
        <w:tc>
          <w:tcPr>
            <w:tcW w:w="349" w:type="dxa"/>
          </w:tcPr>
          <w:p w14:paraId="64D2C510" w14:textId="77777777" w:rsidR="00BF18CF" w:rsidRDefault="00E51347">
            <w:r>
              <w:t>3</w:t>
            </w:r>
          </w:p>
        </w:tc>
        <w:tc>
          <w:tcPr>
            <w:tcW w:w="8658" w:type="dxa"/>
          </w:tcPr>
          <w:p w14:paraId="04DEE470" w14:textId="77777777" w:rsidR="00BF18CF" w:rsidRDefault="00E51347">
            <w:r>
              <w:rPr>
                <w:rFonts w:ascii="Consolas" w:eastAsia="Consolas" w:hAnsi="Consolas" w:cs="Consolas"/>
                <w:sz w:val="22"/>
                <w:szCs w:val="22"/>
                <w:shd w:val="clear" w:color="auto" w:fill="EAEEF3"/>
              </w:rPr>
              <w:t>P175_commence_avant_ou_au_moment_du_début_de (commence_après_ou_au_moment_du_début_de)</w:t>
            </w:r>
          </w:p>
        </w:tc>
        <w:tc>
          <w:tcPr>
            <w:tcW w:w="1683" w:type="dxa"/>
          </w:tcPr>
          <w:p w14:paraId="75EE4632" w14:textId="77777777" w:rsidR="00BF18CF" w:rsidRDefault="00E51347">
            <w:r>
              <w:t>A</w:t>
            </w:r>
            <w:r>
              <w:rPr>
                <w:vertAlign w:val="superscript"/>
              </w:rPr>
              <w:t>début</w:t>
            </w:r>
            <w:r>
              <w:t xml:space="preserve"> ≤ B</w:t>
            </w:r>
            <w:r>
              <w:rPr>
                <w:vertAlign w:val="superscript"/>
              </w:rPr>
              <w:t>début</w:t>
            </w:r>
          </w:p>
        </w:tc>
      </w:tr>
      <w:tr w:rsidR="00BF18CF" w14:paraId="1A929189" w14:textId="77777777" w:rsidTr="00BF18CF">
        <w:tc>
          <w:tcPr>
            <w:tcW w:w="349" w:type="dxa"/>
          </w:tcPr>
          <w:p w14:paraId="35E17C78" w14:textId="77777777" w:rsidR="00BF18CF" w:rsidRDefault="00E51347">
            <w:r>
              <w:t>4</w:t>
            </w:r>
          </w:p>
        </w:tc>
        <w:tc>
          <w:tcPr>
            <w:tcW w:w="8658" w:type="dxa"/>
          </w:tcPr>
          <w:p w14:paraId="2670D153" w14:textId="77777777" w:rsidR="00BF18CF" w:rsidRDefault="00E51347">
            <w:r>
              <w:rPr>
                <w:rFonts w:ascii="Consolas" w:eastAsia="Consolas" w:hAnsi="Consolas" w:cs="Consolas"/>
                <w:sz w:val="22"/>
                <w:szCs w:val="22"/>
                <w:shd w:val="clear" w:color="auto" w:fill="EAEEF3"/>
              </w:rPr>
              <w:t>P176_commence_avant_le_début_de (commence_après_le_début_de)</w:t>
            </w:r>
          </w:p>
        </w:tc>
        <w:tc>
          <w:tcPr>
            <w:tcW w:w="1683" w:type="dxa"/>
          </w:tcPr>
          <w:p w14:paraId="511B2CCD" w14:textId="77777777" w:rsidR="00BF18CF" w:rsidRDefault="00E51347">
            <w:r>
              <w:t>A</w:t>
            </w:r>
            <w:r>
              <w:rPr>
                <w:vertAlign w:val="superscript"/>
              </w:rPr>
              <w:t>début</w:t>
            </w:r>
            <w:r>
              <w:t xml:space="preserve"> &lt; B</w:t>
            </w:r>
            <w:r>
              <w:rPr>
                <w:vertAlign w:val="superscript"/>
              </w:rPr>
              <w:t>début</w:t>
            </w:r>
          </w:p>
        </w:tc>
      </w:tr>
      <w:tr w:rsidR="00BF18CF" w14:paraId="5840DAE0" w14:textId="77777777" w:rsidTr="00BF18CF">
        <w:tc>
          <w:tcPr>
            <w:tcW w:w="349" w:type="dxa"/>
          </w:tcPr>
          <w:p w14:paraId="03E5FF2D" w14:textId="77777777" w:rsidR="00BF18CF" w:rsidRDefault="00E51347">
            <w:r>
              <w:t>5</w:t>
            </w:r>
          </w:p>
        </w:tc>
        <w:tc>
          <w:tcPr>
            <w:tcW w:w="8658" w:type="dxa"/>
          </w:tcPr>
          <w:p w14:paraId="297B22FD" w14:textId="77777777" w:rsidR="00BF18CF" w:rsidRDefault="00E51347">
            <w:r>
              <w:rPr>
                <w:rFonts w:ascii="Consolas" w:eastAsia="Consolas" w:hAnsi="Consolas" w:cs="Consolas"/>
                <w:sz w:val="22"/>
                <w:szCs w:val="22"/>
                <w:shd w:val="clear" w:color="auto" w:fill="EAEEF3"/>
              </w:rPr>
              <w:t>P182_se_termine_avant_ou_au_moment_du_début_de (commence_après_ou_au_moment_de_la_fin_de)</w:t>
            </w:r>
          </w:p>
        </w:tc>
        <w:tc>
          <w:tcPr>
            <w:tcW w:w="1683" w:type="dxa"/>
          </w:tcPr>
          <w:p w14:paraId="73F9FBE1" w14:textId="77777777" w:rsidR="00BF18CF" w:rsidRDefault="00E51347">
            <w:r>
              <w:t>A</w:t>
            </w:r>
            <w:r>
              <w:rPr>
                <w:vertAlign w:val="superscript"/>
              </w:rPr>
              <w:t>fin</w:t>
            </w:r>
            <w:r>
              <w:t xml:space="preserve"> ≤ B</w:t>
            </w:r>
            <w:r>
              <w:rPr>
                <w:vertAlign w:val="superscript"/>
              </w:rPr>
              <w:t>début</w:t>
            </w:r>
          </w:p>
        </w:tc>
      </w:tr>
      <w:tr w:rsidR="00BF18CF" w14:paraId="144CFE74" w14:textId="77777777" w:rsidTr="00BF18CF">
        <w:tc>
          <w:tcPr>
            <w:tcW w:w="349" w:type="dxa"/>
          </w:tcPr>
          <w:p w14:paraId="4B19B232" w14:textId="77777777" w:rsidR="00BF18CF" w:rsidRDefault="00E51347">
            <w:r>
              <w:t>6</w:t>
            </w:r>
          </w:p>
        </w:tc>
        <w:tc>
          <w:tcPr>
            <w:tcW w:w="8658" w:type="dxa"/>
          </w:tcPr>
          <w:p w14:paraId="33D5F471" w14:textId="77777777" w:rsidR="00BF18CF" w:rsidRDefault="00E51347">
            <w:r>
              <w:rPr>
                <w:rFonts w:ascii="Consolas" w:eastAsia="Consolas" w:hAnsi="Consolas" w:cs="Consolas"/>
                <w:sz w:val="22"/>
                <w:szCs w:val="22"/>
                <w:shd w:val="clear" w:color="auto" w:fill="EAEEF3"/>
              </w:rPr>
              <w:t>P183_se_termine_avant_le_début_de (commence_après_la_fin_de)</w:t>
            </w:r>
          </w:p>
        </w:tc>
        <w:tc>
          <w:tcPr>
            <w:tcW w:w="1683" w:type="dxa"/>
          </w:tcPr>
          <w:p w14:paraId="320F6972" w14:textId="77777777" w:rsidR="00BF18CF" w:rsidRDefault="00E51347">
            <w:r>
              <w:t>A</w:t>
            </w:r>
            <w:r>
              <w:rPr>
                <w:vertAlign w:val="superscript"/>
              </w:rPr>
              <w:t>fin</w:t>
            </w:r>
            <w:r>
              <w:t xml:space="preserve"> &lt; B</w:t>
            </w:r>
            <w:r>
              <w:rPr>
                <w:vertAlign w:val="superscript"/>
              </w:rPr>
              <w:t>début</w:t>
            </w:r>
          </w:p>
        </w:tc>
      </w:tr>
      <w:tr w:rsidR="00BF18CF" w14:paraId="6E332E62" w14:textId="77777777" w:rsidTr="00BF18CF">
        <w:tc>
          <w:tcPr>
            <w:tcW w:w="349" w:type="dxa"/>
          </w:tcPr>
          <w:p w14:paraId="68CA58EB" w14:textId="77777777" w:rsidR="00BF18CF" w:rsidRDefault="00E51347">
            <w:r>
              <w:t>7</w:t>
            </w:r>
          </w:p>
        </w:tc>
        <w:tc>
          <w:tcPr>
            <w:tcW w:w="8658" w:type="dxa"/>
          </w:tcPr>
          <w:p w14:paraId="35C212BA" w14:textId="77777777" w:rsidR="00BF18CF" w:rsidRDefault="00E51347">
            <w:r>
              <w:rPr>
                <w:rFonts w:ascii="Consolas" w:eastAsia="Consolas" w:hAnsi="Consolas" w:cs="Consolas"/>
                <w:sz w:val="22"/>
                <w:szCs w:val="22"/>
                <w:shd w:val="clear" w:color="auto" w:fill="EAEEF3"/>
              </w:rPr>
              <w:t>P184_se_termine_avant_ou_au_moment_de_la_fin_de (se_termine_au_moment_ou_après_la_fin_de)</w:t>
            </w:r>
          </w:p>
        </w:tc>
        <w:tc>
          <w:tcPr>
            <w:tcW w:w="1683" w:type="dxa"/>
          </w:tcPr>
          <w:p w14:paraId="71553DDD" w14:textId="77777777" w:rsidR="00BF18CF" w:rsidRDefault="00E51347">
            <w:r>
              <w:t>A</w:t>
            </w:r>
            <w:r>
              <w:rPr>
                <w:vertAlign w:val="superscript"/>
              </w:rPr>
              <w:t>fin</w:t>
            </w:r>
            <w:r>
              <w:t xml:space="preserve"> ≤ B</w:t>
            </w:r>
            <w:r>
              <w:rPr>
                <w:vertAlign w:val="superscript"/>
              </w:rPr>
              <w:t>fin</w:t>
            </w:r>
          </w:p>
        </w:tc>
      </w:tr>
      <w:tr w:rsidR="00BF18CF" w14:paraId="61E18C06" w14:textId="77777777" w:rsidTr="00BF18CF">
        <w:tc>
          <w:tcPr>
            <w:tcW w:w="349" w:type="dxa"/>
          </w:tcPr>
          <w:p w14:paraId="3C876368" w14:textId="77777777" w:rsidR="00BF18CF" w:rsidRDefault="00E51347">
            <w:r>
              <w:t>8</w:t>
            </w:r>
          </w:p>
        </w:tc>
        <w:tc>
          <w:tcPr>
            <w:tcW w:w="8658" w:type="dxa"/>
          </w:tcPr>
          <w:p w14:paraId="30FD65B9" w14:textId="77777777" w:rsidR="00BF18CF" w:rsidRDefault="00E51347">
            <w:r>
              <w:rPr>
                <w:rFonts w:ascii="Consolas" w:eastAsia="Consolas" w:hAnsi="Consolas" w:cs="Consolas"/>
                <w:sz w:val="22"/>
                <w:szCs w:val="22"/>
                <w:shd w:val="clear" w:color="auto" w:fill="EAEEF3"/>
              </w:rPr>
              <w:t>P185_se_termine_avant_la_fin_de (se_termine_après_la_fin_de)</w:t>
            </w:r>
          </w:p>
        </w:tc>
        <w:tc>
          <w:tcPr>
            <w:tcW w:w="1683" w:type="dxa"/>
          </w:tcPr>
          <w:p w14:paraId="043434FD" w14:textId="77777777" w:rsidR="00BF18CF" w:rsidRDefault="00E51347">
            <w:r>
              <w:t>A</w:t>
            </w:r>
            <w:r>
              <w:rPr>
                <w:vertAlign w:val="superscript"/>
              </w:rPr>
              <w:t>fin</w:t>
            </w:r>
            <w:r>
              <w:t xml:space="preserve"> &lt; B</w:t>
            </w:r>
            <w:r>
              <w:rPr>
                <w:vertAlign w:val="superscript"/>
              </w:rPr>
              <w:t>fin</w:t>
            </w:r>
          </w:p>
        </w:tc>
      </w:tr>
    </w:tbl>
    <w:p w14:paraId="24C5B246" w14:textId="77777777" w:rsidR="00BF18CF" w:rsidRDefault="00E51347">
      <w:pPr>
        <w:pStyle w:val="Heading1"/>
      </w:pPr>
      <w:bookmarkStart w:id="93" w:name="bookmark=id.1rvwp1q" w:colFirst="0" w:colLast="0"/>
      <w:bookmarkStart w:id="94" w:name="_Toc144360789"/>
      <w:bookmarkEnd w:id="93"/>
      <w:r>
        <w:t>Application formelle</w:t>
      </w:r>
      <w:bookmarkEnd w:id="94"/>
    </w:p>
    <w:tbl>
      <w:tblPr>
        <w:tblStyle w:val="a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17953BEC" w14:textId="77777777" w:rsidTr="00BF18CF">
        <w:tc>
          <w:tcPr>
            <w:tcW w:w="10690" w:type="dxa"/>
          </w:tcPr>
          <w:p w14:paraId="4F54F714" w14:textId="77777777" w:rsidR="00BF18CF" w:rsidRDefault="00E51347">
            <w:r>
              <w:t xml:space="preserve">Le CIDOC CRM est une ontologie (dans le sens informatique du terme) prenant la forme d’un modèle sémantique orienté-objet destiné à la conversion vers des formats lisibles par des machines (p. ex. </w:t>
            </w:r>
            <w:hyperlink r:id="rId361">
              <w:r>
                <w:rPr>
                  <w:color w:val="4F81BD"/>
                </w:rPr>
                <w:t>RDF Schema</w:t>
              </w:r>
            </w:hyperlink>
            <w:r>
              <w:t xml:space="preserve">, </w:t>
            </w:r>
            <w:hyperlink r:id="rId362">
              <w:r>
                <w:rPr>
                  <w:color w:val="4F81BD"/>
                </w:rPr>
                <w:t>OWL</w:t>
              </w:r>
            </w:hyperlink>
            <w:r>
              <w:t xml:space="preserve">), mais formulé afin d’être compris tant par les informaticiens que par les experts de la documentation. Son implémentation peut être faite sous forme de schémas relationnels ou orientés-objets et les instances de CIDOC CRM peuvent notamment être encodées en RDF, </w:t>
            </w:r>
            <w:hyperlink r:id="rId363">
              <w:r>
                <w:rPr>
                  <w:color w:val="4F81BD"/>
                </w:rPr>
                <w:t>JSON-LD</w:t>
              </w:r>
            </w:hyperlink>
            <w:r>
              <w:t xml:space="preserve">, </w:t>
            </w:r>
            <w:hyperlink r:id="rId364">
              <w:r>
                <w:rPr>
                  <w:color w:val="4F81BD"/>
                </w:rPr>
                <w:t>XML</w:t>
              </w:r>
            </w:hyperlink>
            <w:r>
              <w:t xml:space="preserve"> ou OWL.</w:t>
            </w:r>
          </w:p>
          <w:p w14:paraId="09979755" w14:textId="77777777" w:rsidR="00BF18CF" w:rsidRDefault="00E51347">
            <w:r>
              <w:t xml:space="preserve">La définition ci-présentée du CIDOC CRM est complète, bien qu’elle demeure une présentation intentionnellement concise et succincte de ses 81 classes et 160 propriétés uniques. Celle-ci n’a donc pas pour objectif de décliner l’héritage des propriétés par sous-classes à travers la hiérarchie des </w:t>
            </w:r>
            <w:r>
              <w:lastRenderedPageBreak/>
              <w:t xml:space="preserve">classes (ce qui exigerait la déclaration de plusieurs milliers de propriétés plutôt que de 160). </w:t>
            </w:r>
            <w:proofErr w:type="gramStart"/>
            <w:r>
              <w:t>Par contre</w:t>
            </w:r>
            <w:proofErr w:type="gramEnd"/>
            <w:r>
              <w:t>, cette définition contient toute l’information nécessaire à l’inférence et à la génération automatique d’une déclaration complète des propriétés, ce qui inclut les propriétés héritées.</w:t>
            </w:r>
          </w:p>
        </w:tc>
      </w:tr>
    </w:tbl>
    <w:p w14:paraId="53288E5F" w14:textId="77777777" w:rsidR="00BF18CF" w:rsidRDefault="00BF18CF"/>
    <w:tbl>
      <w:tblPr>
        <w:tblStyle w:val="a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511"/>
        <w:gridCol w:w="9179"/>
      </w:tblGrid>
      <w:tr w:rsidR="00BF18CF" w14:paraId="3DFB22FA" w14:textId="77777777" w:rsidTr="00BF18CF">
        <w:tc>
          <w:tcPr>
            <w:tcW w:w="1511" w:type="dxa"/>
          </w:tcPr>
          <w:p w14:paraId="55EAB0D8" w14:textId="56241EB4" w:rsidR="00BF18CF" w:rsidRDefault="00F27208">
            <w:r>
              <w:rPr>
                <w:i/>
              </w:rPr>
              <w:t>Note de traduction</w:t>
            </w:r>
          </w:p>
        </w:tc>
        <w:tc>
          <w:tcPr>
            <w:tcW w:w="9179" w:type="dxa"/>
          </w:tcPr>
          <w:p w14:paraId="278F429C" w14:textId="77777777" w:rsidR="00BF18CF" w:rsidRDefault="00BF18CF">
            <w:pPr>
              <w:pBdr>
                <w:top w:val="nil"/>
                <w:left w:val="nil"/>
                <w:bottom w:val="nil"/>
                <w:right w:val="nil"/>
                <w:between w:val="nil"/>
              </w:pBdr>
              <w:spacing w:before="36" w:after="36"/>
              <w:rPr>
                <w:color w:val="000000"/>
              </w:rPr>
            </w:pPr>
          </w:p>
        </w:tc>
      </w:tr>
      <w:tr w:rsidR="00BF18CF" w14:paraId="7F1CF4E4" w14:textId="77777777" w:rsidTr="00BF18CF">
        <w:tc>
          <w:tcPr>
            <w:tcW w:w="1511" w:type="dxa"/>
          </w:tcPr>
          <w:p w14:paraId="6679B586" w14:textId="77777777" w:rsidR="00BF18CF" w:rsidRDefault="00E51347">
            <w:r>
              <w:rPr>
                <w:i/>
              </w:rPr>
              <w:t>Références</w:t>
            </w:r>
          </w:p>
        </w:tc>
        <w:tc>
          <w:tcPr>
            <w:tcW w:w="9179" w:type="dxa"/>
          </w:tcPr>
          <w:p w14:paraId="6635B450" w14:textId="77777777" w:rsidR="00BF18CF" w:rsidRDefault="00E51347">
            <w:r w:rsidRPr="00EE61A5">
              <w:rPr>
                <w:lang w:val="en-CA"/>
              </w:rPr>
              <w:t xml:space="preserve">JSON-LD Working Group. « JSON-LD - JSON for Linking Data ». </w:t>
            </w:r>
            <w:r>
              <w:t>JSON-LD, 16 janvier 2014.</w:t>
            </w:r>
            <w:hyperlink r:id="rId365">
              <w:r>
                <w:rPr>
                  <w:color w:val="4F81BD"/>
                </w:rPr>
                <w:t xml:space="preserve"> https://json-ld.org/</w:t>
              </w:r>
            </w:hyperlink>
            <w:r>
              <w:t>.</w:t>
            </w:r>
          </w:p>
          <w:p w14:paraId="35534AB6" w14:textId="77777777" w:rsidR="00BF18CF" w:rsidRPr="00EE61A5" w:rsidRDefault="00E51347">
            <w:pPr>
              <w:rPr>
                <w:lang w:val="en-CA"/>
              </w:rPr>
            </w:pPr>
            <w:r w:rsidRPr="00EE61A5">
              <w:rPr>
                <w:lang w:val="en-CA"/>
              </w:rPr>
              <w:t xml:space="preserve">OWL Working Group. « OWL - Semantic Web Standards ». </w:t>
            </w:r>
            <w:r>
              <w:t>Ontologie. Cambridge, USA-MA: World Wide Web Consortium (W3C), 11 décembre 2012.</w:t>
            </w:r>
            <w:hyperlink r:id="rId366">
              <w:r>
                <w:rPr>
                  <w:color w:val="4F81BD"/>
                </w:rPr>
                <w:t xml:space="preserve"> </w:t>
              </w:r>
              <w:r w:rsidRPr="00EE61A5">
                <w:rPr>
                  <w:color w:val="4F81BD"/>
                  <w:lang w:val="en-CA"/>
                </w:rPr>
                <w:t>https://www.w3.org/OWL/</w:t>
              </w:r>
            </w:hyperlink>
            <w:r w:rsidRPr="00EE61A5">
              <w:rPr>
                <w:lang w:val="en-CA"/>
              </w:rPr>
              <w:t>.</w:t>
            </w:r>
          </w:p>
          <w:p w14:paraId="5766064D" w14:textId="77777777" w:rsidR="00BF18CF" w:rsidRPr="00EE61A5" w:rsidRDefault="00E51347">
            <w:pPr>
              <w:rPr>
                <w:lang w:val="en-CA"/>
              </w:rPr>
            </w:pPr>
            <w:r w:rsidRPr="00EE61A5">
              <w:rPr>
                <w:lang w:val="en-CA"/>
              </w:rPr>
              <w:t>RDF Working Group. « RDF - Semantic Web Standards ». Modèle. Cambridge, USA-MA: World Wide Web Consortium (W3C), 25 février 2014.</w:t>
            </w:r>
            <w:r w:rsidR="000467B7">
              <w:fldChar w:fldCharType="begin"/>
            </w:r>
            <w:r w:rsidR="000467B7" w:rsidRPr="000467B7">
              <w:rPr>
                <w:lang w:val="en-CA"/>
              </w:rPr>
              <w:instrText>HYPERLINK "https://www.w3.org/RDF/" \h</w:instrText>
            </w:r>
            <w:r w:rsidR="000467B7">
              <w:fldChar w:fldCharType="separate"/>
            </w:r>
            <w:r w:rsidRPr="00EE61A5">
              <w:rPr>
                <w:color w:val="4F81BD"/>
                <w:lang w:val="en-CA"/>
              </w:rPr>
              <w:t xml:space="preserve"> https://www.w3.org/RDF/</w:t>
            </w:r>
            <w:r w:rsidR="000467B7">
              <w:rPr>
                <w:color w:val="4F81BD"/>
                <w:lang w:val="en-CA"/>
              </w:rPr>
              <w:fldChar w:fldCharType="end"/>
            </w:r>
            <w:r w:rsidRPr="00EE61A5">
              <w:rPr>
                <w:lang w:val="en-CA"/>
              </w:rPr>
              <w:t>.</w:t>
            </w:r>
          </w:p>
          <w:p w14:paraId="000C9E2E" w14:textId="77777777" w:rsidR="00BF18CF" w:rsidRDefault="00E51347">
            <w:r w:rsidRPr="00EE61A5">
              <w:rPr>
                <w:lang w:val="en-CA"/>
              </w:rPr>
              <w:t>XML Working Group. « Extensible Markup Language (XML) ». World Wide Web Consortium (W3C), 11 octobre 2016.</w:t>
            </w:r>
            <w:r w:rsidR="000467B7">
              <w:fldChar w:fldCharType="begin"/>
            </w:r>
            <w:r w:rsidR="000467B7" w:rsidRPr="000467B7">
              <w:rPr>
                <w:lang w:val="en-CA"/>
              </w:rPr>
              <w:instrText>HYPERLINK "https://www.w3.org/XML/" \h</w:instrText>
            </w:r>
            <w:r w:rsidR="000467B7">
              <w:fldChar w:fldCharType="separate"/>
            </w:r>
            <w:r w:rsidRPr="00EE61A5">
              <w:rPr>
                <w:color w:val="4F81BD"/>
                <w:lang w:val="en-CA"/>
              </w:rPr>
              <w:t xml:space="preserve"> </w:t>
            </w:r>
            <w:r>
              <w:rPr>
                <w:color w:val="4F81BD"/>
              </w:rPr>
              <w:t>https://www.w3.org/XML/</w:t>
            </w:r>
            <w:r w:rsidR="000467B7">
              <w:rPr>
                <w:color w:val="4F81BD"/>
              </w:rPr>
              <w:fldChar w:fldCharType="end"/>
            </w:r>
            <w:r>
              <w:t>.</w:t>
            </w:r>
          </w:p>
        </w:tc>
      </w:tr>
    </w:tbl>
    <w:p w14:paraId="14EBD926" w14:textId="77777777" w:rsidR="00BF18CF" w:rsidRDefault="00E51347">
      <w:pPr>
        <w:pStyle w:val="Heading2"/>
      </w:pPr>
      <w:bookmarkStart w:id="95" w:name="bookmark=id.4bvk7pj" w:colFirst="0" w:colLast="0"/>
      <w:bookmarkStart w:id="96" w:name="_Toc144360790"/>
      <w:bookmarkEnd w:id="95"/>
      <w:r>
        <w:t>Hiérarchies de classes et de propriétés</w:t>
      </w:r>
      <w:bookmarkEnd w:id="96"/>
    </w:p>
    <w:tbl>
      <w:tblPr>
        <w:tblStyle w:val="a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54FFC669" w14:textId="77777777" w:rsidTr="00BF18CF">
        <w:tc>
          <w:tcPr>
            <w:tcW w:w="10690" w:type="dxa"/>
          </w:tcPr>
          <w:p w14:paraId="36F653E8" w14:textId="77777777" w:rsidR="00BF18CF" w:rsidRDefault="00E51347">
            <w:r>
              <w:t xml:space="preserve">Bien qu’elles n’étayent pas de définitions exhaustives, les présentations succinctes et mono-hiérarchiques des classes et des propriétés contribuent à la navigation dans le CIDOC CRM et à la compréhension de celui-ci. Puisque le CIDOC CRM est poly-hiérarchique, la présentation mono-hiérarchique formelle découle d’une expansion descendante de toutes les relations </w:t>
            </w:r>
            <w:r>
              <w:rPr>
                <w:rFonts w:ascii="Consolas" w:eastAsia="Consolas" w:hAnsi="Consolas" w:cs="Consolas"/>
                <w:sz w:val="22"/>
                <w:szCs w:val="22"/>
                <w:shd w:val="clear" w:color="auto" w:fill="EAEEF3"/>
              </w:rPr>
              <w:t>estUn</w:t>
            </w:r>
            <w:r>
              <w:t xml:space="preserve"> indépendamment de la présence d’un concept ailleurs dans ladite hiérarchie.</w:t>
            </w:r>
          </w:p>
          <w:p w14:paraId="22FDC19A" w14:textId="77777777" w:rsidR="00BF18CF" w:rsidRDefault="00E51347">
            <w:r>
              <w:t>La hiérarchie de classes présentée ci-bas reprend la forme suivante :</w:t>
            </w:r>
          </w:p>
          <w:p w14:paraId="7BF8EE02" w14:textId="77777777" w:rsidR="00BF18CF" w:rsidRDefault="00E51347">
            <w:pPr>
              <w:numPr>
                <w:ilvl w:val="0"/>
                <w:numId w:val="32"/>
              </w:numPr>
            </w:pPr>
            <w:r>
              <w:t>Chaque ligne commence avec un identifiant de classe unique composé d’un nombre précédé de la lettre « E » (qui signalait autrefois une « entité », bien que le terme « classe » soit maintenant préféré).</w:t>
            </w:r>
          </w:p>
          <w:p w14:paraId="17CFC45B" w14:textId="77777777" w:rsidR="00BF18CF" w:rsidRDefault="00E51347">
            <w:pPr>
              <w:numPr>
                <w:ilvl w:val="0"/>
                <w:numId w:val="32"/>
              </w:numPr>
            </w:pPr>
            <w:r>
              <w:t xml:space="preserve">Une série de traits d’union (« - ») suit cet identifiant de classe unique et indique la position de la classe dans la hiérarchie </w:t>
            </w:r>
            <w:r>
              <w:rPr>
                <w:rFonts w:ascii="Consolas" w:eastAsia="Consolas" w:hAnsi="Consolas" w:cs="Consolas"/>
                <w:sz w:val="22"/>
                <w:szCs w:val="22"/>
                <w:shd w:val="clear" w:color="auto" w:fill="EAEEF3"/>
              </w:rPr>
              <w:t>estUn</w:t>
            </w:r>
            <w:r>
              <w:t>.</w:t>
            </w:r>
          </w:p>
          <w:p w14:paraId="18AC93D4" w14:textId="77777777" w:rsidR="00BF18CF" w:rsidRDefault="00E51347">
            <w:pPr>
              <w:numPr>
                <w:ilvl w:val="0"/>
                <w:numId w:val="32"/>
              </w:numPr>
            </w:pPr>
            <w:r>
              <w:t>Le nom de la classe se trouve à droite des traits d’union.</w:t>
            </w:r>
          </w:p>
          <w:p w14:paraId="2FAFEB68" w14:textId="77777777" w:rsidR="00BF18CF" w:rsidRDefault="00E51347">
            <w:pPr>
              <w:numPr>
                <w:ilvl w:val="0"/>
                <w:numId w:val="32"/>
              </w:numPr>
            </w:pPr>
            <w:r>
              <w:t>L’index est ordonné selon les niveaux hiérarchiques avec une approche de « parcours en profondeur » depuis les sous-hiérarchies les plus petites vers les plus larges.</w:t>
            </w:r>
          </w:p>
          <w:p w14:paraId="0AE6C1E3" w14:textId="77777777" w:rsidR="00BF18CF" w:rsidRDefault="00E51347">
            <w:pPr>
              <w:numPr>
                <w:ilvl w:val="0"/>
                <w:numId w:val="32"/>
              </w:numPr>
            </w:pPr>
            <w:r>
              <w:t>L’apparition de classes dans de multiples positions dans la hiérarchie des classes en raison d’héritages multiples est signalée par l’usage des italiques.</w:t>
            </w:r>
          </w:p>
          <w:p w14:paraId="51A8D16B" w14:textId="77777777" w:rsidR="00BF18CF" w:rsidRDefault="00E51347">
            <w:r>
              <w:t>La hiérarchie des propriétés présentée ci-bas reprend la forme suivante :</w:t>
            </w:r>
          </w:p>
          <w:p w14:paraId="5476D94D" w14:textId="77777777" w:rsidR="00BF18CF" w:rsidRDefault="00E51347">
            <w:pPr>
              <w:numPr>
                <w:ilvl w:val="0"/>
                <w:numId w:val="34"/>
              </w:numPr>
            </w:pPr>
            <w:r>
              <w:t>Chaque ligne commence avec un identifiant de propriété unique composé d’un nombre précédé de la lettre « P » (pour « propriété »).</w:t>
            </w:r>
          </w:p>
          <w:p w14:paraId="6E7B3A3C" w14:textId="77777777" w:rsidR="00BF18CF" w:rsidRDefault="00E51347">
            <w:pPr>
              <w:numPr>
                <w:ilvl w:val="0"/>
                <w:numId w:val="34"/>
              </w:numPr>
            </w:pPr>
            <w:r>
              <w:lastRenderedPageBreak/>
              <w:t xml:space="preserve">Une série de traits d’union (« - ») suit cet identifiant de propriété unique et indique la position de la propriété dans la hiérarchie </w:t>
            </w:r>
            <w:r>
              <w:rPr>
                <w:rFonts w:ascii="Consolas" w:eastAsia="Consolas" w:hAnsi="Consolas" w:cs="Consolas"/>
                <w:sz w:val="22"/>
                <w:szCs w:val="22"/>
                <w:shd w:val="clear" w:color="auto" w:fill="EAEEF3"/>
              </w:rPr>
              <w:t>estUn</w:t>
            </w:r>
            <w:r>
              <w:t>.</w:t>
            </w:r>
          </w:p>
          <w:p w14:paraId="0875F2C8" w14:textId="77777777" w:rsidR="00BF18CF" w:rsidRDefault="00E51347">
            <w:pPr>
              <w:numPr>
                <w:ilvl w:val="0"/>
                <w:numId w:val="34"/>
              </w:numPr>
            </w:pPr>
            <w:r>
              <w:t>Le nom de la propriété se trouve à droite des traits d’union, suivi par le nom de la propriété inverse entre parenthèses (à des fins de lecture depuis la portée vers le domaine).</w:t>
            </w:r>
          </w:p>
          <w:p w14:paraId="2FEF942F" w14:textId="77777777" w:rsidR="00BF18CF" w:rsidRDefault="00E51347">
            <w:pPr>
              <w:numPr>
                <w:ilvl w:val="0"/>
                <w:numId w:val="34"/>
              </w:numPr>
            </w:pPr>
            <w:r>
              <w:t>L’index est ordonné selon les niveaux hiérarchiques avec une approche de « parcours en profondeur » depuis les sous-hiérarchies les plus petites vers les plus larges, puis par numéro de propriété dans le cas de propriétés-soeurs égales.</w:t>
            </w:r>
          </w:p>
          <w:p w14:paraId="1514AB64" w14:textId="77777777" w:rsidR="00BF18CF" w:rsidRDefault="00E51347">
            <w:pPr>
              <w:numPr>
                <w:ilvl w:val="0"/>
                <w:numId w:val="34"/>
              </w:numPr>
            </w:pPr>
            <w:r>
              <w:t>L’apparition de propriétés dans de multiples positions dans la hiérarchie des propriétés en raison d’héritages multiples est signalée par l’usage des italiques.</w:t>
            </w:r>
          </w:p>
        </w:tc>
      </w:tr>
    </w:tbl>
    <w:p w14:paraId="736B94FD" w14:textId="77777777" w:rsidR="00BF18CF" w:rsidRDefault="00BF18CF"/>
    <w:tbl>
      <w:tblPr>
        <w:tblStyle w:val="afffe"/>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1BC5AD6D" w14:textId="77777777" w:rsidTr="00BF18CF">
        <w:tc>
          <w:tcPr>
            <w:tcW w:w="1828" w:type="dxa"/>
          </w:tcPr>
          <w:p w14:paraId="013FAEDE" w14:textId="0F8C27AE" w:rsidR="00BF18CF" w:rsidRDefault="00F27208">
            <w:r>
              <w:rPr>
                <w:i/>
              </w:rPr>
              <w:t>Note de traduction</w:t>
            </w:r>
          </w:p>
        </w:tc>
        <w:tc>
          <w:tcPr>
            <w:tcW w:w="8867" w:type="dxa"/>
          </w:tcPr>
          <w:p w14:paraId="03241EFE" w14:textId="77777777" w:rsidR="00BF18CF" w:rsidRDefault="00BF18CF">
            <w:pPr>
              <w:pBdr>
                <w:top w:val="nil"/>
                <w:left w:val="nil"/>
                <w:bottom w:val="nil"/>
                <w:right w:val="nil"/>
                <w:between w:val="nil"/>
              </w:pBdr>
              <w:spacing w:before="36" w:after="36"/>
              <w:rPr>
                <w:color w:val="000000"/>
              </w:rPr>
            </w:pPr>
          </w:p>
        </w:tc>
      </w:tr>
      <w:tr w:rsidR="00BF18CF" w14:paraId="7448EC34" w14:textId="77777777" w:rsidTr="00BF18CF">
        <w:tc>
          <w:tcPr>
            <w:tcW w:w="1828" w:type="dxa"/>
          </w:tcPr>
          <w:p w14:paraId="099AE196" w14:textId="77777777" w:rsidR="00BF18CF" w:rsidRDefault="00E51347">
            <w:r>
              <w:rPr>
                <w:i/>
              </w:rPr>
              <w:t>Références</w:t>
            </w:r>
          </w:p>
        </w:tc>
        <w:tc>
          <w:tcPr>
            <w:tcW w:w="8867" w:type="dxa"/>
          </w:tcPr>
          <w:p w14:paraId="15CCFE6A" w14:textId="77777777" w:rsidR="00BF18CF" w:rsidRDefault="00BF18CF">
            <w:pPr>
              <w:pBdr>
                <w:top w:val="nil"/>
                <w:left w:val="nil"/>
                <w:bottom w:val="nil"/>
                <w:right w:val="nil"/>
                <w:between w:val="nil"/>
              </w:pBdr>
              <w:spacing w:before="36" w:after="36"/>
              <w:rPr>
                <w:color w:val="000000"/>
              </w:rPr>
            </w:pPr>
          </w:p>
        </w:tc>
      </w:tr>
    </w:tbl>
    <w:p w14:paraId="2C9A7839" w14:textId="77777777" w:rsidR="00BF18CF" w:rsidRDefault="00E51347">
      <w:pPr>
        <w:pStyle w:val="Heading3"/>
      </w:pPr>
      <w:bookmarkStart w:id="97" w:name="bookmark=id.2r0uhxc" w:colFirst="0" w:colLast="0"/>
      <w:bookmarkStart w:id="98" w:name="_Toc144360791"/>
      <w:bookmarkEnd w:id="97"/>
      <w:r>
        <w:t>Liste hiérarchisée des classes du CIDOC CRM</w:t>
      </w:r>
      <w:bookmarkEnd w:id="98"/>
    </w:p>
    <w:tbl>
      <w:tblPr>
        <w:tblStyle w:val="affff"/>
        <w:tblW w:w="10773" w:type="dxa"/>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567"/>
        <w:gridCol w:w="284"/>
        <w:gridCol w:w="283"/>
        <w:gridCol w:w="284"/>
        <w:gridCol w:w="283"/>
        <w:gridCol w:w="284"/>
        <w:gridCol w:w="283"/>
        <w:gridCol w:w="284"/>
        <w:gridCol w:w="283"/>
        <w:gridCol w:w="284"/>
        <w:gridCol w:w="7654"/>
      </w:tblGrid>
      <w:tr w:rsidR="00BF18CF" w14:paraId="3E420DA8" w14:textId="77777777" w:rsidTr="00BF18CF">
        <w:tc>
          <w:tcPr>
            <w:tcW w:w="567" w:type="dxa"/>
          </w:tcPr>
          <w:p w14:paraId="3D02DF2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w:t>
            </w:r>
          </w:p>
        </w:tc>
        <w:tc>
          <w:tcPr>
            <w:tcW w:w="10206" w:type="dxa"/>
            <w:gridSpan w:val="10"/>
          </w:tcPr>
          <w:p w14:paraId="32388B3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5B453585" w14:textId="77777777" w:rsidTr="00BF18CF">
        <w:tc>
          <w:tcPr>
            <w:tcW w:w="567" w:type="dxa"/>
          </w:tcPr>
          <w:p w14:paraId="0712BAD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w:t>
            </w:r>
          </w:p>
        </w:tc>
        <w:tc>
          <w:tcPr>
            <w:tcW w:w="284" w:type="dxa"/>
          </w:tcPr>
          <w:p w14:paraId="7497085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922" w:type="dxa"/>
            <w:gridSpan w:val="9"/>
          </w:tcPr>
          <w:p w14:paraId="61281F4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18BCF908" w14:textId="77777777" w:rsidTr="00BF18CF">
        <w:tc>
          <w:tcPr>
            <w:tcW w:w="567" w:type="dxa"/>
          </w:tcPr>
          <w:p w14:paraId="09230E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w:t>
            </w:r>
          </w:p>
        </w:tc>
        <w:tc>
          <w:tcPr>
            <w:tcW w:w="284" w:type="dxa"/>
          </w:tcPr>
          <w:p w14:paraId="20FAAB8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B924B1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4657289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E3_État_matériel</w:t>
            </w:r>
          </w:p>
        </w:tc>
      </w:tr>
      <w:tr w:rsidR="00BF18CF" w14:paraId="1DC674DE" w14:textId="77777777" w:rsidTr="00BF18CF">
        <w:tc>
          <w:tcPr>
            <w:tcW w:w="567" w:type="dxa"/>
          </w:tcPr>
          <w:p w14:paraId="24AA690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E4</w:t>
            </w:r>
          </w:p>
        </w:tc>
        <w:tc>
          <w:tcPr>
            <w:tcW w:w="284" w:type="dxa"/>
          </w:tcPr>
          <w:p w14:paraId="388BB8B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33AEEE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66EC996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E4_Période</w:t>
            </w:r>
          </w:p>
        </w:tc>
      </w:tr>
      <w:tr w:rsidR="00BF18CF" w14:paraId="49F21326" w14:textId="77777777" w:rsidTr="00BF18CF">
        <w:tc>
          <w:tcPr>
            <w:tcW w:w="567" w:type="dxa"/>
          </w:tcPr>
          <w:p w14:paraId="617E17B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w:t>
            </w:r>
          </w:p>
        </w:tc>
        <w:tc>
          <w:tcPr>
            <w:tcW w:w="284" w:type="dxa"/>
          </w:tcPr>
          <w:p w14:paraId="3D6030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E41DA7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F664C4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355" w:type="dxa"/>
            <w:gridSpan w:val="7"/>
          </w:tcPr>
          <w:p w14:paraId="0288820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E5_Évènement</w:t>
            </w:r>
          </w:p>
        </w:tc>
      </w:tr>
      <w:tr w:rsidR="00BF18CF" w14:paraId="07BCDE95" w14:textId="77777777" w:rsidTr="00BF18CF">
        <w:tc>
          <w:tcPr>
            <w:tcW w:w="567" w:type="dxa"/>
          </w:tcPr>
          <w:p w14:paraId="66D57E4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w:t>
            </w:r>
          </w:p>
        </w:tc>
        <w:tc>
          <w:tcPr>
            <w:tcW w:w="284" w:type="dxa"/>
          </w:tcPr>
          <w:p w14:paraId="2759989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33EF6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18DECB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CBDDED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6B1B0C8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r>
      <w:tr w:rsidR="00BF18CF" w14:paraId="04C61728" w14:textId="77777777" w:rsidTr="00BF18CF">
        <w:tc>
          <w:tcPr>
            <w:tcW w:w="567" w:type="dxa"/>
          </w:tcPr>
          <w:p w14:paraId="73B3A2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w:t>
            </w:r>
          </w:p>
        </w:tc>
        <w:tc>
          <w:tcPr>
            <w:tcW w:w="284" w:type="dxa"/>
          </w:tcPr>
          <w:p w14:paraId="4D6E781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20312E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AF9195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14EB86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40573D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039643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E8_Acquisition</w:t>
            </w:r>
          </w:p>
        </w:tc>
      </w:tr>
      <w:tr w:rsidR="00BF18CF" w14:paraId="4C5CD8BE" w14:textId="77777777" w:rsidTr="00BF18CF">
        <w:tc>
          <w:tcPr>
            <w:tcW w:w="567" w:type="dxa"/>
          </w:tcPr>
          <w:p w14:paraId="3E72FB1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E96</w:t>
            </w:r>
          </w:p>
        </w:tc>
        <w:tc>
          <w:tcPr>
            <w:tcW w:w="284" w:type="dxa"/>
          </w:tcPr>
          <w:p w14:paraId="5C17D64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985619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CFD2C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794AA2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D50013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14B888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39C16C1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E96_Achat</w:t>
            </w:r>
          </w:p>
        </w:tc>
      </w:tr>
      <w:tr w:rsidR="00BF18CF" w14:paraId="3CA19489" w14:textId="77777777" w:rsidTr="00BF18CF">
        <w:tc>
          <w:tcPr>
            <w:tcW w:w="567" w:type="dxa"/>
          </w:tcPr>
          <w:p w14:paraId="20F3CCD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w:t>
            </w:r>
          </w:p>
        </w:tc>
        <w:tc>
          <w:tcPr>
            <w:tcW w:w="284" w:type="dxa"/>
          </w:tcPr>
          <w:p w14:paraId="44050E9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10DBE8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753FF3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C71B7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1A1DB2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7961EBD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E9_Déplacement</w:t>
            </w:r>
          </w:p>
        </w:tc>
      </w:tr>
      <w:tr w:rsidR="00BF18CF" w14:paraId="237EB870" w14:textId="77777777" w:rsidTr="00BF18CF">
        <w:tc>
          <w:tcPr>
            <w:tcW w:w="567" w:type="dxa"/>
          </w:tcPr>
          <w:p w14:paraId="1DCC284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E10</w:t>
            </w:r>
          </w:p>
        </w:tc>
        <w:tc>
          <w:tcPr>
            <w:tcW w:w="284" w:type="dxa"/>
          </w:tcPr>
          <w:p w14:paraId="3C331EB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02D246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EDB1EF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73F105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962BF0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C487A0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E10_Transfert_de_la_garde</w:t>
            </w:r>
          </w:p>
        </w:tc>
      </w:tr>
      <w:tr w:rsidR="00BF18CF" w14:paraId="5C40BE49" w14:textId="77777777" w:rsidTr="00BF18CF">
        <w:tc>
          <w:tcPr>
            <w:tcW w:w="567" w:type="dxa"/>
          </w:tcPr>
          <w:p w14:paraId="4F765C4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E11</w:t>
            </w:r>
          </w:p>
        </w:tc>
        <w:tc>
          <w:tcPr>
            <w:tcW w:w="284" w:type="dxa"/>
          </w:tcPr>
          <w:p w14:paraId="0ABE12F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8EA50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00D865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1E6C6D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D66F1C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3156712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E11_Modification</w:t>
            </w:r>
          </w:p>
        </w:tc>
      </w:tr>
      <w:tr w:rsidR="00BF18CF" w14:paraId="6C20BD2C" w14:textId="77777777" w:rsidTr="00BF18CF">
        <w:tc>
          <w:tcPr>
            <w:tcW w:w="567" w:type="dxa"/>
          </w:tcPr>
          <w:p w14:paraId="3AD0E8C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E12</w:t>
            </w:r>
          </w:p>
        </w:tc>
        <w:tc>
          <w:tcPr>
            <w:tcW w:w="284" w:type="dxa"/>
          </w:tcPr>
          <w:p w14:paraId="7B7F40E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BEAE97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E0B4F9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2F88FF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4B8079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30723D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23F7952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E12_Production</w:t>
            </w:r>
          </w:p>
        </w:tc>
      </w:tr>
      <w:tr w:rsidR="00BF18CF" w14:paraId="06FB33AE" w14:textId="77777777" w:rsidTr="00BF18CF">
        <w:tc>
          <w:tcPr>
            <w:tcW w:w="567" w:type="dxa"/>
          </w:tcPr>
          <w:p w14:paraId="3F0624F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E79</w:t>
            </w:r>
          </w:p>
        </w:tc>
        <w:tc>
          <w:tcPr>
            <w:tcW w:w="284" w:type="dxa"/>
          </w:tcPr>
          <w:p w14:paraId="69C3F1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D01FA8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FF4B8E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A654D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B4EB57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593F18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27A52EA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E79_Ajout_d’élément</w:t>
            </w:r>
          </w:p>
        </w:tc>
      </w:tr>
      <w:tr w:rsidR="00BF18CF" w14:paraId="781BDB56" w14:textId="77777777" w:rsidTr="00BF18CF">
        <w:tc>
          <w:tcPr>
            <w:tcW w:w="567" w:type="dxa"/>
          </w:tcPr>
          <w:p w14:paraId="6DFA557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E80</w:t>
            </w:r>
          </w:p>
        </w:tc>
        <w:tc>
          <w:tcPr>
            <w:tcW w:w="284" w:type="dxa"/>
          </w:tcPr>
          <w:p w14:paraId="37AE1D2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DA180D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7D894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AD3DD8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CE6EF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2835D3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349CA2B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E80_Retrait_d’élément</w:t>
            </w:r>
            <w:r>
              <w:rPr>
                <w:color w:val="000000"/>
                <w:sz w:val="16"/>
                <w:szCs w:val="16"/>
              </w:rPr>
              <w:t> </w:t>
            </w:r>
          </w:p>
        </w:tc>
      </w:tr>
      <w:tr w:rsidR="00BF18CF" w14:paraId="04CB4FB0" w14:textId="77777777" w:rsidTr="00BF18CF">
        <w:tc>
          <w:tcPr>
            <w:tcW w:w="567" w:type="dxa"/>
          </w:tcPr>
          <w:p w14:paraId="5FBA78A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E13</w:t>
            </w:r>
          </w:p>
        </w:tc>
        <w:tc>
          <w:tcPr>
            <w:tcW w:w="284" w:type="dxa"/>
          </w:tcPr>
          <w:p w14:paraId="0FB3E68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39EA70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87B5C6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F960FC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AE9008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47C5A80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E13_Assignation_d’attribut</w:t>
            </w:r>
          </w:p>
        </w:tc>
      </w:tr>
      <w:tr w:rsidR="00BF18CF" w14:paraId="36BD7D5F" w14:textId="77777777" w:rsidTr="00BF18CF">
        <w:tc>
          <w:tcPr>
            <w:tcW w:w="567" w:type="dxa"/>
          </w:tcPr>
          <w:p w14:paraId="06BCC93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E14</w:t>
            </w:r>
          </w:p>
        </w:tc>
        <w:tc>
          <w:tcPr>
            <w:tcW w:w="284" w:type="dxa"/>
          </w:tcPr>
          <w:p w14:paraId="137EFD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9CBE60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E45832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BC611E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8A928A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C8A4E6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30EE083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E14_Évaluation_d’état_matériel</w:t>
            </w:r>
          </w:p>
        </w:tc>
      </w:tr>
      <w:tr w:rsidR="00BF18CF" w14:paraId="78815686" w14:textId="77777777" w:rsidTr="00BF18CF">
        <w:tc>
          <w:tcPr>
            <w:tcW w:w="567" w:type="dxa"/>
          </w:tcPr>
          <w:p w14:paraId="1E7F6E1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E15</w:t>
            </w:r>
          </w:p>
        </w:tc>
        <w:tc>
          <w:tcPr>
            <w:tcW w:w="284" w:type="dxa"/>
          </w:tcPr>
          <w:p w14:paraId="19B04F1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BD7D9B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2C6F9B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666FE4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836D6D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ADCF4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599D097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E15_Assignation_d’identifiant</w:t>
            </w:r>
          </w:p>
        </w:tc>
      </w:tr>
      <w:tr w:rsidR="00BF18CF" w14:paraId="3075BA28" w14:textId="77777777" w:rsidTr="00BF18CF">
        <w:tc>
          <w:tcPr>
            <w:tcW w:w="567" w:type="dxa"/>
          </w:tcPr>
          <w:p w14:paraId="14E13E4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E16</w:t>
            </w:r>
          </w:p>
        </w:tc>
        <w:tc>
          <w:tcPr>
            <w:tcW w:w="284" w:type="dxa"/>
          </w:tcPr>
          <w:p w14:paraId="201EFD5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FE9BA6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4A0424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31A8CB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C95C8F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94B55D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1A28F61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E16_Mesurage</w:t>
            </w:r>
          </w:p>
        </w:tc>
      </w:tr>
      <w:tr w:rsidR="00BF18CF" w14:paraId="6A8D8342" w14:textId="77777777" w:rsidTr="00BF18CF">
        <w:tc>
          <w:tcPr>
            <w:tcW w:w="567" w:type="dxa"/>
          </w:tcPr>
          <w:p w14:paraId="2F73564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E17</w:t>
            </w:r>
          </w:p>
        </w:tc>
        <w:tc>
          <w:tcPr>
            <w:tcW w:w="284" w:type="dxa"/>
          </w:tcPr>
          <w:p w14:paraId="76C232D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32559C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AF1913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05BC83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C1D91E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573C2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34F3082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E17_Assignation_de_type</w:t>
            </w:r>
          </w:p>
        </w:tc>
      </w:tr>
      <w:tr w:rsidR="00BF18CF" w14:paraId="1CC1B053" w14:textId="77777777" w:rsidTr="00BF18CF">
        <w:tc>
          <w:tcPr>
            <w:tcW w:w="567" w:type="dxa"/>
          </w:tcPr>
          <w:p w14:paraId="51F15DC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E65</w:t>
            </w:r>
          </w:p>
        </w:tc>
        <w:tc>
          <w:tcPr>
            <w:tcW w:w="284" w:type="dxa"/>
          </w:tcPr>
          <w:p w14:paraId="33A8981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5DF14D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A2FC40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57F989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B0E534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F9D333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E65_Création</w:t>
            </w:r>
            <w:r>
              <w:rPr>
                <w:color w:val="000000"/>
                <w:sz w:val="16"/>
                <w:szCs w:val="16"/>
              </w:rPr>
              <w:t> </w:t>
            </w:r>
          </w:p>
        </w:tc>
      </w:tr>
      <w:tr w:rsidR="00BF18CF" w14:paraId="11A7EE14" w14:textId="77777777" w:rsidTr="00BF18CF">
        <w:tc>
          <w:tcPr>
            <w:tcW w:w="567" w:type="dxa"/>
          </w:tcPr>
          <w:p w14:paraId="4D962B9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E83</w:t>
            </w:r>
          </w:p>
        </w:tc>
        <w:tc>
          <w:tcPr>
            <w:tcW w:w="284" w:type="dxa"/>
          </w:tcPr>
          <w:p w14:paraId="1513AF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F4B304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288A6A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F6D523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FF7FF3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805D45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62AFE9C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E83_Création_de_type</w:t>
            </w:r>
          </w:p>
        </w:tc>
      </w:tr>
      <w:tr w:rsidR="00BF18CF" w14:paraId="471E76E0" w14:textId="77777777" w:rsidTr="00BF18CF">
        <w:tc>
          <w:tcPr>
            <w:tcW w:w="567" w:type="dxa"/>
          </w:tcPr>
          <w:p w14:paraId="726541F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E66</w:t>
            </w:r>
          </w:p>
        </w:tc>
        <w:tc>
          <w:tcPr>
            <w:tcW w:w="284" w:type="dxa"/>
          </w:tcPr>
          <w:p w14:paraId="31A1871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CC9354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E0DEB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710F10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FFC98A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28790E1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E66_Formation</w:t>
            </w:r>
          </w:p>
        </w:tc>
      </w:tr>
      <w:tr w:rsidR="00BF18CF" w14:paraId="08F678B9" w14:textId="77777777" w:rsidTr="00BF18CF">
        <w:tc>
          <w:tcPr>
            <w:tcW w:w="567" w:type="dxa"/>
          </w:tcPr>
          <w:p w14:paraId="76C3462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E85</w:t>
            </w:r>
          </w:p>
        </w:tc>
        <w:tc>
          <w:tcPr>
            <w:tcW w:w="284" w:type="dxa"/>
          </w:tcPr>
          <w:p w14:paraId="3C66B9F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BF8AE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E4FA9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11C215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F38B9F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E42EFC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E85_Adhésion</w:t>
            </w:r>
          </w:p>
        </w:tc>
      </w:tr>
      <w:tr w:rsidR="00BF18CF" w14:paraId="25C846C9" w14:textId="77777777" w:rsidTr="00BF18CF">
        <w:tc>
          <w:tcPr>
            <w:tcW w:w="567" w:type="dxa"/>
          </w:tcPr>
          <w:p w14:paraId="7281FE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E86</w:t>
            </w:r>
          </w:p>
        </w:tc>
        <w:tc>
          <w:tcPr>
            <w:tcW w:w="284" w:type="dxa"/>
          </w:tcPr>
          <w:p w14:paraId="00034A5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948DAA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AFA199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7B43EA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8D4AD3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20570E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E86_Départ</w:t>
            </w:r>
          </w:p>
        </w:tc>
      </w:tr>
      <w:tr w:rsidR="00BF18CF" w14:paraId="3D4953DB" w14:textId="77777777" w:rsidTr="00BF18CF">
        <w:tc>
          <w:tcPr>
            <w:tcW w:w="567" w:type="dxa"/>
          </w:tcPr>
          <w:p w14:paraId="0F50637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E87</w:t>
            </w:r>
          </w:p>
        </w:tc>
        <w:tc>
          <w:tcPr>
            <w:tcW w:w="284" w:type="dxa"/>
          </w:tcPr>
          <w:p w14:paraId="1A04247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BF861E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2CFD91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AC8B34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09220D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310238C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E87_Activité_curatoriale</w:t>
            </w:r>
          </w:p>
        </w:tc>
      </w:tr>
      <w:tr w:rsidR="00BF18CF" w14:paraId="655AB860" w14:textId="77777777" w:rsidTr="00BF18CF">
        <w:tc>
          <w:tcPr>
            <w:tcW w:w="567" w:type="dxa"/>
          </w:tcPr>
          <w:p w14:paraId="4122D46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E63</w:t>
            </w:r>
          </w:p>
        </w:tc>
        <w:tc>
          <w:tcPr>
            <w:tcW w:w="284" w:type="dxa"/>
          </w:tcPr>
          <w:p w14:paraId="703C013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908380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B597D1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31FD4F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4738B3E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E63_Début_d’existence</w:t>
            </w:r>
          </w:p>
        </w:tc>
      </w:tr>
      <w:tr w:rsidR="00BF18CF" w14:paraId="456876F6" w14:textId="77777777" w:rsidTr="00BF18CF">
        <w:tc>
          <w:tcPr>
            <w:tcW w:w="567" w:type="dxa"/>
          </w:tcPr>
          <w:p w14:paraId="646026B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E67</w:t>
            </w:r>
          </w:p>
        </w:tc>
        <w:tc>
          <w:tcPr>
            <w:tcW w:w="284" w:type="dxa"/>
          </w:tcPr>
          <w:p w14:paraId="57B9631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E1C315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A9CCBD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C44C1A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4C63FF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490E33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E67_Naissance</w:t>
            </w:r>
          </w:p>
        </w:tc>
      </w:tr>
      <w:tr w:rsidR="00BF18CF" w14:paraId="4B0687E7" w14:textId="77777777" w:rsidTr="00BF18CF">
        <w:tc>
          <w:tcPr>
            <w:tcW w:w="567" w:type="dxa"/>
          </w:tcPr>
          <w:p w14:paraId="53A8A2F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E81</w:t>
            </w:r>
          </w:p>
        </w:tc>
        <w:tc>
          <w:tcPr>
            <w:tcW w:w="284" w:type="dxa"/>
          </w:tcPr>
          <w:p w14:paraId="0781CC2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980F05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29232F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DB93DD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68719D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7F7DDD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E81_Transformation</w:t>
            </w:r>
          </w:p>
        </w:tc>
      </w:tr>
      <w:tr w:rsidR="00BF18CF" w14:paraId="5C3270F8" w14:textId="77777777" w:rsidTr="00BF18CF">
        <w:tc>
          <w:tcPr>
            <w:tcW w:w="567" w:type="dxa"/>
          </w:tcPr>
          <w:p w14:paraId="549879F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E12</w:t>
            </w:r>
          </w:p>
        </w:tc>
        <w:tc>
          <w:tcPr>
            <w:tcW w:w="284" w:type="dxa"/>
          </w:tcPr>
          <w:p w14:paraId="788CCD4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CAC0BF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F54B1A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F30AEE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9B2E6B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F495AF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E12_Production</w:t>
            </w:r>
          </w:p>
        </w:tc>
      </w:tr>
      <w:tr w:rsidR="00BF18CF" w14:paraId="7F57BE9F" w14:textId="77777777" w:rsidTr="00BF18CF">
        <w:tc>
          <w:tcPr>
            <w:tcW w:w="567" w:type="dxa"/>
          </w:tcPr>
          <w:p w14:paraId="1624B46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E65</w:t>
            </w:r>
          </w:p>
        </w:tc>
        <w:tc>
          <w:tcPr>
            <w:tcW w:w="284" w:type="dxa"/>
          </w:tcPr>
          <w:p w14:paraId="1928E8B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174C1D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73E587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DD56A0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F519EB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79424B8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E65_Création</w:t>
            </w:r>
          </w:p>
        </w:tc>
      </w:tr>
      <w:tr w:rsidR="00BF18CF" w14:paraId="122D7F8C" w14:textId="77777777" w:rsidTr="00BF18CF">
        <w:tc>
          <w:tcPr>
            <w:tcW w:w="567" w:type="dxa"/>
          </w:tcPr>
          <w:p w14:paraId="6438D87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E83</w:t>
            </w:r>
          </w:p>
        </w:tc>
        <w:tc>
          <w:tcPr>
            <w:tcW w:w="284" w:type="dxa"/>
          </w:tcPr>
          <w:p w14:paraId="73D52D1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42EA4D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C779B6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391DEE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E2193B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92BE19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 </w:t>
            </w:r>
          </w:p>
        </w:tc>
        <w:tc>
          <w:tcPr>
            <w:tcW w:w="8505" w:type="dxa"/>
            <w:gridSpan w:val="4"/>
          </w:tcPr>
          <w:p w14:paraId="537A341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E83_Création_de_type</w:t>
            </w:r>
          </w:p>
        </w:tc>
      </w:tr>
      <w:tr w:rsidR="00BF18CF" w14:paraId="14CCDFC6" w14:textId="77777777" w:rsidTr="00BF18CF">
        <w:tc>
          <w:tcPr>
            <w:tcW w:w="567" w:type="dxa"/>
          </w:tcPr>
          <w:p w14:paraId="7682D6E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E66</w:t>
            </w:r>
          </w:p>
        </w:tc>
        <w:tc>
          <w:tcPr>
            <w:tcW w:w="284" w:type="dxa"/>
          </w:tcPr>
          <w:p w14:paraId="147A585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49C034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037B14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399113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23640B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665CE51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E66_Formation</w:t>
            </w:r>
            <w:r>
              <w:rPr>
                <w:color w:val="000000"/>
                <w:sz w:val="16"/>
                <w:szCs w:val="16"/>
              </w:rPr>
              <w:t> </w:t>
            </w:r>
          </w:p>
        </w:tc>
      </w:tr>
      <w:tr w:rsidR="00BF18CF" w14:paraId="0BC7B112" w14:textId="77777777" w:rsidTr="00BF18CF">
        <w:tc>
          <w:tcPr>
            <w:tcW w:w="567" w:type="dxa"/>
          </w:tcPr>
          <w:p w14:paraId="12B1688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E64</w:t>
            </w:r>
          </w:p>
        </w:tc>
        <w:tc>
          <w:tcPr>
            <w:tcW w:w="284" w:type="dxa"/>
          </w:tcPr>
          <w:p w14:paraId="3B04B6D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EE7839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2AF184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24279D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6B49DD9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E64_Fin_d’existence</w:t>
            </w:r>
            <w:r>
              <w:rPr>
                <w:color w:val="000000"/>
                <w:sz w:val="16"/>
                <w:szCs w:val="16"/>
              </w:rPr>
              <w:t> </w:t>
            </w:r>
          </w:p>
        </w:tc>
      </w:tr>
      <w:tr w:rsidR="00BF18CF" w14:paraId="71584B2E" w14:textId="77777777" w:rsidTr="00BF18CF">
        <w:tc>
          <w:tcPr>
            <w:tcW w:w="567" w:type="dxa"/>
          </w:tcPr>
          <w:p w14:paraId="06E0BBB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w:t>
            </w:r>
          </w:p>
        </w:tc>
        <w:tc>
          <w:tcPr>
            <w:tcW w:w="284" w:type="dxa"/>
          </w:tcPr>
          <w:p w14:paraId="768DE31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C4F0A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F4C324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93187A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C2D5AB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62FF25C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E6_Destruction</w:t>
            </w:r>
            <w:r>
              <w:rPr>
                <w:color w:val="000000"/>
                <w:sz w:val="16"/>
                <w:szCs w:val="16"/>
              </w:rPr>
              <w:t> </w:t>
            </w:r>
          </w:p>
        </w:tc>
      </w:tr>
      <w:tr w:rsidR="00BF18CF" w14:paraId="7DB1914A" w14:textId="77777777" w:rsidTr="00BF18CF">
        <w:tc>
          <w:tcPr>
            <w:tcW w:w="567" w:type="dxa"/>
          </w:tcPr>
          <w:p w14:paraId="63491D6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E68</w:t>
            </w:r>
          </w:p>
        </w:tc>
        <w:tc>
          <w:tcPr>
            <w:tcW w:w="284" w:type="dxa"/>
          </w:tcPr>
          <w:p w14:paraId="06F984E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D6D851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D987D8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E1495A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6BD4F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7AA5CA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E68_Dissolution</w:t>
            </w:r>
          </w:p>
        </w:tc>
      </w:tr>
      <w:tr w:rsidR="00BF18CF" w14:paraId="54AD4B53" w14:textId="77777777" w:rsidTr="00BF18CF">
        <w:tc>
          <w:tcPr>
            <w:tcW w:w="567" w:type="dxa"/>
          </w:tcPr>
          <w:p w14:paraId="201FB2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E69</w:t>
            </w:r>
          </w:p>
        </w:tc>
        <w:tc>
          <w:tcPr>
            <w:tcW w:w="284" w:type="dxa"/>
          </w:tcPr>
          <w:p w14:paraId="7B03509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936E44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9E05F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FC4ED3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0CD028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23E649E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E69_Mort</w:t>
            </w:r>
            <w:r>
              <w:rPr>
                <w:color w:val="000000"/>
                <w:sz w:val="16"/>
                <w:szCs w:val="16"/>
              </w:rPr>
              <w:t> </w:t>
            </w:r>
          </w:p>
        </w:tc>
      </w:tr>
      <w:tr w:rsidR="00BF18CF" w14:paraId="7EDEC92C" w14:textId="77777777" w:rsidTr="00BF18CF">
        <w:tc>
          <w:tcPr>
            <w:tcW w:w="567" w:type="dxa"/>
          </w:tcPr>
          <w:p w14:paraId="172FA26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E81</w:t>
            </w:r>
          </w:p>
        </w:tc>
        <w:tc>
          <w:tcPr>
            <w:tcW w:w="284" w:type="dxa"/>
          </w:tcPr>
          <w:p w14:paraId="1975BE1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50ADB3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C898D4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3FE8A2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706E97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F363D6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E81_Transformation</w:t>
            </w:r>
            <w:r>
              <w:rPr>
                <w:color w:val="000000"/>
                <w:sz w:val="16"/>
                <w:szCs w:val="16"/>
              </w:rPr>
              <w:t> </w:t>
            </w:r>
          </w:p>
        </w:tc>
      </w:tr>
      <w:tr w:rsidR="00BF18CF" w14:paraId="3284DC66" w14:textId="77777777" w:rsidTr="00BF18CF">
        <w:tc>
          <w:tcPr>
            <w:tcW w:w="567" w:type="dxa"/>
          </w:tcPr>
          <w:p w14:paraId="43D889A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E77</w:t>
            </w:r>
          </w:p>
        </w:tc>
        <w:tc>
          <w:tcPr>
            <w:tcW w:w="284" w:type="dxa"/>
          </w:tcPr>
          <w:p w14:paraId="6524CE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922" w:type="dxa"/>
            <w:gridSpan w:val="9"/>
          </w:tcPr>
          <w:p w14:paraId="500031D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E77_Entité_persistante</w:t>
            </w:r>
          </w:p>
        </w:tc>
      </w:tr>
      <w:tr w:rsidR="00BF18CF" w14:paraId="12FF303A" w14:textId="77777777" w:rsidTr="00BF18CF">
        <w:tc>
          <w:tcPr>
            <w:tcW w:w="567" w:type="dxa"/>
          </w:tcPr>
          <w:p w14:paraId="2E07FFF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E70</w:t>
            </w:r>
          </w:p>
        </w:tc>
        <w:tc>
          <w:tcPr>
            <w:tcW w:w="284" w:type="dxa"/>
          </w:tcPr>
          <w:p w14:paraId="03F4329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A45FF6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7A6515B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E70_Chose</w:t>
            </w:r>
          </w:p>
        </w:tc>
      </w:tr>
      <w:tr w:rsidR="00BF18CF" w14:paraId="7622958A" w14:textId="77777777" w:rsidTr="00BF18CF">
        <w:tc>
          <w:tcPr>
            <w:tcW w:w="567" w:type="dxa"/>
          </w:tcPr>
          <w:p w14:paraId="62E9E8A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E72</w:t>
            </w:r>
          </w:p>
        </w:tc>
        <w:tc>
          <w:tcPr>
            <w:tcW w:w="284" w:type="dxa"/>
          </w:tcPr>
          <w:p w14:paraId="428E2DD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382A57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613B8A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355" w:type="dxa"/>
            <w:gridSpan w:val="7"/>
          </w:tcPr>
          <w:p w14:paraId="5DA09FE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E72_Objet_juridique</w:t>
            </w:r>
          </w:p>
        </w:tc>
      </w:tr>
      <w:tr w:rsidR="00BF18CF" w14:paraId="1F5D7087" w14:textId="77777777" w:rsidTr="00BF18CF">
        <w:tc>
          <w:tcPr>
            <w:tcW w:w="567" w:type="dxa"/>
          </w:tcPr>
          <w:p w14:paraId="27CFB35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E18</w:t>
            </w:r>
          </w:p>
        </w:tc>
        <w:tc>
          <w:tcPr>
            <w:tcW w:w="284" w:type="dxa"/>
          </w:tcPr>
          <w:p w14:paraId="661ED85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85F022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FE2B6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779DA1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58B1282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186D9337" w14:textId="77777777" w:rsidTr="00BF18CF">
        <w:tc>
          <w:tcPr>
            <w:tcW w:w="567" w:type="dxa"/>
          </w:tcPr>
          <w:p w14:paraId="5EB2AC2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E19</w:t>
            </w:r>
          </w:p>
        </w:tc>
        <w:tc>
          <w:tcPr>
            <w:tcW w:w="284" w:type="dxa"/>
          </w:tcPr>
          <w:p w14:paraId="07834E7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3657C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762411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F68597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13BF3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63ED0F3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E19_Objet_matériel</w:t>
            </w:r>
            <w:r>
              <w:rPr>
                <w:color w:val="000000"/>
                <w:sz w:val="16"/>
                <w:szCs w:val="16"/>
              </w:rPr>
              <w:t> </w:t>
            </w:r>
          </w:p>
        </w:tc>
      </w:tr>
      <w:tr w:rsidR="00BF18CF" w14:paraId="334FE2DE" w14:textId="77777777" w:rsidTr="00BF18CF">
        <w:tc>
          <w:tcPr>
            <w:tcW w:w="567" w:type="dxa"/>
          </w:tcPr>
          <w:p w14:paraId="3EB55D7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E20</w:t>
            </w:r>
          </w:p>
        </w:tc>
        <w:tc>
          <w:tcPr>
            <w:tcW w:w="284" w:type="dxa"/>
          </w:tcPr>
          <w:p w14:paraId="4ECFE9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93E186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E3B5B7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630F6F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F7E483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AA4C5C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6E439FA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E20_Objet_biologique</w:t>
            </w:r>
          </w:p>
        </w:tc>
      </w:tr>
      <w:tr w:rsidR="00BF18CF" w14:paraId="466BDE5E" w14:textId="77777777" w:rsidTr="00BF18CF">
        <w:tc>
          <w:tcPr>
            <w:tcW w:w="567" w:type="dxa"/>
          </w:tcPr>
          <w:p w14:paraId="1ABF30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E21</w:t>
            </w:r>
          </w:p>
        </w:tc>
        <w:tc>
          <w:tcPr>
            <w:tcW w:w="284" w:type="dxa"/>
          </w:tcPr>
          <w:p w14:paraId="33B0730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33A83D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6E0282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070DBE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4B0D2D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E950BC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6F16EF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173AD0E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E21_Personne</w:t>
            </w:r>
          </w:p>
        </w:tc>
      </w:tr>
      <w:tr w:rsidR="00BF18CF" w14:paraId="26F169C8" w14:textId="77777777" w:rsidTr="00BF18CF">
        <w:tc>
          <w:tcPr>
            <w:tcW w:w="567" w:type="dxa"/>
          </w:tcPr>
          <w:p w14:paraId="333E907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E22</w:t>
            </w:r>
          </w:p>
        </w:tc>
        <w:tc>
          <w:tcPr>
            <w:tcW w:w="284" w:type="dxa"/>
          </w:tcPr>
          <w:p w14:paraId="0238262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F1C7D9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30BA28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06762F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94BBD7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9AFAEF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23D7C01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E22_Objet_élaboré_par_l’humain</w:t>
            </w:r>
          </w:p>
        </w:tc>
      </w:tr>
      <w:tr w:rsidR="00BF18CF" w14:paraId="7D2DA0E0" w14:textId="77777777" w:rsidTr="00BF18CF">
        <w:tc>
          <w:tcPr>
            <w:tcW w:w="567" w:type="dxa"/>
          </w:tcPr>
          <w:p w14:paraId="1673EA5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E24</w:t>
            </w:r>
          </w:p>
        </w:tc>
        <w:tc>
          <w:tcPr>
            <w:tcW w:w="284" w:type="dxa"/>
          </w:tcPr>
          <w:p w14:paraId="77F0AB9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6F2D5D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D02257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664455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FC3C3E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444098A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E24_Chose_matérielle_élaborée_par_l’humain</w:t>
            </w:r>
          </w:p>
        </w:tc>
      </w:tr>
      <w:tr w:rsidR="00BF18CF" w14:paraId="798D46FC" w14:textId="77777777" w:rsidTr="00BF18CF">
        <w:tc>
          <w:tcPr>
            <w:tcW w:w="567" w:type="dxa"/>
          </w:tcPr>
          <w:p w14:paraId="5A81998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E22</w:t>
            </w:r>
          </w:p>
        </w:tc>
        <w:tc>
          <w:tcPr>
            <w:tcW w:w="284" w:type="dxa"/>
          </w:tcPr>
          <w:p w14:paraId="38EB961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0EA36E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44996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613677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175D4C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07133E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21E216B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E22_Objet_élaboré_par_l’humain</w:t>
            </w:r>
          </w:p>
        </w:tc>
      </w:tr>
      <w:tr w:rsidR="00BF18CF" w14:paraId="0889154D" w14:textId="77777777" w:rsidTr="00BF18CF">
        <w:tc>
          <w:tcPr>
            <w:tcW w:w="567" w:type="dxa"/>
          </w:tcPr>
          <w:p w14:paraId="3BE924B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E25</w:t>
            </w:r>
          </w:p>
        </w:tc>
        <w:tc>
          <w:tcPr>
            <w:tcW w:w="284" w:type="dxa"/>
          </w:tcPr>
          <w:p w14:paraId="7A323AF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40E438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2411AF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6B41A8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66A414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556F61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542AC9B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E25_Caractéristique_élaborée_par_l’humain</w:t>
            </w:r>
          </w:p>
        </w:tc>
      </w:tr>
      <w:tr w:rsidR="00BF18CF" w14:paraId="5F283925" w14:textId="77777777" w:rsidTr="00BF18CF">
        <w:tc>
          <w:tcPr>
            <w:tcW w:w="567" w:type="dxa"/>
          </w:tcPr>
          <w:p w14:paraId="0E02D7B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E78</w:t>
            </w:r>
          </w:p>
        </w:tc>
        <w:tc>
          <w:tcPr>
            <w:tcW w:w="284" w:type="dxa"/>
          </w:tcPr>
          <w:p w14:paraId="1E19FF1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65BE20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DFA399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380786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296D3F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F4E837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121588A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E78_Collection</w:t>
            </w:r>
          </w:p>
        </w:tc>
      </w:tr>
      <w:tr w:rsidR="00BF18CF" w14:paraId="345C09A1" w14:textId="77777777" w:rsidTr="00BF18CF">
        <w:tc>
          <w:tcPr>
            <w:tcW w:w="567" w:type="dxa"/>
          </w:tcPr>
          <w:p w14:paraId="25252F6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E26</w:t>
            </w:r>
          </w:p>
        </w:tc>
        <w:tc>
          <w:tcPr>
            <w:tcW w:w="284" w:type="dxa"/>
          </w:tcPr>
          <w:p w14:paraId="1E98A95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1A5FC9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7D7583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B5EF98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597DD4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E10C4D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E26_Caractéristique_physique</w:t>
            </w:r>
          </w:p>
        </w:tc>
      </w:tr>
      <w:tr w:rsidR="00BF18CF" w14:paraId="1F703123" w14:textId="77777777" w:rsidTr="00BF18CF">
        <w:tc>
          <w:tcPr>
            <w:tcW w:w="567" w:type="dxa"/>
          </w:tcPr>
          <w:p w14:paraId="49EA2EB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E27</w:t>
            </w:r>
          </w:p>
        </w:tc>
        <w:tc>
          <w:tcPr>
            <w:tcW w:w="284" w:type="dxa"/>
          </w:tcPr>
          <w:p w14:paraId="380E27E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21D761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F488B3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D120A5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824408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1CCD52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3A1A565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E27_Site</w:t>
            </w:r>
          </w:p>
        </w:tc>
      </w:tr>
      <w:tr w:rsidR="00BF18CF" w14:paraId="51E18D2D" w14:textId="77777777" w:rsidTr="00BF18CF">
        <w:tc>
          <w:tcPr>
            <w:tcW w:w="567" w:type="dxa"/>
          </w:tcPr>
          <w:p w14:paraId="2E19CF2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E25</w:t>
            </w:r>
          </w:p>
        </w:tc>
        <w:tc>
          <w:tcPr>
            <w:tcW w:w="284" w:type="dxa"/>
          </w:tcPr>
          <w:p w14:paraId="2F2CD0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557F20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9EDFAB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9B94E4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4FD9C7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06764E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7997DC0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E25_Caractéristique_élaborée_par_l’humain</w:t>
            </w:r>
          </w:p>
        </w:tc>
      </w:tr>
      <w:tr w:rsidR="00BF18CF" w14:paraId="4CF4A6BE" w14:textId="77777777" w:rsidTr="00BF18CF">
        <w:tc>
          <w:tcPr>
            <w:tcW w:w="567" w:type="dxa"/>
          </w:tcPr>
          <w:p w14:paraId="54F1E8D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E90</w:t>
            </w:r>
          </w:p>
        </w:tc>
        <w:tc>
          <w:tcPr>
            <w:tcW w:w="284" w:type="dxa"/>
          </w:tcPr>
          <w:p w14:paraId="5F7F473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0DCF1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716D1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1743F7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53B474E0" w14:textId="77777777" w:rsidR="00BF18CF" w:rsidRDefault="00E51347">
            <w:pPr>
              <w:pBdr>
                <w:top w:val="nil"/>
                <w:left w:val="nil"/>
                <w:bottom w:val="nil"/>
                <w:right w:val="nil"/>
                <w:between w:val="nil"/>
              </w:pBdr>
              <w:spacing w:before="36" w:after="36"/>
              <w:rPr>
                <w:rFonts w:ascii="Consolas" w:eastAsia="Consolas" w:hAnsi="Consolas" w:cs="Consolas"/>
                <w:color w:val="000000"/>
                <w:sz w:val="16"/>
                <w:szCs w:val="16"/>
              </w:rPr>
            </w:pPr>
            <w:r>
              <w:rPr>
                <w:color w:val="000000"/>
                <w:sz w:val="16"/>
                <w:szCs w:val="16"/>
              </w:rPr>
              <w:t> </w:t>
            </w:r>
            <w:r>
              <w:rPr>
                <w:rFonts w:ascii="Consolas" w:eastAsia="Consolas" w:hAnsi="Consolas" w:cs="Consolas"/>
                <w:color w:val="000000"/>
                <w:sz w:val="16"/>
                <w:szCs w:val="16"/>
              </w:rPr>
              <w:t>E90_Objet_symbolique</w:t>
            </w:r>
          </w:p>
        </w:tc>
      </w:tr>
      <w:tr w:rsidR="00BF18CF" w14:paraId="0F01C946" w14:textId="77777777" w:rsidTr="00BF18CF">
        <w:tc>
          <w:tcPr>
            <w:tcW w:w="567" w:type="dxa"/>
          </w:tcPr>
          <w:p w14:paraId="60AD9A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E73</w:t>
            </w:r>
          </w:p>
        </w:tc>
        <w:tc>
          <w:tcPr>
            <w:tcW w:w="284" w:type="dxa"/>
          </w:tcPr>
          <w:p w14:paraId="7EFB7BB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0C65F5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544859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0C6BF4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3A538E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2484A02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E73_Objet_informationnel</w:t>
            </w:r>
          </w:p>
        </w:tc>
      </w:tr>
      <w:tr w:rsidR="00BF18CF" w14:paraId="3BC4B7E0" w14:textId="77777777" w:rsidTr="00BF18CF">
        <w:tc>
          <w:tcPr>
            <w:tcW w:w="567" w:type="dxa"/>
          </w:tcPr>
          <w:p w14:paraId="52933D9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E29</w:t>
            </w:r>
          </w:p>
        </w:tc>
        <w:tc>
          <w:tcPr>
            <w:tcW w:w="284" w:type="dxa"/>
          </w:tcPr>
          <w:p w14:paraId="75AFE9A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8A2C2C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716CE0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0EA50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813080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D2785B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604114B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E29_Conceptualisation_ou_procédure</w:t>
            </w:r>
          </w:p>
        </w:tc>
      </w:tr>
      <w:tr w:rsidR="00BF18CF" w14:paraId="2A422FD7" w14:textId="77777777" w:rsidTr="00BF18CF">
        <w:tc>
          <w:tcPr>
            <w:tcW w:w="567" w:type="dxa"/>
          </w:tcPr>
          <w:p w14:paraId="04CEEED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E31</w:t>
            </w:r>
          </w:p>
        </w:tc>
        <w:tc>
          <w:tcPr>
            <w:tcW w:w="284" w:type="dxa"/>
          </w:tcPr>
          <w:p w14:paraId="11AD2EC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BE87A7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0AFB9F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07F220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849882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7F9856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3A7EB71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E31_Document</w:t>
            </w:r>
          </w:p>
        </w:tc>
      </w:tr>
      <w:tr w:rsidR="00BF18CF" w14:paraId="47A12417" w14:textId="77777777" w:rsidTr="00BF18CF">
        <w:tc>
          <w:tcPr>
            <w:tcW w:w="567" w:type="dxa"/>
          </w:tcPr>
          <w:p w14:paraId="4832201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E32</w:t>
            </w:r>
          </w:p>
        </w:tc>
        <w:tc>
          <w:tcPr>
            <w:tcW w:w="284" w:type="dxa"/>
          </w:tcPr>
          <w:p w14:paraId="460551F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52755F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11AA72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68B274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36EE42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03279D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B78FB4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1B4BD7C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E32_Document_de_référence</w:t>
            </w:r>
          </w:p>
        </w:tc>
      </w:tr>
      <w:tr w:rsidR="00BF18CF" w14:paraId="033EA3F1" w14:textId="77777777" w:rsidTr="00BF18CF">
        <w:tc>
          <w:tcPr>
            <w:tcW w:w="567" w:type="dxa"/>
          </w:tcPr>
          <w:p w14:paraId="0BF24E7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E33</w:t>
            </w:r>
          </w:p>
        </w:tc>
        <w:tc>
          <w:tcPr>
            <w:tcW w:w="284" w:type="dxa"/>
          </w:tcPr>
          <w:p w14:paraId="69B7EE7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044F6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09FEC8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241931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8B3CA7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46B340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3FB7A4E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E33_Objet_linguistique</w:t>
            </w:r>
          </w:p>
        </w:tc>
      </w:tr>
      <w:tr w:rsidR="00BF18CF" w14:paraId="439AC647" w14:textId="77777777" w:rsidTr="00BF18CF">
        <w:tc>
          <w:tcPr>
            <w:tcW w:w="567" w:type="dxa"/>
          </w:tcPr>
          <w:p w14:paraId="1523FC7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E34</w:t>
            </w:r>
          </w:p>
        </w:tc>
        <w:tc>
          <w:tcPr>
            <w:tcW w:w="284" w:type="dxa"/>
          </w:tcPr>
          <w:p w14:paraId="209A1A2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2E969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F7614C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0091B0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85E762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AE72F6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213351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35E8EB6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E34_Inscription</w:t>
            </w:r>
          </w:p>
        </w:tc>
      </w:tr>
      <w:tr w:rsidR="00BF18CF" w14:paraId="4AC8FC49" w14:textId="77777777" w:rsidTr="00BF18CF">
        <w:tc>
          <w:tcPr>
            <w:tcW w:w="567" w:type="dxa"/>
          </w:tcPr>
          <w:p w14:paraId="23B55AB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E35</w:t>
            </w:r>
          </w:p>
        </w:tc>
        <w:tc>
          <w:tcPr>
            <w:tcW w:w="284" w:type="dxa"/>
          </w:tcPr>
          <w:p w14:paraId="7F6554B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D712D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9F6180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1041A8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579CAE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C69424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D1F7E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4C4D412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E35_Titre</w:t>
            </w:r>
          </w:p>
        </w:tc>
      </w:tr>
      <w:tr w:rsidR="00BF18CF" w14:paraId="1C4DB5B1" w14:textId="77777777" w:rsidTr="00BF18CF">
        <w:tc>
          <w:tcPr>
            <w:tcW w:w="567" w:type="dxa"/>
          </w:tcPr>
          <w:p w14:paraId="1B83602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E36</w:t>
            </w:r>
          </w:p>
        </w:tc>
        <w:tc>
          <w:tcPr>
            <w:tcW w:w="284" w:type="dxa"/>
          </w:tcPr>
          <w:p w14:paraId="1A0D682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F6176C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916D5F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C1B092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43AB4E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B3B8B8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766503B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E36_Entité_visuelle</w:t>
            </w:r>
          </w:p>
        </w:tc>
      </w:tr>
      <w:tr w:rsidR="00BF18CF" w14:paraId="452B5873" w14:textId="77777777" w:rsidTr="00BF18CF">
        <w:tc>
          <w:tcPr>
            <w:tcW w:w="567" w:type="dxa"/>
          </w:tcPr>
          <w:p w14:paraId="6C40122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E37</w:t>
            </w:r>
          </w:p>
        </w:tc>
        <w:tc>
          <w:tcPr>
            <w:tcW w:w="284" w:type="dxa"/>
          </w:tcPr>
          <w:p w14:paraId="71054D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37F6C2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A65189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36C4B0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C86B84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758AE9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02E000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3FC35F4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E37_Marque</w:t>
            </w:r>
          </w:p>
        </w:tc>
      </w:tr>
      <w:tr w:rsidR="00BF18CF" w14:paraId="2B0B877F" w14:textId="77777777" w:rsidTr="00BF18CF">
        <w:tc>
          <w:tcPr>
            <w:tcW w:w="567" w:type="dxa"/>
          </w:tcPr>
          <w:p w14:paraId="2AED00F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E34</w:t>
            </w:r>
          </w:p>
        </w:tc>
        <w:tc>
          <w:tcPr>
            <w:tcW w:w="284" w:type="dxa"/>
          </w:tcPr>
          <w:p w14:paraId="614A6D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F67FC6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34AFD6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EE8D16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4B64CF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0B34C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98EF54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C659C1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938" w:type="dxa"/>
            <w:gridSpan w:val="2"/>
          </w:tcPr>
          <w:p w14:paraId="0122B1C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E34_Inscription</w:t>
            </w:r>
          </w:p>
        </w:tc>
      </w:tr>
      <w:tr w:rsidR="00BF18CF" w14:paraId="0802067F" w14:textId="77777777" w:rsidTr="00BF18CF">
        <w:tc>
          <w:tcPr>
            <w:tcW w:w="567" w:type="dxa"/>
          </w:tcPr>
          <w:p w14:paraId="7459E94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E41</w:t>
            </w:r>
          </w:p>
        </w:tc>
        <w:tc>
          <w:tcPr>
            <w:tcW w:w="284" w:type="dxa"/>
          </w:tcPr>
          <w:p w14:paraId="385836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B2926C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4C1A09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339D9A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D60BD7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5351E66F" w14:textId="77777777" w:rsidR="00BF18CF" w:rsidRDefault="00E51347">
            <w:pPr>
              <w:pBdr>
                <w:top w:val="nil"/>
                <w:left w:val="nil"/>
                <w:bottom w:val="nil"/>
                <w:right w:val="nil"/>
                <w:between w:val="nil"/>
              </w:pBdr>
              <w:spacing w:before="36" w:after="36"/>
              <w:rPr>
                <w:rFonts w:ascii="Consolas" w:eastAsia="Consolas" w:hAnsi="Consolas" w:cs="Consolas"/>
                <w:color w:val="000000"/>
                <w:sz w:val="16"/>
                <w:szCs w:val="16"/>
              </w:rPr>
            </w:pPr>
            <w:r>
              <w:rPr>
                <w:color w:val="000000"/>
                <w:sz w:val="16"/>
                <w:szCs w:val="16"/>
              </w:rPr>
              <w:t> </w:t>
            </w:r>
            <w:r>
              <w:rPr>
                <w:rFonts w:ascii="Consolas" w:eastAsia="Consolas" w:hAnsi="Consolas" w:cs="Consolas"/>
                <w:color w:val="000000"/>
                <w:sz w:val="16"/>
                <w:szCs w:val="16"/>
              </w:rPr>
              <w:t>E41_Appellation</w:t>
            </w:r>
          </w:p>
        </w:tc>
      </w:tr>
      <w:tr w:rsidR="00BF18CF" w14:paraId="666A77D9" w14:textId="77777777" w:rsidTr="00BF18CF">
        <w:tc>
          <w:tcPr>
            <w:tcW w:w="567" w:type="dxa"/>
          </w:tcPr>
          <w:p w14:paraId="50BFE54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E42</w:t>
            </w:r>
          </w:p>
        </w:tc>
        <w:tc>
          <w:tcPr>
            <w:tcW w:w="284" w:type="dxa"/>
          </w:tcPr>
          <w:p w14:paraId="6CCB453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D2AE47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18C47F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DB2475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B67C8A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78A3B7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2D17001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E42_Identifiant</w:t>
            </w:r>
          </w:p>
        </w:tc>
      </w:tr>
      <w:tr w:rsidR="00BF18CF" w14:paraId="4B97B7D7" w14:textId="77777777" w:rsidTr="00BF18CF">
        <w:tc>
          <w:tcPr>
            <w:tcW w:w="567" w:type="dxa"/>
          </w:tcPr>
          <w:p w14:paraId="1D849A5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E35</w:t>
            </w:r>
          </w:p>
        </w:tc>
        <w:tc>
          <w:tcPr>
            <w:tcW w:w="284" w:type="dxa"/>
          </w:tcPr>
          <w:p w14:paraId="03220BF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C32E9F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8456DC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A91A17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FEB5BB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329880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2B53DED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E35_Titre</w:t>
            </w:r>
          </w:p>
        </w:tc>
      </w:tr>
      <w:tr w:rsidR="00BF18CF" w14:paraId="3F25C4E3" w14:textId="77777777" w:rsidTr="00BF18CF">
        <w:tc>
          <w:tcPr>
            <w:tcW w:w="567" w:type="dxa"/>
          </w:tcPr>
          <w:p w14:paraId="16748AA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E95</w:t>
            </w:r>
          </w:p>
        </w:tc>
        <w:tc>
          <w:tcPr>
            <w:tcW w:w="284" w:type="dxa"/>
          </w:tcPr>
          <w:p w14:paraId="0FF6D59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B6D0E4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1C9560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3F6A9D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8DE0EF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9F0271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4D187AA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E95_Primitive_spatio-temporelle</w:t>
            </w:r>
          </w:p>
        </w:tc>
      </w:tr>
      <w:tr w:rsidR="00BF18CF" w14:paraId="354D5CDF" w14:textId="77777777" w:rsidTr="00BF18CF">
        <w:tc>
          <w:tcPr>
            <w:tcW w:w="567" w:type="dxa"/>
          </w:tcPr>
          <w:p w14:paraId="26FF141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E94</w:t>
            </w:r>
          </w:p>
        </w:tc>
        <w:tc>
          <w:tcPr>
            <w:tcW w:w="284" w:type="dxa"/>
          </w:tcPr>
          <w:p w14:paraId="22B308E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9696F7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CE70BF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6C3D33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18B75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E1615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60443FB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E94_Primitive_spatiale</w:t>
            </w:r>
          </w:p>
        </w:tc>
      </w:tr>
      <w:tr w:rsidR="00BF18CF" w14:paraId="342B933A" w14:textId="77777777" w:rsidTr="00BF18CF">
        <w:tc>
          <w:tcPr>
            <w:tcW w:w="567" w:type="dxa"/>
          </w:tcPr>
          <w:p w14:paraId="73F0A77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E61</w:t>
            </w:r>
          </w:p>
        </w:tc>
        <w:tc>
          <w:tcPr>
            <w:tcW w:w="284" w:type="dxa"/>
          </w:tcPr>
          <w:p w14:paraId="72561D0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CA4A5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378B67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8FC876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AE2B57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6592BB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25EDF06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E61_Primitive_temporelle</w:t>
            </w:r>
          </w:p>
        </w:tc>
      </w:tr>
      <w:tr w:rsidR="00BF18CF" w14:paraId="57AEF94A" w14:textId="77777777" w:rsidTr="00BF18CF">
        <w:tc>
          <w:tcPr>
            <w:tcW w:w="567" w:type="dxa"/>
          </w:tcPr>
          <w:p w14:paraId="06BBF7A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E71</w:t>
            </w:r>
          </w:p>
        </w:tc>
        <w:tc>
          <w:tcPr>
            <w:tcW w:w="284" w:type="dxa"/>
          </w:tcPr>
          <w:p w14:paraId="74199F5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6035B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9D61CE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355" w:type="dxa"/>
            <w:gridSpan w:val="7"/>
          </w:tcPr>
          <w:p w14:paraId="4620141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E71_Chose_élaborée_par_l’humain</w:t>
            </w:r>
          </w:p>
        </w:tc>
      </w:tr>
      <w:tr w:rsidR="00BF18CF" w14:paraId="31B1AF87" w14:textId="77777777" w:rsidTr="00BF18CF">
        <w:tc>
          <w:tcPr>
            <w:tcW w:w="567" w:type="dxa"/>
          </w:tcPr>
          <w:p w14:paraId="6E9E644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E24</w:t>
            </w:r>
          </w:p>
        </w:tc>
        <w:tc>
          <w:tcPr>
            <w:tcW w:w="284" w:type="dxa"/>
          </w:tcPr>
          <w:p w14:paraId="4D7A9E5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419244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391AC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68937C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592D15F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E24_Chose_matérielle_élaborée_par_l’humain</w:t>
            </w:r>
          </w:p>
        </w:tc>
      </w:tr>
      <w:tr w:rsidR="00BF18CF" w14:paraId="1C84FB69" w14:textId="77777777" w:rsidTr="00BF18CF">
        <w:tc>
          <w:tcPr>
            <w:tcW w:w="567" w:type="dxa"/>
          </w:tcPr>
          <w:p w14:paraId="08A7AA5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E22</w:t>
            </w:r>
          </w:p>
        </w:tc>
        <w:tc>
          <w:tcPr>
            <w:tcW w:w="284" w:type="dxa"/>
          </w:tcPr>
          <w:p w14:paraId="233F368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B1ADDB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0B869B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DBC0F6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2A6F92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6AB0D26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E22_Objet_élaboré_par_l’humain</w:t>
            </w:r>
          </w:p>
        </w:tc>
      </w:tr>
      <w:tr w:rsidR="00BF18CF" w14:paraId="3204CBEA" w14:textId="77777777" w:rsidTr="00BF18CF">
        <w:tc>
          <w:tcPr>
            <w:tcW w:w="567" w:type="dxa"/>
          </w:tcPr>
          <w:p w14:paraId="34ADA8E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E25</w:t>
            </w:r>
          </w:p>
        </w:tc>
        <w:tc>
          <w:tcPr>
            <w:tcW w:w="284" w:type="dxa"/>
          </w:tcPr>
          <w:p w14:paraId="0534D9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79125B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661787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458091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060606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5C5E8AE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E25_Caractéristique_élaborée_par_l’humain</w:t>
            </w:r>
          </w:p>
        </w:tc>
      </w:tr>
      <w:tr w:rsidR="00BF18CF" w14:paraId="6FE49E28" w14:textId="77777777" w:rsidTr="00BF18CF">
        <w:tc>
          <w:tcPr>
            <w:tcW w:w="567" w:type="dxa"/>
          </w:tcPr>
          <w:p w14:paraId="7D0FA8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E78</w:t>
            </w:r>
          </w:p>
        </w:tc>
        <w:tc>
          <w:tcPr>
            <w:tcW w:w="284" w:type="dxa"/>
          </w:tcPr>
          <w:p w14:paraId="5CC89D7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74CE8F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C9241A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1EE133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563F39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684635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E78_Collection</w:t>
            </w:r>
          </w:p>
        </w:tc>
      </w:tr>
      <w:tr w:rsidR="00BF18CF" w14:paraId="3FC727CB" w14:textId="77777777" w:rsidTr="00BF18CF">
        <w:tc>
          <w:tcPr>
            <w:tcW w:w="567" w:type="dxa"/>
          </w:tcPr>
          <w:p w14:paraId="3094474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E28</w:t>
            </w:r>
          </w:p>
        </w:tc>
        <w:tc>
          <w:tcPr>
            <w:tcW w:w="284" w:type="dxa"/>
          </w:tcPr>
          <w:p w14:paraId="437FA4F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2E7A13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B1FC75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D30309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6CC43F8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E28_Objet_conceptuel</w:t>
            </w:r>
          </w:p>
        </w:tc>
      </w:tr>
      <w:tr w:rsidR="00BF18CF" w14:paraId="57734C83" w14:textId="77777777" w:rsidTr="00BF18CF">
        <w:tc>
          <w:tcPr>
            <w:tcW w:w="567" w:type="dxa"/>
          </w:tcPr>
          <w:p w14:paraId="564E5E4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E90</w:t>
            </w:r>
          </w:p>
        </w:tc>
        <w:tc>
          <w:tcPr>
            <w:tcW w:w="284" w:type="dxa"/>
          </w:tcPr>
          <w:p w14:paraId="17849BB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556C35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C902D0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21D4D2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92492C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B1FA11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E90_Objet_symbolique</w:t>
            </w:r>
          </w:p>
        </w:tc>
      </w:tr>
      <w:tr w:rsidR="00BF18CF" w14:paraId="37733B71" w14:textId="77777777" w:rsidTr="00BF18CF">
        <w:tc>
          <w:tcPr>
            <w:tcW w:w="567" w:type="dxa"/>
          </w:tcPr>
          <w:p w14:paraId="7D4B2C0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E73</w:t>
            </w:r>
          </w:p>
        </w:tc>
        <w:tc>
          <w:tcPr>
            <w:tcW w:w="284" w:type="dxa"/>
          </w:tcPr>
          <w:p w14:paraId="47E5251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CCBE84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599A86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2DD75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4FF9D6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D45D3B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7AD77A1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E73_Objet_informationnel</w:t>
            </w:r>
          </w:p>
        </w:tc>
      </w:tr>
      <w:tr w:rsidR="00BF18CF" w14:paraId="1AE334CA" w14:textId="77777777" w:rsidTr="00BF18CF">
        <w:tc>
          <w:tcPr>
            <w:tcW w:w="567" w:type="dxa"/>
          </w:tcPr>
          <w:p w14:paraId="5ABC205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E29</w:t>
            </w:r>
          </w:p>
        </w:tc>
        <w:tc>
          <w:tcPr>
            <w:tcW w:w="284" w:type="dxa"/>
          </w:tcPr>
          <w:p w14:paraId="7E32601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D9DE13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CD6137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BB561E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87A5C3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930C71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F532CD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44EB889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E29_Conceptualisation_ou_procédure</w:t>
            </w:r>
          </w:p>
        </w:tc>
      </w:tr>
      <w:tr w:rsidR="00BF18CF" w14:paraId="4E678AD4" w14:textId="77777777" w:rsidTr="00BF18CF">
        <w:tc>
          <w:tcPr>
            <w:tcW w:w="567" w:type="dxa"/>
          </w:tcPr>
          <w:p w14:paraId="196CE48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E31</w:t>
            </w:r>
          </w:p>
        </w:tc>
        <w:tc>
          <w:tcPr>
            <w:tcW w:w="284" w:type="dxa"/>
          </w:tcPr>
          <w:p w14:paraId="0186E86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F8E927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B95609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CA6FD7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D55E14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2B067B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4889CA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17EF324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E31_Document</w:t>
            </w:r>
          </w:p>
        </w:tc>
      </w:tr>
      <w:tr w:rsidR="00BF18CF" w14:paraId="56DE83E0" w14:textId="77777777" w:rsidTr="00BF18CF">
        <w:tc>
          <w:tcPr>
            <w:tcW w:w="567" w:type="dxa"/>
          </w:tcPr>
          <w:p w14:paraId="7545CF1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E32</w:t>
            </w:r>
          </w:p>
        </w:tc>
        <w:tc>
          <w:tcPr>
            <w:tcW w:w="284" w:type="dxa"/>
          </w:tcPr>
          <w:p w14:paraId="12268AA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BA23F0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A599E6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B1EB6B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455BB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80F3EE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BED4BE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985E64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938" w:type="dxa"/>
            <w:gridSpan w:val="2"/>
          </w:tcPr>
          <w:p w14:paraId="40DF702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E32_Document_de_référence</w:t>
            </w:r>
          </w:p>
        </w:tc>
      </w:tr>
      <w:tr w:rsidR="00BF18CF" w14:paraId="3320CD57" w14:textId="77777777" w:rsidTr="00BF18CF">
        <w:tc>
          <w:tcPr>
            <w:tcW w:w="567" w:type="dxa"/>
          </w:tcPr>
          <w:p w14:paraId="3175FDF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E33</w:t>
            </w:r>
          </w:p>
        </w:tc>
        <w:tc>
          <w:tcPr>
            <w:tcW w:w="284" w:type="dxa"/>
          </w:tcPr>
          <w:p w14:paraId="169BF10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77A514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A8D631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D204AA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ADC60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36090B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A9C248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23313DE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E33_Objet_linguistique</w:t>
            </w:r>
          </w:p>
        </w:tc>
      </w:tr>
      <w:tr w:rsidR="00BF18CF" w14:paraId="2EF1152A" w14:textId="77777777" w:rsidTr="00BF18CF">
        <w:tc>
          <w:tcPr>
            <w:tcW w:w="567" w:type="dxa"/>
          </w:tcPr>
          <w:p w14:paraId="0C72573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E34</w:t>
            </w:r>
          </w:p>
        </w:tc>
        <w:tc>
          <w:tcPr>
            <w:tcW w:w="284" w:type="dxa"/>
          </w:tcPr>
          <w:p w14:paraId="19881C2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5AC580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FBA2BA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428C1F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AA4F71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5A8249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E8FA82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832424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938" w:type="dxa"/>
            <w:gridSpan w:val="2"/>
          </w:tcPr>
          <w:p w14:paraId="0B253F1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E34_Inscription</w:t>
            </w:r>
          </w:p>
        </w:tc>
      </w:tr>
      <w:tr w:rsidR="00BF18CF" w14:paraId="0A6D832E" w14:textId="77777777" w:rsidTr="00BF18CF">
        <w:tc>
          <w:tcPr>
            <w:tcW w:w="567" w:type="dxa"/>
          </w:tcPr>
          <w:p w14:paraId="71C5C99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E35</w:t>
            </w:r>
          </w:p>
        </w:tc>
        <w:tc>
          <w:tcPr>
            <w:tcW w:w="284" w:type="dxa"/>
          </w:tcPr>
          <w:p w14:paraId="4BD498A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5F1FC7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F6E3B7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2ED0C5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AFF4EF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F84CF5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51226B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46562C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938" w:type="dxa"/>
            <w:gridSpan w:val="2"/>
          </w:tcPr>
          <w:p w14:paraId="308C1E2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E35_Titre</w:t>
            </w:r>
          </w:p>
        </w:tc>
      </w:tr>
      <w:tr w:rsidR="00BF18CF" w14:paraId="10B424DC" w14:textId="77777777" w:rsidTr="00BF18CF">
        <w:tc>
          <w:tcPr>
            <w:tcW w:w="567" w:type="dxa"/>
          </w:tcPr>
          <w:p w14:paraId="264E3A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E36</w:t>
            </w:r>
          </w:p>
        </w:tc>
        <w:tc>
          <w:tcPr>
            <w:tcW w:w="284" w:type="dxa"/>
          </w:tcPr>
          <w:p w14:paraId="222162D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5D9AB4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A8C55C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4C27EF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48CB56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516E4D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A55D21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696988D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E36_Entité_visuelle</w:t>
            </w:r>
          </w:p>
        </w:tc>
      </w:tr>
      <w:tr w:rsidR="00BF18CF" w14:paraId="7B4FF966" w14:textId="77777777" w:rsidTr="00BF18CF">
        <w:tc>
          <w:tcPr>
            <w:tcW w:w="567" w:type="dxa"/>
          </w:tcPr>
          <w:p w14:paraId="69F6C39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E37</w:t>
            </w:r>
          </w:p>
        </w:tc>
        <w:tc>
          <w:tcPr>
            <w:tcW w:w="284" w:type="dxa"/>
          </w:tcPr>
          <w:p w14:paraId="3ABA767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E604BD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F4A33F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CB7B7A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F0CB14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4F981B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2F298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FD1883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938" w:type="dxa"/>
            <w:gridSpan w:val="2"/>
          </w:tcPr>
          <w:p w14:paraId="2462BF4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E37_Marque</w:t>
            </w:r>
          </w:p>
        </w:tc>
      </w:tr>
      <w:tr w:rsidR="00BF18CF" w14:paraId="37C65075" w14:textId="77777777" w:rsidTr="00BF18CF">
        <w:tc>
          <w:tcPr>
            <w:tcW w:w="567" w:type="dxa"/>
          </w:tcPr>
          <w:p w14:paraId="461FC79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E34</w:t>
            </w:r>
          </w:p>
        </w:tc>
        <w:tc>
          <w:tcPr>
            <w:tcW w:w="284" w:type="dxa"/>
          </w:tcPr>
          <w:p w14:paraId="4C3A0B7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9D75D0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618AC3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B9459B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5423B6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8EE101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FEB761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71DBA8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A8A928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654" w:type="dxa"/>
          </w:tcPr>
          <w:p w14:paraId="1124470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E34_Inscription</w:t>
            </w:r>
          </w:p>
        </w:tc>
      </w:tr>
      <w:tr w:rsidR="00BF18CF" w14:paraId="2576D6D3" w14:textId="77777777" w:rsidTr="00BF18CF">
        <w:tc>
          <w:tcPr>
            <w:tcW w:w="567" w:type="dxa"/>
          </w:tcPr>
          <w:p w14:paraId="4E095BB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E41</w:t>
            </w:r>
          </w:p>
        </w:tc>
        <w:tc>
          <w:tcPr>
            <w:tcW w:w="284" w:type="dxa"/>
          </w:tcPr>
          <w:p w14:paraId="581052B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54160F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8329A1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84DFF1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34082B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CE4043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6281B7D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E41_Appellation</w:t>
            </w:r>
          </w:p>
        </w:tc>
      </w:tr>
      <w:tr w:rsidR="00BF18CF" w14:paraId="6B81A026" w14:textId="77777777" w:rsidTr="00BF18CF">
        <w:tc>
          <w:tcPr>
            <w:tcW w:w="567" w:type="dxa"/>
          </w:tcPr>
          <w:p w14:paraId="5B1C321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E42</w:t>
            </w:r>
          </w:p>
        </w:tc>
        <w:tc>
          <w:tcPr>
            <w:tcW w:w="284" w:type="dxa"/>
          </w:tcPr>
          <w:p w14:paraId="63B9B91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6FDF44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790401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3F7DAC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691842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788717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874AD4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1F28639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E42_Identifiant</w:t>
            </w:r>
          </w:p>
        </w:tc>
      </w:tr>
      <w:tr w:rsidR="00BF18CF" w14:paraId="346C3E40" w14:textId="77777777" w:rsidTr="00BF18CF">
        <w:tc>
          <w:tcPr>
            <w:tcW w:w="567" w:type="dxa"/>
          </w:tcPr>
          <w:p w14:paraId="66E9BB2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E35</w:t>
            </w:r>
          </w:p>
        </w:tc>
        <w:tc>
          <w:tcPr>
            <w:tcW w:w="284" w:type="dxa"/>
          </w:tcPr>
          <w:p w14:paraId="2FBDAFF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B15818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3172B9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AEF993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4D4D1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367C12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E6980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406D193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E35_Titre</w:t>
            </w:r>
          </w:p>
        </w:tc>
      </w:tr>
      <w:tr w:rsidR="00BF18CF" w14:paraId="73694251" w14:textId="77777777" w:rsidTr="00BF18CF">
        <w:tc>
          <w:tcPr>
            <w:tcW w:w="567" w:type="dxa"/>
          </w:tcPr>
          <w:p w14:paraId="379CE1B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E95</w:t>
            </w:r>
          </w:p>
        </w:tc>
        <w:tc>
          <w:tcPr>
            <w:tcW w:w="284" w:type="dxa"/>
          </w:tcPr>
          <w:p w14:paraId="188CC3E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B43A61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D47BD4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434856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DEDFCD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E09575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769586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6F7194E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E95_Primitive_spatio-temporelle</w:t>
            </w:r>
          </w:p>
        </w:tc>
      </w:tr>
      <w:tr w:rsidR="00BF18CF" w14:paraId="2D07D87E" w14:textId="77777777" w:rsidTr="00BF18CF">
        <w:tc>
          <w:tcPr>
            <w:tcW w:w="567" w:type="dxa"/>
          </w:tcPr>
          <w:p w14:paraId="282221D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E94</w:t>
            </w:r>
          </w:p>
        </w:tc>
        <w:tc>
          <w:tcPr>
            <w:tcW w:w="284" w:type="dxa"/>
          </w:tcPr>
          <w:p w14:paraId="407873F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806B70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4A88CF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135B30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42119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4D0088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BE3DE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5FDFF00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E94_Primitive_spatiale</w:t>
            </w:r>
          </w:p>
        </w:tc>
      </w:tr>
      <w:tr w:rsidR="00BF18CF" w14:paraId="27333ABF" w14:textId="77777777" w:rsidTr="00BF18CF">
        <w:tc>
          <w:tcPr>
            <w:tcW w:w="567" w:type="dxa"/>
          </w:tcPr>
          <w:p w14:paraId="21092A1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E61</w:t>
            </w:r>
          </w:p>
        </w:tc>
        <w:tc>
          <w:tcPr>
            <w:tcW w:w="284" w:type="dxa"/>
          </w:tcPr>
          <w:p w14:paraId="77A0D0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F5D740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F391C1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CF684D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8528BF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1D0393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C2F5BC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5FDFC91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E61_Primitive_temporelle</w:t>
            </w:r>
          </w:p>
        </w:tc>
      </w:tr>
      <w:tr w:rsidR="00BF18CF" w14:paraId="0F8DD242" w14:textId="77777777" w:rsidTr="00BF18CF">
        <w:tc>
          <w:tcPr>
            <w:tcW w:w="567" w:type="dxa"/>
          </w:tcPr>
          <w:p w14:paraId="736189B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E89</w:t>
            </w:r>
          </w:p>
        </w:tc>
        <w:tc>
          <w:tcPr>
            <w:tcW w:w="284" w:type="dxa"/>
          </w:tcPr>
          <w:p w14:paraId="7FED845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5FA69C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2B7BF7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E3A2F5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93641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3189D3C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E89_Objet_propositionnel</w:t>
            </w:r>
          </w:p>
        </w:tc>
      </w:tr>
      <w:tr w:rsidR="00BF18CF" w14:paraId="476FB476" w14:textId="77777777" w:rsidTr="00BF18CF">
        <w:tc>
          <w:tcPr>
            <w:tcW w:w="567" w:type="dxa"/>
          </w:tcPr>
          <w:p w14:paraId="4EC7EF7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E73</w:t>
            </w:r>
          </w:p>
        </w:tc>
        <w:tc>
          <w:tcPr>
            <w:tcW w:w="284" w:type="dxa"/>
          </w:tcPr>
          <w:p w14:paraId="673A78A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9328E8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391D8C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D365C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983BCE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DF2A98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215EA86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E73_Objet_informationnel</w:t>
            </w:r>
          </w:p>
        </w:tc>
      </w:tr>
      <w:tr w:rsidR="00BF18CF" w14:paraId="67FEFB6D" w14:textId="77777777" w:rsidTr="00BF18CF">
        <w:tc>
          <w:tcPr>
            <w:tcW w:w="567" w:type="dxa"/>
          </w:tcPr>
          <w:p w14:paraId="236AF76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E29</w:t>
            </w:r>
          </w:p>
        </w:tc>
        <w:tc>
          <w:tcPr>
            <w:tcW w:w="284" w:type="dxa"/>
          </w:tcPr>
          <w:p w14:paraId="59A2BAE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2EA2E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D0110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CD4AF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653645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83D4BB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28FDF3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4472179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E29_Conceptualisation_ou_procédure</w:t>
            </w:r>
          </w:p>
        </w:tc>
      </w:tr>
      <w:tr w:rsidR="00BF18CF" w14:paraId="67E6DC1B" w14:textId="77777777" w:rsidTr="00BF18CF">
        <w:tc>
          <w:tcPr>
            <w:tcW w:w="567" w:type="dxa"/>
          </w:tcPr>
          <w:p w14:paraId="3C00781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E31</w:t>
            </w:r>
          </w:p>
        </w:tc>
        <w:tc>
          <w:tcPr>
            <w:tcW w:w="284" w:type="dxa"/>
          </w:tcPr>
          <w:p w14:paraId="790AD42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F78D96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A39B93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383103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6116E9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5CC463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8AE57A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3365EAA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E31_Document</w:t>
            </w:r>
          </w:p>
        </w:tc>
      </w:tr>
      <w:tr w:rsidR="00BF18CF" w14:paraId="27103111" w14:textId="77777777" w:rsidTr="00BF18CF">
        <w:tc>
          <w:tcPr>
            <w:tcW w:w="567" w:type="dxa"/>
          </w:tcPr>
          <w:p w14:paraId="1E96EBC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E32</w:t>
            </w:r>
          </w:p>
        </w:tc>
        <w:tc>
          <w:tcPr>
            <w:tcW w:w="284" w:type="dxa"/>
          </w:tcPr>
          <w:p w14:paraId="1EE0D1D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1DF120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5C45A9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8D4DD0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92F2A0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16C575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460583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F23F54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938" w:type="dxa"/>
            <w:gridSpan w:val="2"/>
          </w:tcPr>
          <w:p w14:paraId="418504A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E32_Document_de_référence</w:t>
            </w:r>
          </w:p>
        </w:tc>
      </w:tr>
      <w:tr w:rsidR="00BF18CF" w14:paraId="02C30C69" w14:textId="77777777" w:rsidTr="00BF18CF">
        <w:tc>
          <w:tcPr>
            <w:tcW w:w="567" w:type="dxa"/>
          </w:tcPr>
          <w:p w14:paraId="33372E1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E33</w:t>
            </w:r>
          </w:p>
        </w:tc>
        <w:tc>
          <w:tcPr>
            <w:tcW w:w="284" w:type="dxa"/>
          </w:tcPr>
          <w:p w14:paraId="66EF3AA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2AA42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8BBAD4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2F40A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747F6E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ED731B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09C003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1BC2299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E33_Objet_linguistique</w:t>
            </w:r>
          </w:p>
        </w:tc>
      </w:tr>
      <w:tr w:rsidR="00BF18CF" w14:paraId="00D6BE65" w14:textId="77777777" w:rsidTr="00BF18CF">
        <w:tc>
          <w:tcPr>
            <w:tcW w:w="567" w:type="dxa"/>
          </w:tcPr>
          <w:p w14:paraId="0FBFB73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E34</w:t>
            </w:r>
          </w:p>
        </w:tc>
        <w:tc>
          <w:tcPr>
            <w:tcW w:w="284" w:type="dxa"/>
          </w:tcPr>
          <w:p w14:paraId="48E587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890647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66AAED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5C2AC9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86352E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57037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CFC73A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BED41D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938" w:type="dxa"/>
            <w:gridSpan w:val="2"/>
          </w:tcPr>
          <w:p w14:paraId="0803476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E34_Inscription</w:t>
            </w:r>
          </w:p>
        </w:tc>
      </w:tr>
      <w:tr w:rsidR="00BF18CF" w14:paraId="39E72C26" w14:textId="77777777" w:rsidTr="00BF18CF">
        <w:tc>
          <w:tcPr>
            <w:tcW w:w="567" w:type="dxa"/>
          </w:tcPr>
          <w:p w14:paraId="4952CDD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E35</w:t>
            </w:r>
          </w:p>
        </w:tc>
        <w:tc>
          <w:tcPr>
            <w:tcW w:w="284" w:type="dxa"/>
          </w:tcPr>
          <w:p w14:paraId="08B0280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8FB33F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80615E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C83F49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D4B60B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FC9D2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C997A4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6F5E7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938" w:type="dxa"/>
            <w:gridSpan w:val="2"/>
          </w:tcPr>
          <w:p w14:paraId="72CCE7D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E35_Titre</w:t>
            </w:r>
          </w:p>
        </w:tc>
      </w:tr>
      <w:tr w:rsidR="00BF18CF" w14:paraId="2F046DCF" w14:textId="77777777" w:rsidTr="00BF18CF">
        <w:tc>
          <w:tcPr>
            <w:tcW w:w="567" w:type="dxa"/>
          </w:tcPr>
          <w:p w14:paraId="749590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E36</w:t>
            </w:r>
          </w:p>
        </w:tc>
        <w:tc>
          <w:tcPr>
            <w:tcW w:w="284" w:type="dxa"/>
          </w:tcPr>
          <w:p w14:paraId="28C947D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CD705F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00C80F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ABB577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017802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09CC8D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9D1A41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6A8FF05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E36_Entité_visuelle</w:t>
            </w:r>
          </w:p>
        </w:tc>
      </w:tr>
      <w:tr w:rsidR="00BF18CF" w14:paraId="5A79E74C" w14:textId="77777777" w:rsidTr="00BF18CF">
        <w:tc>
          <w:tcPr>
            <w:tcW w:w="567" w:type="dxa"/>
          </w:tcPr>
          <w:p w14:paraId="57F5721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E37</w:t>
            </w:r>
          </w:p>
        </w:tc>
        <w:tc>
          <w:tcPr>
            <w:tcW w:w="284" w:type="dxa"/>
          </w:tcPr>
          <w:p w14:paraId="7E27D38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8EA815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771A3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DAA9E7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58D9C7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4B7356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3896E0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A4F4E7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938" w:type="dxa"/>
            <w:gridSpan w:val="2"/>
          </w:tcPr>
          <w:p w14:paraId="2F83485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E37_Marque</w:t>
            </w:r>
          </w:p>
        </w:tc>
      </w:tr>
      <w:tr w:rsidR="00BF18CF" w14:paraId="05BDAB91" w14:textId="77777777" w:rsidTr="00BF18CF">
        <w:tc>
          <w:tcPr>
            <w:tcW w:w="567" w:type="dxa"/>
          </w:tcPr>
          <w:p w14:paraId="11AB3E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E34</w:t>
            </w:r>
          </w:p>
        </w:tc>
        <w:tc>
          <w:tcPr>
            <w:tcW w:w="284" w:type="dxa"/>
          </w:tcPr>
          <w:p w14:paraId="7182EFA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731FE3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3F359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9AF213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E9996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51DE8C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77810C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4279CA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EB057C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7654" w:type="dxa"/>
          </w:tcPr>
          <w:p w14:paraId="4E253DB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E34_Inscription</w:t>
            </w:r>
          </w:p>
        </w:tc>
      </w:tr>
      <w:tr w:rsidR="00BF18CF" w14:paraId="1C0A8DF3" w14:textId="77777777" w:rsidTr="00BF18CF">
        <w:tc>
          <w:tcPr>
            <w:tcW w:w="567" w:type="dxa"/>
          </w:tcPr>
          <w:p w14:paraId="586B867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E30</w:t>
            </w:r>
          </w:p>
        </w:tc>
        <w:tc>
          <w:tcPr>
            <w:tcW w:w="284" w:type="dxa"/>
          </w:tcPr>
          <w:p w14:paraId="30130E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61A5B3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C2A935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8625CB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08B036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00FB34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055EAC7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E30_Droit</w:t>
            </w:r>
          </w:p>
        </w:tc>
      </w:tr>
      <w:tr w:rsidR="00BF18CF" w14:paraId="1A4C4D2E" w14:textId="77777777" w:rsidTr="00BF18CF">
        <w:tc>
          <w:tcPr>
            <w:tcW w:w="567" w:type="dxa"/>
          </w:tcPr>
          <w:p w14:paraId="5BF4526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E55</w:t>
            </w:r>
          </w:p>
        </w:tc>
        <w:tc>
          <w:tcPr>
            <w:tcW w:w="284" w:type="dxa"/>
          </w:tcPr>
          <w:p w14:paraId="470A434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FC429B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382899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1E5FE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F4E98D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54A9BE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1BCF75D1" w14:textId="77777777" w:rsidTr="00BF18CF">
        <w:tc>
          <w:tcPr>
            <w:tcW w:w="567" w:type="dxa"/>
          </w:tcPr>
          <w:p w14:paraId="7C39AA2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E56</w:t>
            </w:r>
          </w:p>
        </w:tc>
        <w:tc>
          <w:tcPr>
            <w:tcW w:w="284" w:type="dxa"/>
          </w:tcPr>
          <w:p w14:paraId="4B40E5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39FB93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191C4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03CB6A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437F69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1FAE09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708790E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E56_Langue</w:t>
            </w:r>
          </w:p>
        </w:tc>
      </w:tr>
      <w:tr w:rsidR="00BF18CF" w14:paraId="0180226F" w14:textId="77777777" w:rsidTr="00BF18CF">
        <w:tc>
          <w:tcPr>
            <w:tcW w:w="567" w:type="dxa"/>
          </w:tcPr>
          <w:p w14:paraId="00E7A2E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E57</w:t>
            </w:r>
          </w:p>
        </w:tc>
        <w:tc>
          <w:tcPr>
            <w:tcW w:w="284" w:type="dxa"/>
          </w:tcPr>
          <w:p w14:paraId="51603DF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4354D3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BDF6C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543F64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B4C7FF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0D56BE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7699B34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E57_Matériau</w:t>
            </w:r>
          </w:p>
        </w:tc>
      </w:tr>
      <w:tr w:rsidR="00BF18CF" w14:paraId="11DD9603" w14:textId="77777777" w:rsidTr="00BF18CF">
        <w:tc>
          <w:tcPr>
            <w:tcW w:w="567" w:type="dxa"/>
          </w:tcPr>
          <w:p w14:paraId="2BB5BC3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E58</w:t>
            </w:r>
          </w:p>
        </w:tc>
        <w:tc>
          <w:tcPr>
            <w:tcW w:w="284" w:type="dxa"/>
          </w:tcPr>
          <w:p w14:paraId="760347A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6E1A3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93E108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D0CC56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DFE3A1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D07626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5F566E9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E58_Unité_de_mesure</w:t>
            </w:r>
          </w:p>
        </w:tc>
      </w:tr>
      <w:tr w:rsidR="00BF18CF" w14:paraId="12270C22" w14:textId="77777777" w:rsidTr="00BF18CF">
        <w:tc>
          <w:tcPr>
            <w:tcW w:w="567" w:type="dxa"/>
          </w:tcPr>
          <w:p w14:paraId="7CD0ADE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E98</w:t>
            </w:r>
          </w:p>
        </w:tc>
        <w:tc>
          <w:tcPr>
            <w:tcW w:w="284" w:type="dxa"/>
          </w:tcPr>
          <w:p w14:paraId="6CAD70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4B584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29AC3B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65372F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A6E30A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04CE54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104F5F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221" w:type="dxa"/>
            <w:gridSpan w:val="3"/>
          </w:tcPr>
          <w:p w14:paraId="665CD36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E98_Unité_monétaire</w:t>
            </w:r>
          </w:p>
        </w:tc>
      </w:tr>
      <w:tr w:rsidR="00BF18CF" w14:paraId="532589B1" w14:textId="77777777" w:rsidTr="00BF18CF">
        <w:tc>
          <w:tcPr>
            <w:tcW w:w="567" w:type="dxa"/>
          </w:tcPr>
          <w:p w14:paraId="7F09358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E99</w:t>
            </w:r>
          </w:p>
        </w:tc>
        <w:tc>
          <w:tcPr>
            <w:tcW w:w="284" w:type="dxa"/>
          </w:tcPr>
          <w:p w14:paraId="1F57CA0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5EE08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7C4D7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5947D3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C93A8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7AE5FB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679B7D5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E99_Modèle_de_produit</w:t>
            </w:r>
          </w:p>
        </w:tc>
      </w:tr>
      <w:tr w:rsidR="00BF18CF" w14:paraId="50E5046A" w14:textId="77777777" w:rsidTr="00BF18CF">
        <w:tc>
          <w:tcPr>
            <w:tcW w:w="567" w:type="dxa"/>
          </w:tcPr>
          <w:p w14:paraId="62201F8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E39</w:t>
            </w:r>
          </w:p>
        </w:tc>
        <w:tc>
          <w:tcPr>
            <w:tcW w:w="284" w:type="dxa"/>
          </w:tcPr>
          <w:p w14:paraId="0566117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7B8445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3322961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r>
              <w:rPr>
                <w:color w:val="000000"/>
                <w:sz w:val="16"/>
                <w:szCs w:val="16"/>
              </w:rPr>
              <w:t> </w:t>
            </w:r>
          </w:p>
        </w:tc>
      </w:tr>
      <w:tr w:rsidR="00BF18CF" w14:paraId="73013F8B" w14:textId="77777777" w:rsidTr="00BF18CF">
        <w:tc>
          <w:tcPr>
            <w:tcW w:w="567" w:type="dxa"/>
          </w:tcPr>
          <w:p w14:paraId="7CE72D5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E74</w:t>
            </w:r>
          </w:p>
        </w:tc>
        <w:tc>
          <w:tcPr>
            <w:tcW w:w="284" w:type="dxa"/>
          </w:tcPr>
          <w:p w14:paraId="4BC39D2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A71AC4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5EAECF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355" w:type="dxa"/>
            <w:gridSpan w:val="7"/>
          </w:tcPr>
          <w:p w14:paraId="0091C36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E74_Groupe</w:t>
            </w:r>
          </w:p>
        </w:tc>
      </w:tr>
      <w:tr w:rsidR="00BF18CF" w14:paraId="1ED325AC" w14:textId="77777777" w:rsidTr="00BF18CF">
        <w:tc>
          <w:tcPr>
            <w:tcW w:w="567" w:type="dxa"/>
          </w:tcPr>
          <w:p w14:paraId="11EFB98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E21</w:t>
            </w:r>
          </w:p>
        </w:tc>
        <w:tc>
          <w:tcPr>
            <w:tcW w:w="284" w:type="dxa"/>
          </w:tcPr>
          <w:p w14:paraId="34AC28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B8F68B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7B24C0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355" w:type="dxa"/>
            <w:gridSpan w:val="7"/>
          </w:tcPr>
          <w:p w14:paraId="6E1B0D1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E21_Personne</w:t>
            </w:r>
          </w:p>
        </w:tc>
      </w:tr>
      <w:tr w:rsidR="00BF18CF" w14:paraId="6B54ED5A" w14:textId="77777777" w:rsidTr="00BF18CF">
        <w:tc>
          <w:tcPr>
            <w:tcW w:w="567" w:type="dxa"/>
          </w:tcPr>
          <w:p w14:paraId="2558EF0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E52</w:t>
            </w:r>
          </w:p>
        </w:tc>
        <w:tc>
          <w:tcPr>
            <w:tcW w:w="284" w:type="dxa"/>
          </w:tcPr>
          <w:p w14:paraId="5FD5EA0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922" w:type="dxa"/>
            <w:gridSpan w:val="9"/>
          </w:tcPr>
          <w:p w14:paraId="2C80FC1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E52_Intervalle_temporel</w:t>
            </w:r>
          </w:p>
        </w:tc>
      </w:tr>
      <w:tr w:rsidR="00BF18CF" w14:paraId="7F524152" w14:textId="77777777" w:rsidTr="00BF18CF">
        <w:tc>
          <w:tcPr>
            <w:tcW w:w="567" w:type="dxa"/>
          </w:tcPr>
          <w:p w14:paraId="3422897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E53</w:t>
            </w:r>
          </w:p>
        </w:tc>
        <w:tc>
          <w:tcPr>
            <w:tcW w:w="284" w:type="dxa"/>
          </w:tcPr>
          <w:p w14:paraId="2C003FC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922" w:type="dxa"/>
            <w:gridSpan w:val="9"/>
          </w:tcPr>
          <w:p w14:paraId="209B427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417FE5F9" w14:textId="77777777" w:rsidTr="00BF18CF">
        <w:tc>
          <w:tcPr>
            <w:tcW w:w="567" w:type="dxa"/>
          </w:tcPr>
          <w:p w14:paraId="11A0E26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E54</w:t>
            </w:r>
          </w:p>
        </w:tc>
        <w:tc>
          <w:tcPr>
            <w:tcW w:w="284" w:type="dxa"/>
          </w:tcPr>
          <w:p w14:paraId="641B17F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922" w:type="dxa"/>
            <w:gridSpan w:val="9"/>
          </w:tcPr>
          <w:p w14:paraId="7E73F4B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E54_Dimension</w:t>
            </w:r>
          </w:p>
        </w:tc>
      </w:tr>
      <w:tr w:rsidR="00BF18CF" w14:paraId="260DC9B7" w14:textId="77777777" w:rsidTr="00BF18CF">
        <w:tc>
          <w:tcPr>
            <w:tcW w:w="567" w:type="dxa"/>
          </w:tcPr>
          <w:p w14:paraId="62A6650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E97</w:t>
            </w:r>
          </w:p>
        </w:tc>
        <w:tc>
          <w:tcPr>
            <w:tcW w:w="284" w:type="dxa"/>
          </w:tcPr>
          <w:p w14:paraId="247EF37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54F1D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37251E7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E97_Valeur_monétaire</w:t>
            </w:r>
          </w:p>
        </w:tc>
      </w:tr>
      <w:tr w:rsidR="00BF18CF" w14:paraId="264DE0E3" w14:textId="77777777" w:rsidTr="00BF18CF">
        <w:tc>
          <w:tcPr>
            <w:tcW w:w="567" w:type="dxa"/>
          </w:tcPr>
          <w:p w14:paraId="7A00443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E92</w:t>
            </w:r>
          </w:p>
        </w:tc>
        <w:tc>
          <w:tcPr>
            <w:tcW w:w="284" w:type="dxa"/>
          </w:tcPr>
          <w:p w14:paraId="774546B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922" w:type="dxa"/>
            <w:gridSpan w:val="9"/>
          </w:tcPr>
          <w:p w14:paraId="37B7EEB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r>
      <w:tr w:rsidR="00BF18CF" w14:paraId="3E4B0F43" w14:textId="77777777" w:rsidTr="00BF18CF">
        <w:tc>
          <w:tcPr>
            <w:tcW w:w="567" w:type="dxa"/>
          </w:tcPr>
          <w:p w14:paraId="14B928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E4</w:t>
            </w:r>
          </w:p>
        </w:tc>
        <w:tc>
          <w:tcPr>
            <w:tcW w:w="284" w:type="dxa"/>
          </w:tcPr>
          <w:p w14:paraId="1E4DCDE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9E0DC2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326A97B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E4_Période</w:t>
            </w:r>
          </w:p>
        </w:tc>
      </w:tr>
      <w:tr w:rsidR="00BF18CF" w14:paraId="1552C3D9" w14:textId="77777777" w:rsidTr="00BF18CF">
        <w:tc>
          <w:tcPr>
            <w:tcW w:w="567" w:type="dxa"/>
          </w:tcPr>
          <w:p w14:paraId="609557A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w:t>
            </w:r>
          </w:p>
        </w:tc>
        <w:tc>
          <w:tcPr>
            <w:tcW w:w="284" w:type="dxa"/>
          </w:tcPr>
          <w:p w14:paraId="5C4F909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36B71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BE7C0B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355" w:type="dxa"/>
            <w:gridSpan w:val="7"/>
          </w:tcPr>
          <w:p w14:paraId="04D9099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E5_Évènement</w:t>
            </w:r>
          </w:p>
        </w:tc>
      </w:tr>
      <w:tr w:rsidR="00BF18CF" w14:paraId="33661A06" w14:textId="77777777" w:rsidTr="00BF18CF">
        <w:tc>
          <w:tcPr>
            <w:tcW w:w="567" w:type="dxa"/>
          </w:tcPr>
          <w:p w14:paraId="2330205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w:t>
            </w:r>
          </w:p>
        </w:tc>
        <w:tc>
          <w:tcPr>
            <w:tcW w:w="284" w:type="dxa"/>
          </w:tcPr>
          <w:p w14:paraId="08549E0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13ECA1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0DB5E2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AB88FF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657778E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E7_Activité</w:t>
            </w:r>
          </w:p>
        </w:tc>
      </w:tr>
      <w:tr w:rsidR="00BF18CF" w14:paraId="781A3DB1" w14:textId="77777777" w:rsidTr="00BF18CF">
        <w:tc>
          <w:tcPr>
            <w:tcW w:w="567" w:type="dxa"/>
          </w:tcPr>
          <w:p w14:paraId="6F01256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w:t>
            </w:r>
          </w:p>
        </w:tc>
        <w:tc>
          <w:tcPr>
            <w:tcW w:w="284" w:type="dxa"/>
          </w:tcPr>
          <w:p w14:paraId="1A05D13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C38065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C573B6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98DA5B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A1B678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85E637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E8_Acquisition</w:t>
            </w:r>
          </w:p>
        </w:tc>
      </w:tr>
      <w:tr w:rsidR="00BF18CF" w14:paraId="040E2625" w14:textId="77777777" w:rsidTr="00BF18CF">
        <w:tc>
          <w:tcPr>
            <w:tcW w:w="567" w:type="dxa"/>
          </w:tcPr>
          <w:p w14:paraId="21BDA65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E96</w:t>
            </w:r>
          </w:p>
        </w:tc>
        <w:tc>
          <w:tcPr>
            <w:tcW w:w="284" w:type="dxa"/>
          </w:tcPr>
          <w:p w14:paraId="03A4096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708FF5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F39A24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1132B3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76D20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079ABE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46C4B98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E96_Achat</w:t>
            </w:r>
          </w:p>
        </w:tc>
      </w:tr>
      <w:tr w:rsidR="00BF18CF" w14:paraId="38705E66" w14:textId="77777777" w:rsidTr="00BF18CF">
        <w:tc>
          <w:tcPr>
            <w:tcW w:w="567" w:type="dxa"/>
          </w:tcPr>
          <w:p w14:paraId="2DDA127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w:t>
            </w:r>
          </w:p>
        </w:tc>
        <w:tc>
          <w:tcPr>
            <w:tcW w:w="284" w:type="dxa"/>
          </w:tcPr>
          <w:p w14:paraId="22031B7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C41CC4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347433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FE9A90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205956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3B409A6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E9_Déplacement</w:t>
            </w:r>
          </w:p>
        </w:tc>
      </w:tr>
      <w:tr w:rsidR="00BF18CF" w14:paraId="58C2B81D" w14:textId="77777777" w:rsidTr="00BF18CF">
        <w:tc>
          <w:tcPr>
            <w:tcW w:w="567" w:type="dxa"/>
          </w:tcPr>
          <w:p w14:paraId="49E247F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E10</w:t>
            </w:r>
          </w:p>
        </w:tc>
        <w:tc>
          <w:tcPr>
            <w:tcW w:w="284" w:type="dxa"/>
          </w:tcPr>
          <w:p w14:paraId="08F0CC6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8DEE2F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9B6CDA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4FBDC3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D3C7A2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542634C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E10_Transfert_de_la_garde</w:t>
            </w:r>
          </w:p>
        </w:tc>
      </w:tr>
      <w:tr w:rsidR="00BF18CF" w14:paraId="1E472EAB" w14:textId="77777777" w:rsidTr="00BF18CF">
        <w:tc>
          <w:tcPr>
            <w:tcW w:w="567" w:type="dxa"/>
          </w:tcPr>
          <w:p w14:paraId="411E0ED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E11</w:t>
            </w:r>
          </w:p>
        </w:tc>
        <w:tc>
          <w:tcPr>
            <w:tcW w:w="284" w:type="dxa"/>
          </w:tcPr>
          <w:p w14:paraId="392D4EC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A3463B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6E13BA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9B9E1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B01BE4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2CED14E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E11_Modification</w:t>
            </w:r>
          </w:p>
        </w:tc>
      </w:tr>
      <w:tr w:rsidR="00BF18CF" w14:paraId="534FE94C" w14:textId="77777777" w:rsidTr="00BF18CF">
        <w:tc>
          <w:tcPr>
            <w:tcW w:w="567" w:type="dxa"/>
          </w:tcPr>
          <w:p w14:paraId="2BD626A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E12</w:t>
            </w:r>
          </w:p>
        </w:tc>
        <w:tc>
          <w:tcPr>
            <w:tcW w:w="284" w:type="dxa"/>
          </w:tcPr>
          <w:p w14:paraId="5196521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ED7889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D9F824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B551E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B8A9B6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F79641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7F008DE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E12_Production</w:t>
            </w:r>
          </w:p>
        </w:tc>
      </w:tr>
      <w:tr w:rsidR="00BF18CF" w14:paraId="675C2E65" w14:textId="77777777" w:rsidTr="00BF18CF">
        <w:tc>
          <w:tcPr>
            <w:tcW w:w="567" w:type="dxa"/>
          </w:tcPr>
          <w:p w14:paraId="3BB5EC7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E79</w:t>
            </w:r>
          </w:p>
        </w:tc>
        <w:tc>
          <w:tcPr>
            <w:tcW w:w="284" w:type="dxa"/>
          </w:tcPr>
          <w:p w14:paraId="4D3E561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B7AAD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C5F7B0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5FF2F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9C1D2A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BBBFDF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560A61F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E79_Ajout_d’élément</w:t>
            </w:r>
          </w:p>
        </w:tc>
      </w:tr>
      <w:tr w:rsidR="00BF18CF" w14:paraId="7FDB6378" w14:textId="77777777" w:rsidTr="00BF18CF">
        <w:tc>
          <w:tcPr>
            <w:tcW w:w="567" w:type="dxa"/>
          </w:tcPr>
          <w:p w14:paraId="566CBC5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E80</w:t>
            </w:r>
          </w:p>
        </w:tc>
        <w:tc>
          <w:tcPr>
            <w:tcW w:w="284" w:type="dxa"/>
          </w:tcPr>
          <w:p w14:paraId="24826C2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A7B51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7EC02D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434FD1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FDD59A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9C54BC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70F8477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E80_Retrait_d’élément</w:t>
            </w:r>
          </w:p>
        </w:tc>
      </w:tr>
      <w:tr w:rsidR="00BF18CF" w14:paraId="549E78A5" w14:textId="77777777" w:rsidTr="00BF18CF">
        <w:tc>
          <w:tcPr>
            <w:tcW w:w="567" w:type="dxa"/>
          </w:tcPr>
          <w:p w14:paraId="1E83E3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E13</w:t>
            </w:r>
          </w:p>
        </w:tc>
        <w:tc>
          <w:tcPr>
            <w:tcW w:w="284" w:type="dxa"/>
          </w:tcPr>
          <w:p w14:paraId="44BBE83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7C9493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00ADA1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B5E4C3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B9FF23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321B191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E13_Assignation_d’attribut</w:t>
            </w:r>
          </w:p>
        </w:tc>
      </w:tr>
      <w:tr w:rsidR="00BF18CF" w14:paraId="18DE8AD7" w14:textId="77777777" w:rsidTr="00BF18CF">
        <w:tc>
          <w:tcPr>
            <w:tcW w:w="567" w:type="dxa"/>
          </w:tcPr>
          <w:p w14:paraId="5E87445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E14</w:t>
            </w:r>
          </w:p>
        </w:tc>
        <w:tc>
          <w:tcPr>
            <w:tcW w:w="284" w:type="dxa"/>
          </w:tcPr>
          <w:p w14:paraId="06563EE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5B841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8A419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A60760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719C168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C19E15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57E575A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E14_Évaluation_d’état_matériel</w:t>
            </w:r>
          </w:p>
        </w:tc>
      </w:tr>
      <w:tr w:rsidR="00BF18CF" w14:paraId="20FD6FE7" w14:textId="77777777" w:rsidTr="00BF18CF">
        <w:tc>
          <w:tcPr>
            <w:tcW w:w="567" w:type="dxa"/>
          </w:tcPr>
          <w:p w14:paraId="2C811C6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E15</w:t>
            </w:r>
          </w:p>
        </w:tc>
        <w:tc>
          <w:tcPr>
            <w:tcW w:w="284" w:type="dxa"/>
          </w:tcPr>
          <w:p w14:paraId="702C053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3D01E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223EFB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7B0CB4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4731D5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F385AA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0FFABBA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E15_Assignation_d’identifiant</w:t>
            </w:r>
          </w:p>
        </w:tc>
      </w:tr>
      <w:tr w:rsidR="00BF18CF" w14:paraId="22F653AE" w14:textId="77777777" w:rsidTr="00BF18CF">
        <w:tc>
          <w:tcPr>
            <w:tcW w:w="567" w:type="dxa"/>
          </w:tcPr>
          <w:p w14:paraId="35BAA4E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E16</w:t>
            </w:r>
          </w:p>
        </w:tc>
        <w:tc>
          <w:tcPr>
            <w:tcW w:w="284" w:type="dxa"/>
          </w:tcPr>
          <w:p w14:paraId="5455A77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506166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5968AF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B5F0BC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85506B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0EFD13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4B3A9F1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E16_Mesurage</w:t>
            </w:r>
          </w:p>
        </w:tc>
      </w:tr>
      <w:tr w:rsidR="00BF18CF" w14:paraId="0DC26A52" w14:textId="77777777" w:rsidTr="00BF18CF">
        <w:tc>
          <w:tcPr>
            <w:tcW w:w="567" w:type="dxa"/>
          </w:tcPr>
          <w:p w14:paraId="5EF50CA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E17</w:t>
            </w:r>
          </w:p>
        </w:tc>
        <w:tc>
          <w:tcPr>
            <w:tcW w:w="284" w:type="dxa"/>
          </w:tcPr>
          <w:p w14:paraId="79F2753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586F0E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4D4C3E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16D5E8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BD0051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65FDEB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66EF84B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E17_Assignation_de_type</w:t>
            </w:r>
          </w:p>
        </w:tc>
      </w:tr>
      <w:tr w:rsidR="00BF18CF" w14:paraId="1C940622" w14:textId="77777777" w:rsidTr="00BF18CF">
        <w:tc>
          <w:tcPr>
            <w:tcW w:w="567" w:type="dxa"/>
          </w:tcPr>
          <w:p w14:paraId="7675947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E65</w:t>
            </w:r>
          </w:p>
        </w:tc>
        <w:tc>
          <w:tcPr>
            <w:tcW w:w="284" w:type="dxa"/>
          </w:tcPr>
          <w:p w14:paraId="17CDA0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69DBC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C5161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90A108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228FDA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998F8F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E65_Création</w:t>
            </w:r>
          </w:p>
        </w:tc>
      </w:tr>
      <w:tr w:rsidR="00BF18CF" w14:paraId="23DAF257" w14:textId="77777777" w:rsidTr="00BF18CF">
        <w:tc>
          <w:tcPr>
            <w:tcW w:w="567" w:type="dxa"/>
          </w:tcPr>
          <w:p w14:paraId="75BBF72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E83</w:t>
            </w:r>
          </w:p>
        </w:tc>
        <w:tc>
          <w:tcPr>
            <w:tcW w:w="284" w:type="dxa"/>
          </w:tcPr>
          <w:p w14:paraId="4704905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522546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10D35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2BE1B4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22926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FA5572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650C4C6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E83_Création_de_type</w:t>
            </w:r>
          </w:p>
        </w:tc>
      </w:tr>
      <w:tr w:rsidR="00BF18CF" w14:paraId="2E41765F" w14:textId="77777777" w:rsidTr="00BF18CF">
        <w:tc>
          <w:tcPr>
            <w:tcW w:w="567" w:type="dxa"/>
          </w:tcPr>
          <w:p w14:paraId="218FC9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E66</w:t>
            </w:r>
          </w:p>
        </w:tc>
        <w:tc>
          <w:tcPr>
            <w:tcW w:w="284" w:type="dxa"/>
          </w:tcPr>
          <w:p w14:paraId="2442462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D8A948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870954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21C5C6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51296F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4535711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E66_Formation</w:t>
            </w:r>
          </w:p>
        </w:tc>
      </w:tr>
      <w:tr w:rsidR="00BF18CF" w14:paraId="15477F69" w14:textId="77777777" w:rsidTr="00BF18CF">
        <w:tc>
          <w:tcPr>
            <w:tcW w:w="567" w:type="dxa"/>
          </w:tcPr>
          <w:p w14:paraId="2066F8A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E85</w:t>
            </w:r>
          </w:p>
        </w:tc>
        <w:tc>
          <w:tcPr>
            <w:tcW w:w="284" w:type="dxa"/>
          </w:tcPr>
          <w:p w14:paraId="295CCAF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7E46D4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1422CE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2C1F6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60F29F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ECACDD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E85_Adhésion</w:t>
            </w:r>
          </w:p>
        </w:tc>
      </w:tr>
      <w:tr w:rsidR="00BF18CF" w14:paraId="708C3407" w14:textId="77777777" w:rsidTr="00BF18CF">
        <w:tc>
          <w:tcPr>
            <w:tcW w:w="567" w:type="dxa"/>
          </w:tcPr>
          <w:p w14:paraId="72EF8B8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E86</w:t>
            </w:r>
          </w:p>
        </w:tc>
        <w:tc>
          <w:tcPr>
            <w:tcW w:w="284" w:type="dxa"/>
          </w:tcPr>
          <w:p w14:paraId="6AC79B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6ADC3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3256D6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DE259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F855C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4A2E62A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E86_Départ</w:t>
            </w:r>
          </w:p>
        </w:tc>
      </w:tr>
      <w:tr w:rsidR="00BF18CF" w14:paraId="5646E41E" w14:textId="77777777" w:rsidTr="00BF18CF">
        <w:tc>
          <w:tcPr>
            <w:tcW w:w="567" w:type="dxa"/>
          </w:tcPr>
          <w:p w14:paraId="4DB4DEB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E87</w:t>
            </w:r>
          </w:p>
        </w:tc>
        <w:tc>
          <w:tcPr>
            <w:tcW w:w="284" w:type="dxa"/>
          </w:tcPr>
          <w:p w14:paraId="2ECFE06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7DFA5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9ED7A3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677943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47CABF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2DDEC56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E87_Activité_curatoriale</w:t>
            </w:r>
          </w:p>
        </w:tc>
      </w:tr>
      <w:tr w:rsidR="00BF18CF" w14:paraId="1D097E6E" w14:textId="77777777" w:rsidTr="00BF18CF">
        <w:tc>
          <w:tcPr>
            <w:tcW w:w="567" w:type="dxa"/>
          </w:tcPr>
          <w:p w14:paraId="78AA307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E63</w:t>
            </w:r>
          </w:p>
        </w:tc>
        <w:tc>
          <w:tcPr>
            <w:tcW w:w="284" w:type="dxa"/>
          </w:tcPr>
          <w:p w14:paraId="3412D9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23CE4C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5226D6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4CCF07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15313D4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E63_Début_d’existence</w:t>
            </w:r>
            <w:r>
              <w:rPr>
                <w:color w:val="000000"/>
                <w:sz w:val="16"/>
                <w:szCs w:val="16"/>
              </w:rPr>
              <w:t> </w:t>
            </w:r>
          </w:p>
        </w:tc>
      </w:tr>
      <w:tr w:rsidR="00BF18CF" w14:paraId="1E8259ED" w14:textId="77777777" w:rsidTr="00BF18CF">
        <w:tc>
          <w:tcPr>
            <w:tcW w:w="567" w:type="dxa"/>
          </w:tcPr>
          <w:p w14:paraId="1043F21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E67</w:t>
            </w:r>
          </w:p>
        </w:tc>
        <w:tc>
          <w:tcPr>
            <w:tcW w:w="284" w:type="dxa"/>
          </w:tcPr>
          <w:p w14:paraId="19AA41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39354B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36266DA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B49E38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CAAAAE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A6B394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E67_Naissance</w:t>
            </w:r>
          </w:p>
        </w:tc>
      </w:tr>
      <w:tr w:rsidR="00BF18CF" w14:paraId="6673ED8C" w14:textId="77777777" w:rsidTr="00BF18CF">
        <w:tc>
          <w:tcPr>
            <w:tcW w:w="567" w:type="dxa"/>
          </w:tcPr>
          <w:p w14:paraId="09C0A4D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E81</w:t>
            </w:r>
          </w:p>
        </w:tc>
        <w:tc>
          <w:tcPr>
            <w:tcW w:w="284" w:type="dxa"/>
          </w:tcPr>
          <w:p w14:paraId="3E810B2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79677D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281542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686CB4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C30BAC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47A64A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E81_Transformation</w:t>
            </w:r>
          </w:p>
        </w:tc>
      </w:tr>
      <w:tr w:rsidR="00BF18CF" w14:paraId="4C6EBFCE" w14:textId="77777777" w:rsidTr="00BF18CF">
        <w:tc>
          <w:tcPr>
            <w:tcW w:w="567" w:type="dxa"/>
          </w:tcPr>
          <w:p w14:paraId="086D0B6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E12</w:t>
            </w:r>
          </w:p>
        </w:tc>
        <w:tc>
          <w:tcPr>
            <w:tcW w:w="284" w:type="dxa"/>
          </w:tcPr>
          <w:p w14:paraId="5A5A0A7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B51221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296C86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D9288F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99CF6A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5B002F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E12_Production</w:t>
            </w:r>
          </w:p>
        </w:tc>
      </w:tr>
      <w:tr w:rsidR="00BF18CF" w14:paraId="4A1B50AE" w14:textId="77777777" w:rsidTr="00BF18CF">
        <w:tc>
          <w:tcPr>
            <w:tcW w:w="567" w:type="dxa"/>
          </w:tcPr>
          <w:p w14:paraId="4FC1284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E65</w:t>
            </w:r>
          </w:p>
        </w:tc>
        <w:tc>
          <w:tcPr>
            <w:tcW w:w="284" w:type="dxa"/>
          </w:tcPr>
          <w:p w14:paraId="403277C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B2A7E5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83D90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CCBD7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327887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5EAA661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E65_Création</w:t>
            </w:r>
          </w:p>
        </w:tc>
      </w:tr>
      <w:tr w:rsidR="00BF18CF" w14:paraId="78A29EB6" w14:textId="77777777" w:rsidTr="00BF18CF">
        <w:tc>
          <w:tcPr>
            <w:tcW w:w="567" w:type="dxa"/>
          </w:tcPr>
          <w:p w14:paraId="14F2F24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E83</w:t>
            </w:r>
          </w:p>
        </w:tc>
        <w:tc>
          <w:tcPr>
            <w:tcW w:w="284" w:type="dxa"/>
          </w:tcPr>
          <w:p w14:paraId="4744C00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38744D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76837A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42BFC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67623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D3D384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505" w:type="dxa"/>
            <w:gridSpan w:val="4"/>
          </w:tcPr>
          <w:p w14:paraId="70A4AD8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E83_Création_de_type</w:t>
            </w:r>
          </w:p>
        </w:tc>
      </w:tr>
      <w:tr w:rsidR="00BF18CF" w14:paraId="5CB4FDE5" w14:textId="77777777" w:rsidTr="00BF18CF">
        <w:tc>
          <w:tcPr>
            <w:tcW w:w="567" w:type="dxa"/>
          </w:tcPr>
          <w:p w14:paraId="11AF97A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E66</w:t>
            </w:r>
          </w:p>
        </w:tc>
        <w:tc>
          <w:tcPr>
            <w:tcW w:w="284" w:type="dxa"/>
          </w:tcPr>
          <w:p w14:paraId="18593B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242194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CD19B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0391A0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9A76A1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169E948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E66_Formation</w:t>
            </w:r>
          </w:p>
        </w:tc>
      </w:tr>
      <w:tr w:rsidR="00BF18CF" w14:paraId="3EF365F6" w14:textId="77777777" w:rsidTr="00BF18CF">
        <w:tc>
          <w:tcPr>
            <w:tcW w:w="567" w:type="dxa"/>
          </w:tcPr>
          <w:p w14:paraId="267D27E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E64</w:t>
            </w:r>
          </w:p>
        </w:tc>
        <w:tc>
          <w:tcPr>
            <w:tcW w:w="284" w:type="dxa"/>
          </w:tcPr>
          <w:p w14:paraId="2A70064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6AECC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1ADBE57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0FFD20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072" w:type="dxa"/>
            <w:gridSpan w:val="6"/>
          </w:tcPr>
          <w:p w14:paraId="7128A29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E64_Fin_d’existence</w:t>
            </w:r>
          </w:p>
        </w:tc>
      </w:tr>
      <w:tr w:rsidR="00BF18CF" w14:paraId="36A5F736" w14:textId="77777777" w:rsidTr="00BF18CF">
        <w:tc>
          <w:tcPr>
            <w:tcW w:w="567" w:type="dxa"/>
          </w:tcPr>
          <w:p w14:paraId="1A9B563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w:t>
            </w:r>
          </w:p>
        </w:tc>
        <w:tc>
          <w:tcPr>
            <w:tcW w:w="284" w:type="dxa"/>
          </w:tcPr>
          <w:p w14:paraId="5447A9F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5C5039B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CC37BF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277CC6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08E9A08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05C0205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E6_Destruction</w:t>
            </w:r>
          </w:p>
        </w:tc>
      </w:tr>
      <w:tr w:rsidR="00BF18CF" w14:paraId="7C537CD6" w14:textId="77777777" w:rsidTr="00BF18CF">
        <w:tc>
          <w:tcPr>
            <w:tcW w:w="567" w:type="dxa"/>
          </w:tcPr>
          <w:p w14:paraId="1809964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E68</w:t>
            </w:r>
          </w:p>
        </w:tc>
        <w:tc>
          <w:tcPr>
            <w:tcW w:w="284" w:type="dxa"/>
          </w:tcPr>
          <w:p w14:paraId="42D6FC7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C9FE61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D4B45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BC427F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F3F2D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65AEC1F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E68_Dissolution</w:t>
            </w:r>
          </w:p>
        </w:tc>
      </w:tr>
      <w:tr w:rsidR="00BF18CF" w14:paraId="2162D819" w14:textId="77777777" w:rsidTr="00BF18CF">
        <w:tc>
          <w:tcPr>
            <w:tcW w:w="567" w:type="dxa"/>
          </w:tcPr>
          <w:p w14:paraId="29E91DB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E69</w:t>
            </w:r>
          </w:p>
        </w:tc>
        <w:tc>
          <w:tcPr>
            <w:tcW w:w="284" w:type="dxa"/>
          </w:tcPr>
          <w:p w14:paraId="6F25FEF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FB37C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43B0F0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761558E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C00711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27FFF4E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E69_Mort</w:t>
            </w:r>
          </w:p>
        </w:tc>
      </w:tr>
      <w:tr w:rsidR="00BF18CF" w14:paraId="418E55FE" w14:textId="77777777" w:rsidTr="00BF18CF">
        <w:tc>
          <w:tcPr>
            <w:tcW w:w="567" w:type="dxa"/>
          </w:tcPr>
          <w:p w14:paraId="680907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E81</w:t>
            </w:r>
          </w:p>
        </w:tc>
        <w:tc>
          <w:tcPr>
            <w:tcW w:w="284" w:type="dxa"/>
          </w:tcPr>
          <w:p w14:paraId="3D820E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1836F4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6A5157E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DA51F1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52A692B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8788" w:type="dxa"/>
            <w:gridSpan w:val="5"/>
          </w:tcPr>
          <w:p w14:paraId="5B575CC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E81_Transformation</w:t>
            </w:r>
            <w:r>
              <w:rPr>
                <w:color w:val="000000"/>
                <w:sz w:val="16"/>
                <w:szCs w:val="16"/>
              </w:rPr>
              <w:t> </w:t>
            </w:r>
          </w:p>
        </w:tc>
      </w:tr>
      <w:tr w:rsidR="00BF18CF" w14:paraId="6AAB19E4" w14:textId="77777777" w:rsidTr="00BF18CF">
        <w:tc>
          <w:tcPr>
            <w:tcW w:w="567" w:type="dxa"/>
          </w:tcPr>
          <w:p w14:paraId="0C85D11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E93</w:t>
            </w:r>
          </w:p>
        </w:tc>
        <w:tc>
          <w:tcPr>
            <w:tcW w:w="284" w:type="dxa"/>
          </w:tcPr>
          <w:p w14:paraId="04B3DED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37986E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6838EB6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E93_Présence</w:t>
            </w:r>
          </w:p>
        </w:tc>
      </w:tr>
      <w:tr w:rsidR="00BF18CF" w14:paraId="6EACC97D" w14:textId="77777777" w:rsidTr="00BF18CF">
        <w:tc>
          <w:tcPr>
            <w:tcW w:w="567" w:type="dxa"/>
          </w:tcPr>
          <w:p w14:paraId="410D335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E59</w:t>
            </w:r>
          </w:p>
        </w:tc>
        <w:tc>
          <w:tcPr>
            <w:tcW w:w="284" w:type="dxa"/>
          </w:tcPr>
          <w:p w14:paraId="32787A6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922" w:type="dxa"/>
            <w:gridSpan w:val="9"/>
          </w:tcPr>
          <w:p w14:paraId="52FDD3A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E59_Valeur_primitive</w:t>
            </w:r>
          </w:p>
        </w:tc>
      </w:tr>
      <w:tr w:rsidR="00BF18CF" w14:paraId="1FBA1FEC" w14:textId="77777777" w:rsidTr="00BF18CF">
        <w:tc>
          <w:tcPr>
            <w:tcW w:w="567" w:type="dxa"/>
          </w:tcPr>
          <w:p w14:paraId="75BA9F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E60</w:t>
            </w:r>
          </w:p>
        </w:tc>
        <w:tc>
          <w:tcPr>
            <w:tcW w:w="284" w:type="dxa"/>
          </w:tcPr>
          <w:p w14:paraId="1393F16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2D9FAEB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61FF71B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E60_Nombre</w:t>
            </w:r>
          </w:p>
        </w:tc>
      </w:tr>
      <w:tr w:rsidR="00BF18CF" w14:paraId="03C0061B" w14:textId="77777777" w:rsidTr="00BF18CF">
        <w:tc>
          <w:tcPr>
            <w:tcW w:w="567" w:type="dxa"/>
          </w:tcPr>
          <w:p w14:paraId="42675B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E61</w:t>
            </w:r>
          </w:p>
        </w:tc>
        <w:tc>
          <w:tcPr>
            <w:tcW w:w="284" w:type="dxa"/>
          </w:tcPr>
          <w:p w14:paraId="1221C14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400011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7F37338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E61_Primitive_temporelle</w:t>
            </w:r>
            <w:r>
              <w:rPr>
                <w:color w:val="000000"/>
                <w:sz w:val="16"/>
                <w:szCs w:val="16"/>
              </w:rPr>
              <w:t> </w:t>
            </w:r>
          </w:p>
        </w:tc>
      </w:tr>
      <w:tr w:rsidR="00BF18CF" w14:paraId="24CA9F0A" w14:textId="77777777" w:rsidTr="00BF18CF">
        <w:tc>
          <w:tcPr>
            <w:tcW w:w="567" w:type="dxa"/>
          </w:tcPr>
          <w:p w14:paraId="78B6E14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E62</w:t>
            </w:r>
          </w:p>
        </w:tc>
        <w:tc>
          <w:tcPr>
            <w:tcW w:w="284" w:type="dxa"/>
          </w:tcPr>
          <w:p w14:paraId="1AEDEFE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51891D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0A9F855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E62_Chaîne_de_caractères</w:t>
            </w:r>
          </w:p>
        </w:tc>
      </w:tr>
      <w:tr w:rsidR="00BF18CF" w14:paraId="52F6171A" w14:textId="77777777" w:rsidTr="00BF18CF">
        <w:tc>
          <w:tcPr>
            <w:tcW w:w="567" w:type="dxa"/>
          </w:tcPr>
          <w:p w14:paraId="0C440CF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E94</w:t>
            </w:r>
          </w:p>
        </w:tc>
        <w:tc>
          <w:tcPr>
            <w:tcW w:w="284" w:type="dxa"/>
          </w:tcPr>
          <w:p w14:paraId="29B21A6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30AB9D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42C677F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E94_Primitive_spatiale</w:t>
            </w:r>
          </w:p>
        </w:tc>
      </w:tr>
      <w:tr w:rsidR="00BF18CF" w14:paraId="2280BD5A" w14:textId="77777777" w:rsidTr="00BF18CF">
        <w:tc>
          <w:tcPr>
            <w:tcW w:w="567" w:type="dxa"/>
          </w:tcPr>
          <w:p w14:paraId="45E1136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E95</w:t>
            </w:r>
          </w:p>
        </w:tc>
        <w:tc>
          <w:tcPr>
            <w:tcW w:w="284" w:type="dxa"/>
          </w:tcPr>
          <w:p w14:paraId="66B1C01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4C23074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9639" w:type="dxa"/>
            <w:gridSpan w:val="8"/>
          </w:tcPr>
          <w:p w14:paraId="76D9F45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i/>
                <w:color w:val="000000"/>
                <w:sz w:val="16"/>
                <w:szCs w:val="16"/>
                <w:shd w:val="clear" w:color="auto" w:fill="EAEEF3"/>
              </w:rPr>
              <w:t>E95_Primitive_spatio-temporelle</w:t>
            </w:r>
          </w:p>
        </w:tc>
      </w:tr>
    </w:tbl>
    <w:p w14:paraId="3FECDB45" w14:textId="77777777" w:rsidR="00BF18CF" w:rsidRDefault="00E51347">
      <w:pPr>
        <w:pStyle w:val="Heading3"/>
      </w:pPr>
      <w:bookmarkStart w:id="99" w:name="bookmark=id.1664s55" w:colFirst="0" w:colLast="0"/>
      <w:bookmarkStart w:id="100" w:name="_Toc144360792"/>
      <w:bookmarkEnd w:id="99"/>
      <w:r>
        <w:t>Liste hiérarchisée des propriétés du CIDOC CRM</w:t>
      </w:r>
      <w:bookmarkEnd w:id="100"/>
    </w:p>
    <w:tbl>
      <w:tblPr>
        <w:tblStyle w:val="affff0"/>
        <w:tblW w:w="10763"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696"/>
        <w:gridCol w:w="250"/>
        <w:gridCol w:w="250"/>
        <w:gridCol w:w="250"/>
        <w:gridCol w:w="283"/>
        <w:gridCol w:w="284"/>
        <w:gridCol w:w="5503"/>
        <w:gridCol w:w="1694"/>
        <w:gridCol w:w="1553"/>
      </w:tblGrid>
      <w:tr w:rsidR="00BF18CF" w14:paraId="1C7B0E03" w14:textId="77777777" w:rsidTr="00BF18CF">
        <w:tc>
          <w:tcPr>
            <w:tcW w:w="699" w:type="dxa"/>
          </w:tcPr>
          <w:p w14:paraId="7CA4BB0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w:t>
            </w:r>
          </w:p>
        </w:tc>
        <w:tc>
          <w:tcPr>
            <w:tcW w:w="6804" w:type="dxa"/>
            <w:gridSpan w:val="6"/>
          </w:tcPr>
          <w:p w14:paraId="56A8215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P1_est_identifié_par (identifie)</w:t>
            </w:r>
          </w:p>
        </w:tc>
        <w:tc>
          <w:tcPr>
            <w:tcW w:w="1701" w:type="dxa"/>
          </w:tcPr>
          <w:p w14:paraId="0B149F3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c>
          <w:tcPr>
            <w:tcW w:w="1559" w:type="dxa"/>
          </w:tcPr>
          <w:p w14:paraId="312CBDD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E41_Appellation</w:t>
            </w:r>
          </w:p>
        </w:tc>
      </w:tr>
      <w:tr w:rsidR="00BF18CF" w14:paraId="4C72858A" w14:textId="77777777" w:rsidTr="00BF18CF">
        <w:tc>
          <w:tcPr>
            <w:tcW w:w="699" w:type="dxa"/>
          </w:tcPr>
          <w:p w14:paraId="37D5521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P48</w:t>
            </w:r>
          </w:p>
        </w:tc>
        <w:tc>
          <w:tcPr>
            <w:tcW w:w="236" w:type="dxa"/>
          </w:tcPr>
          <w:p w14:paraId="0DBA53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4017DE5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P48_a_pour_identifiant_préférentiel (est_l’identifiant_préférentiel_de)</w:t>
            </w:r>
          </w:p>
        </w:tc>
        <w:tc>
          <w:tcPr>
            <w:tcW w:w="1701" w:type="dxa"/>
          </w:tcPr>
          <w:p w14:paraId="6EB99CA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c>
          <w:tcPr>
            <w:tcW w:w="1559" w:type="dxa"/>
          </w:tcPr>
          <w:p w14:paraId="61BA8AF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E42_Identifiant</w:t>
            </w:r>
          </w:p>
        </w:tc>
      </w:tr>
      <w:tr w:rsidR="00BF18CF" w14:paraId="0663B1AD" w14:textId="77777777" w:rsidTr="00BF18CF">
        <w:tc>
          <w:tcPr>
            <w:tcW w:w="699" w:type="dxa"/>
          </w:tcPr>
          <w:p w14:paraId="6079EE7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P102</w:t>
            </w:r>
          </w:p>
        </w:tc>
        <w:tc>
          <w:tcPr>
            <w:tcW w:w="236" w:type="dxa"/>
          </w:tcPr>
          <w:p w14:paraId="40BE95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6A6773F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P102_a_pour_titre (est_le_titre_de)</w:t>
            </w:r>
          </w:p>
        </w:tc>
        <w:tc>
          <w:tcPr>
            <w:tcW w:w="1701" w:type="dxa"/>
          </w:tcPr>
          <w:p w14:paraId="1DD9EAA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E71_Chose_élaborée_par_l’humain</w:t>
            </w:r>
          </w:p>
        </w:tc>
        <w:tc>
          <w:tcPr>
            <w:tcW w:w="1559" w:type="dxa"/>
          </w:tcPr>
          <w:p w14:paraId="4C0C13E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E35_Titre</w:t>
            </w:r>
          </w:p>
        </w:tc>
      </w:tr>
      <w:tr w:rsidR="00BF18CF" w14:paraId="5CFA6CBA" w14:textId="77777777" w:rsidTr="00BF18CF">
        <w:tc>
          <w:tcPr>
            <w:tcW w:w="699" w:type="dxa"/>
          </w:tcPr>
          <w:p w14:paraId="39A3F4E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P1i</w:t>
            </w:r>
          </w:p>
        </w:tc>
        <w:tc>
          <w:tcPr>
            <w:tcW w:w="6804" w:type="dxa"/>
            <w:gridSpan w:val="6"/>
          </w:tcPr>
          <w:p w14:paraId="61F6ADC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P1i_identifie</w:t>
            </w:r>
          </w:p>
        </w:tc>
        <w:tc>
          <w:tcPr>
            <w:tcW w:w="1701" w:type="dxa"/>
          </w:tcPr>
          <w:p w14:paraId="4F74F10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E41_Appellation</w:t>
            </w:r>
          </w:p>
        </w:tc>
        <w:tc>
          <w:tcPr>
            <w:tcW w:w="1559" w:type="dxa"/>
          </w:tcPr>
          <w:p w14:paraId="544E5AB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3EF5F264" w14:textId="77777777" w:rsidTr="00BF18CF">
        <w:tc>
          <w:tcPr>
            <w:tcW w:w="699" w:type="dxa"/>
          </w:tcPr>
          <w:p w14:paraId="0E2A04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P168</w:t>
            </w:r>
          </w:p>
        </w:tc>
        <w:tc>
          <w:tcPr>
            <w:tcW w:w="236" w:type="dxa"/>
          </w:tcPr>
          <w:p w14:paraId="7CF774F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3C4E7B7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P168_lieu_défini_par (définit_le_lieu)</w:t>
            </w:r>
          </w:p>
        </w:tc>
        <w:tc>
          <w:tcPr>
            <w:tcW w:w="1701" w:type="dxa"/>
          </w:tcPr>
          <w:p w14:paraId="29E2B74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799E0A1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E94_Primitive_spatiale</w:t>
            </w:r>
          </w:p>
        </w:tc>
      </w:tr>
      <w:tr w:rsidR="00BF18CF" w14:paraId="76E2D729" w14:textId="77777777" w:rsidTr="00BF18CF">
        <w:tc>
          <w:tcPr>
            <w:tcW w:w="699" w:type="dxa"/>
          </w:tcPr>
          <w:p w14:paraId="7C60BEA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P169</w:t>
            </w:r>
          </w:p>
        </w:tc>
        <w:tc>
          <w:tcPr>
            <w:tcW w:w="236" w:type="dxa"/>
          </w:tcPr>
          <w:p w14:paraId="267F85E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053FE7F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P169_volume_spatio-temporel_défini_par (définit_le_volume_spatio-temporel)</w:t>
            </w:r>
          </w:p>
        </w:tc>
        <w:tc>
          <w:tcPr>
            <w:tcW w:w="1701" w:type="dxa"/>
          </w:tcPr>
          <w:p w14:paraId="7FB3101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E95_Primitive_spatio-temporelle</w:t>
            </w:r>
          </w:p>
        </w:tc>
        <w:tc>
          <w:tcPr>
            <w:tcW w:w="1559" w:type="dxa"/>
          </w:tcPr>
          <w:p w14:paraId="137E7F3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r>
      <w:tr w:rsidR="00BF18CF" w14:paraId="60666987" w14:textId="77777777" w:rsidTr="00BF18CF">
        <w:tc>
          <w:tcPr>
            <w:tcW w:w="699" w:type="dxa"/>
          </w:tcPr>
          <w:p w14:paraId="776547F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P170</w:t>
            </w:r>
          </w:p>
        </w:tc>
        <w:tc>
          <w:tcPr>
            <w:tcW w:w="236" w:type="dxa"/>
          </w:tcPr>
          <w:p w14:paraId="0386A32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5F2EC41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P170_définit_le_temps (temps_défini_par)</w:t>
            </w:r>
          </w:p>
        </w:tc>
        <w:tc>
          <w:tcPr>
            <w:tcW w:w="1701" w:type="dxa"/>
          </w:tcPr>
          <w:p w14:paraId="2025C94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E61_Primitive_temporelle</w:t>
            </w:r>
          </w:p>
        </w:tc>
        <w:tc>
          <w:tcPr>
            <w:tcW w:w="1559" w:type="dxa"/>
          </w:tcPr>
          <w:p w14:paraId="64A671B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r>
      <w:tr w:rsidR="00BF18CF" w14:paraId="0B46B789" w14:textId="77777777" w:rsidTr="00BF18CF">
        <w:tc>
          <w:tcPr>
            <w:tcW w:w="699" w:type="dxa"/>
          </w:tcPr>
          <w:p w14:paraId="53EB424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w:t>
            </w:r>
          </w:p>
        </w:tc>
        <w:tc>
          <w:tcPr>
            <w:tcW w:w="6804" w:type="dxa"/>
            <w:gridSpan w:val="6"/>
          </w:tcPr>
          <w:p w14:paraId="035A564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P2_a_pour_type (est_le_type_de)</w:t>
            </w:r>
          </w:p>
        </w:tc>
        <w:tc>
          <w:tcPr>
            <w:tcW w:w="1701" w:type="dxa"/>
          </w:tcPr>
          <w:p w14:paraId="3BAD2D1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c>
          <w:tcPr>
            <w:tcW w:w="1559" w:type="dxa"/>
          </w:tcPr>
          <w:p w14:paraId="7DA703B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6D44A94B" w14:textId="77777777" w:rsidTr="00BF18CF">
        <w:tc>
          <w:tcPr>
            <w:tcW w:w="699" w:type="dxa"/>
          </w:tcPr>
          <w:p w14:paraId="32FBC8D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P137</w:t>
            </w:r>
          </w:p>
        </w:tc>
        <w:tc>
          <w:tcPr>
            <w:tcW w:w="236" w:type="dxa"/>
          </w:tcPr>
          <w:p w14:paraId="0054407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3B3ABC3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P137_exemplifie (est_exemplifié_par)</w:t>
            </w:r>
          </w:p>
        </w:tc>
        <w:tc>
          <w:tcPr>
            <w:tcW w:w="1701" w:type="dxa"/>
          </w:tcPr>
          <w:p w14:paraId="5753B51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c>
          <w:tcPr>
            <w:tcW w:w="1559" w:type="dxa"/>
          </w:tcPr>
          <w:p w14:paraId="4158230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6F2086F2" w14:textId="77777777" w:rsidTr="00BF18CF">
        <w:tc>
          <w:tcPr>
            <w:tcW w:w="699" w:type="dxa"/>
          </w:tcPr>
          <w:p w14:paraId="7E1F95B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P177</w:t>
            </w:r>
          </w:p>
        </w:tc>
        <w:tc>
          <w:tcPr>
            <w:tcW w:w="236" w:type="dxa"/>
          </w:tcPr>
          <w:p w14:paraId="1CBF3D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6FA78EB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P177_a_assigné_le_type_de_propriété (est le type de la propriété assigné) </w:t>
            </w:r>
            <w:r>
              <w:rPr>
                <w:color w:val="000000"/>
                <w:sz w:val="16"/>
                <w:szCs w:val="16"/>
              </w:rPr>
              <w:t> </w:t>
            </w:r>
          </w:p>
        </w:tc>
        <w:tc>
          <w:tcPr>
            <w:tcW w:w="1701" w:type="dxa"/>
          </w:tcPr>
          <w:p w14:paraId="0A1A472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E13_Assignation_d’attribut</w:t>
            </w:r>
          </w:p>
        </w:tc>
        <w:tc>
          <w:tcPr>
            <w:tcW w:w="1559" w:type="dxa"/>
          </w:tcPr>
          <w:p w14:paraId="2D27E8F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7F83FC82" w14:textId="77777777" w:rsidTr="00BF18CF">
        <w:tc>
          <w:tcPr>
            <w:tcW w:w="699" w:type="dxa"/>
          </w:tcPr>
          <w:p w14:paraId="4DE5D57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w:t>
            </w:r>
          </w:p>
        </w:tc>
        <w:tc>
          <w:tcPr>
            <w:tcW w:w="6804" w:type="dxa"/>
            <w:gridSpan w:val="6"/>
          </w:tcPr>
          <w:p w14:paraId="053C2C0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P3_a_pour_note</w:t>
            </w:r>
            <w:r>
              <w:rPr>
                <w:color w:val="000000"/>
                <w:sz w:val="16"/>
                <w:szCs w:val="16"/>
              </w:rPr>
              <w:t> </w:t>
            </w:r>
          </w:p>
        </w:tc>
        <w:tc>
          <w:tcPr>
            <w:tcW w:w="1701" w:type="dxa"/>
          </w:tcPr>
          <w:p w14:paraId="7072AA1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c>
          <w:tcPr>
            <w:tcW w:w="1559" w:type="dxa"/>
          </w:tcPr>
          <w:p w14:paraId="79F3229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E62_Chaîne_de_caractères</w:t>
            </w:r>
          </w:p>
        </w:tc>
      </w:tr>
      <w:tr w:rsidR="00BF18CF" w14:paraId="37F1C992" w14:textId="77777777" w:rsidTr="00BF18CF">
        <w:tc>
          <w:tcPr>
            <w:tcW w:w="699" w:type="dxa"/>
          </w:tcPr>
          <w:p w14:paraId="057B03D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P79</w:t>
            </w:r>
          </w:p>
        </w:tc>
        <w:tc>
          <w:tcPr>
            <w:tcW w:w="236" w:type="dxa"/>
          </w:tcPr>
          <w:p w14:paraId="5B4EDEE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7BCA9D5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P79_a_son_début_qualifié_par</w:t>
            </w:r>
            <w:r>
              <w:rPr>
                <w:color w:val="000000"/>
                <w:sz w:val="16"/>
                <w:szCs w:val="16"/>
              </w:rPr>
              <w:t> </w:t>
            </w:r>
          </w:p>
        </w:tc>
        <w:tc>
          <w:tcPr>
            <w:tcW w:w="1701" w:type="dxa"/>
          </w:tcPr>
          <w:p w14:paraId="2703B0E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c>
          <w:tcPr>
            <w:tcW w:w="1559" w:type="dxa"/>
          </w:tcPr>
          <w:p w14:paraId="53A6901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E62_Chaîne_de_caractères</w:t>
            </w:r>
          </w:p>
        </w:tc>
      </w:tr>
      <w:tr w:rsidR="00BF18CF" w14:paraId="428CF706" w14:textId="77777777" w:rsidTr="00BF18CF">
        <w:tc>
          <w:tcPr>
            <w:tcW w:w="699" w:type="dxa"/>
          </w:tcPr>
          <w:p w14:paraId="51CEC75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P80</w:t>
            </w:r>
          </w:p>
        </w:tc>
        <w:tc>
          <w:tcPr>
            <w:tcW w:w="236" w:type="dxa"/>
          </w:tcPr>
          <w:p w14:paraId="04C35F7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5632AE9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P80_a_sa_fin_qualifiée_par</w:t>
            </w:r>
            <w:r>
              <w:rPr>
                <w:color w:val="000000"/>
                <w:sz w:val="16"/>
                <w:szCs w:val="16"/>
              </w:rPr>
              <w:t> </w:t>
            </w:r>
          </w:p>
        </w:tc>
        <w:tc>
          <w:tcPr>
            <w:tcW w:w="1701" w:type="dxa"/>
          </w:tcPr>
          <w:p w14:paraId="7161174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c>
          <w:tcPr>
            <w:tcW w:w="1559" w:type="dxa"/>
          </w:tcPr>
          <w:p w14:paraId="34C69D4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E62_Chaîne_de_caractères</w:t>
            </w:r>
          </w:p>
        </w:tc>
      </w:tr>
      <w:tr w:rsidR="00BF18CF" w14:paraId="10AFB5C1" w14:textId="77777777" w:rsidTr="00BF18CF">
        <w:tc>
          <w:tcPr>
            <w:tcW w:w="699" w:type="dxa"/>
          </w:tcPr>
          <w:p w14:paraId="34ED848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P190</w:t>
            </w:r>
          </w:p>
        </w:tc>
        <w:tc>
          <w:tcPr>
            <w:tcW w:w="236" w:type="dxa"/>
          </w:tcPr>
          <w:p w14:paraId="1702501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4EC65CE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P190_a_pour_contenu_symbolique</w:t>
            </w:r>
          </w:p>
        </w:tc>
        <w:tc>
          <w:tcPr>
            <w:tcW w:w="1701" w:type="dxa"/>
          </w:tcPr>
          <w:p w14:paraId="2AE7547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E90_Objet_symbolique</w:t>
            </w:r>
          </w:p>
        </w:tc>
        <w:tc>
          <w:tcPr>
            <w:tcW w:w="1559" w:type="dxa"/>
          </w:tcPr>
          <w:p w14:paraId="079F98A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E62_Chaîne_de_caractères</w:t>
            </w:r>
          </w:p>
        </w:tc>
      </w:tr>
      <w:tr w:rsidR="00BF18CF" w14:paraId="0E41A6AC" w14:textId="77777777" w:rsidTr="00BF18CF">
        <w:tc>
          <w:tcPr>
            <w:tcW w:w="699" w:type="dxa"/>
          </w:tcPr>
          <w:p w14:paraId="3FDC6F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w:t>
            </w:r>
          </w:p>
        </w:tc>
        <w:tc>
          <w:tcPr>
            <w:tcW w:w="6804" w:type="dxa"/>
            <w:gridSpan w:val="6"/>
          </w:tcPr>
          <w:p w14:paraId="06A8990E" w14:textId="77777777" w:rsidR="00BF18CF" w:rsidRDefault="00E51347">
            <w:pPr>
              <w:pBdr>
                <w:top w:val="nil"/>
                <w:left w:val="nil"/>
                <w:bottom w:val="nil"/>
                <w:right w:val="nil"/>
                <w:between w:val="nil"/>
              </w:pBdr>
              <w:spacing w:before="36" w:after="36"/>
              <w:rPr>
                <w:color w:val="000000"/>
              </w:rPr>
            </w:pPr>
            <w:r>
              <w:rPr>
                <w:rFonts w:ascii="Consolas" w:eastAsia="Consolas" w:hAnsi="Consolas" w:cs="Consolas"/>
                <w:color w:val="000000"/>
                <w:sz w:val="16"/>
                <w:szCs w:val="16"/>
                <w:shd w:val="clear" w:color="auto" w:fill="EAEEF3"/>
              </w:rPr>
              <w:t>P4_a_pour_intervalle_temporel (est_l’intervalle_temporel_de)</w:t>
            </w:r>
          </w:p>
        </w:tc>
        <w:tc>
          <w:tcPr>
            <w:tcW w:w="1701" w:type="dxa"/>
          </w:tcPr>
          <w:p w14:paraId="0D045AE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7B1FCE7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r>
      <w:tr w:rsidR="00BF18CF" w14:paraId="04F48011" w14:textId="77777777" w:rsidTr="00BF18CF">
        <w:tc>
          <w:tcPr>
            <w:tcW w:w="699" w:type="dxa"/>
          </w:tcPr>
          <w:p w14:paraId="07A3C15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w:t>
            </w:r>
          </w:p>
        </w:tc>
        <w:tc>
          <w:tcPr>
            <w:tcW w:w="6804" w:type="dxa"/>
            <w:gridSpan w:val="6"/>
          </w:tcPr>
          <w:p w14:paraId="303E056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P5_comprend (fait_partie_de)</w:t>
            </w:r>
          </w:p>
        </w:tc>
        <w:tc>
          <w:tcPr>
            <w:tcW w:w="1701" w:type="dxa"/>
          </w:tcPr>
          <w:p w14:paraId="5662C4A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E3_État_matériel</w:t>
            </w:r>
          </w:p>
        </w:tc>
        <w:tc>
          <w:tcPr>
            <w:tcW w:w="1559" w:type="dxa"/>
          </w:tcPr>
          <w:p w14:paraId="261EC19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E3_État_matériel</w:t>
            </w:r>
          </w:p>
        </w:tc>
      </w:tr>
      <w:tr w:rsidR="00BF18CF" w14:paraId="2A54BDF5" w14:textId="77777777" w:rsidTr="00BF18CF">
        <w:tc>
          <w:tcPr>
            <w:tcW w:w="699" w:type="dxa"/>
          </w:tcPr>
          <w:p w14:paraId="32E1BBF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P7</w:t>
            </w:r>
          </w:p>
        </w:tc>
        <w:tc>
          <w:tcPr>
            <w:tcW w:w="6804" w:type="dxa"/>
            <w:gridSpan w:val="6"/>
          </w:tcPr>
          <w:p w14:paraId="18F561A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P7_a_eu_lieu_dans (a_été_témoin_de)</w:t>
            </w:r>
          </w:p>
        </w:tc>
        <w:tc>
          <w:tcPr>
            <w:tcW w:w="1701" w:type="dxa"/>
          </w:tcPr>
          <w:p w14:paraId="18B10D5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E4_Période</w:t>
            </w:r>
          </w:p>
        </w:tc>
        <w:tc>
          <w:tcPr>
            <w:tcW w:w="1559" w:type="dxa"/>
          </w:tcPr>
          <w:p w14:paraId="5B5A17E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5B7EEDEC" w14:textId="77777777" w:rsidTr="00BF18CF">
        <w:tc>
          <w:tcPr>
            <w:tcW w:w="699" w:type="dxa"/>
          </w:tcPr>
          <w:p w14:paraId="1008383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P8</w:t>
            </w:r>
          </w:p>
        </w:tc>
        <w:tc>
          <w:tcPr>
            <w:tcW w:w="6804" w:type="dxa"/>
            <w:gridSpan w:val="6"/>
          </w:tcPr>
          <w:p w14:paraId="2660A7F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P8_a_eu_lieu (a_été_témoin_de)</w:t>
            </w:r>
            <w:r>
              <w:rPr>
                <w:color w:val="000000"/>
                <w:sz w:val="16"/>
                <w:szCs w:val="16"/>
              </w:rPr>
              <w:t> </w:t>
            </w:r>
          </w:p>
        </w:tc>
        <w:tc>
          <w:tcPr>
            <w:tcW w:w="1701" w:type="dxa"/>
          </w:tcPr>
          <w:p w14:paraId="651955D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E4_Période</w:t>
            </w:r>
          </w:p>
        </w:tc>
        <w:tc>
          <w:tcPr>
            <w:tcW w:w="1559" w:type="dxa"/>
          </w:tcPr>
          <w:p w14:paraId="1800385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45DF40AF" w14:textId="77777777" w:rsidTr="00BF18CF">
        <w:tc>
          <w:tcPr>
            <w:tcW w:w="699" w:type="dxa"/>
          </w:tcPr>
          <w:p w14:paraId="2F7A620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w:t>
            </w:r>
          </w:p>
        </w:tc>
        <w:tc>
          <w:tcPr>
            <w:tcW w:w="6804" w:type="dxa"/>
            <w:gridSpan w:val="6"/>
          </w:tcPr>
          <w:p w14:paraId="050FAAF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P12_a_eu_lieu_en_présence_de (a_été_présent_à)</w:t>
            </w:r>
            <w:r>
              <w:rPr>
                <w:color w:val="000000"/>
                <w:sz w:val="16"/>
                <w:szCs w:val="16"/>
              </w:rPr>
              <w:t> </w:t>
            </w:r>
          </w:p>
        </w:tc>
        <w:tc>
          <w:tcPr>
            <w:tcW w:w="1701" w:type="dxa"/>
          </w:tcPr>
          <w:p w14:paraId="451DB7D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E5_Évènement</w:t>
            </w:r>
          </w:p>
        </w:tc>
        <w:tc>
          <w:tcPr>
            <w:tcW w:w="1559" w:type="dxa"/>
          </w:tcPr>
          <w:p w14:paraId="2021A5B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E77_Entité_persistante</w:t>
            </w:r>
          </w:p>
        </w:tc>
      </w:tr>
      <w:tr w:rsidR="00BF18CF" w14:paraId="0A4DE2A4" w14:textId="77777777" w:rsidTr="00BF18CF">
        <w:tc>
          <w:tcPr>
            <w:tcW w:w="699" w:type="dxa"/>
          </w:tcPr>
          <w:p w14:paraId="20C1664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P111</w:t>
            </w:r>
          </w:p>
        </w:tc>
        <w:tc>
          <w:tcPr>
            <w:tcW w:w="236" w:type="dxa"/>
          </w:tcPr>
          <w:p w14:paraId="367E3A9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239A898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P111_a_ajouté (a_été_ajouté_par)</w:t>
            </w:r>
            <w:r>
              <w:rPr>
                <w:color w:val="000000"/>
                <w:sz w:val="16"/>
                <w:szCs w:val="16"/>
              </w:rPr>
              <w:t> </w:t>
            </w:r>
          </w:p>
        </w:tc>
        <w:tc>
          <w:tcPr>
            <w:tcW w:w="1701" w:type="dxa"/>
          </w:tcPr>
          <w:p w14:paraId="7A9B9FC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E79_Ajout_d’élément</w:t>
            </w:r>
          </w:p>
        </w:tc>
        <w:tc>
          <w:tcPr>
            <w:tcW w:w="1559" w:type="dxa"/>
          </w:tcPr>
          <w:p w14:paraId="3F4D0F3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204CCBA6" w14:textId="77777777" w:rsidTr="00BF18CF">
        <w:tc>
          <w:tcPr>
            <w:tcW w:w="699" w:type="dxa"/>
          </w:tcPr>
          <w:p w14:paraId="68FC546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P113</w:t>
            </w:r>
          </w:p>
        </w:tc>
        <w:tc>
          <w:tcPr>
            <w:tcW w:w="236" w:type="dxa"/>
          </w:tcPr>
          <w:p w14:paraId="333E5D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7A9A2F5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P113_a_retiré (a_été_retiré_par)</w:t>
            </w:r>
            <w:r>
              <w:rPr>
                <w:color w:val="000000"/>
                <w:sz w:val="16"/>
                <w:szCs w:val="16"/>
              </w:rPr>
              <w:t> </w:t>
            </w:r>
          </w:p>
        </w:tc>
        <w:tc>
          <w:tcPr>
            <w:tcW w:w="1701" w:type="dxa"/>
          </w:tcPr>
          <w:p w14:paraId="08171E9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E80_Retrait_d’élément</w:t>
            </w:r>
          </w:p>
        </w:tc>
        <w:tc>
          <w:tcPr>
            <w:tcW w:w="1559" w:type="dxa"/>
          </w:tcPr>
          <w:p w14:paraId="79FDFFD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3E6B487F" w14:textId="77777777" w:rsidTr="00BF18CF">
        <w:tc>
          <w:tcPr>
            <w:tcW w:w="699" w:type="dxa"/>
          </w:tcPr>
          <w:p w14:paraId="3D2D728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P11</w:t>
            </w:r>
          </w:p>
        </w:tc>
        <w:tc>
          <w:tcPr>
            <w:tcW w:w="236" w:type="dxa"/>
          </w:tcPr>
          <w:p w14:paraId="13905D7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245F958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P11_a_eu_pour_actant_participant (a_participé_à)</w:t>
            </w:r>
            <w:r>
              <w:rPr>
                <w:color w:val="000000"/>
                <w:sz w:val="16"/>
                <w:szCs w:val="16"/>
              </w:rPr>
              <w:t> </w:t>
            </w:r>
          </w:p>
        </w:tc>
        <w:tc>
          <w:tcPr>
            <w:tcW w:w="1701" w:type="dxa"/>
          </w:tcPr>
          <w:p w14:paraId="01F8EF7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E5_Évènement</w:t>
            </w:r>
          </w:p>
        </w:tc>
        <w:tc>
          <w:tcPr>
            <w:tcW w:w="1559" w:type="dxa"/>
          </w:tcPr>
          <w:p w14:paraId="4608106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2020B91D" w14:textId="77777777" w:rsidTr="00BF18CF">
        <w:tc>
          <w:tcPr>
            <w:tcW w:w="699" w:type="dxa"/>
          </w:tcPr>
          <w:p w14:paraId="34C8F64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w:t>
            </w:r>
          </w:p>
        </w:tc>
        <w:tc>
          <w:tcPr>
            <w:tcW w:w="236" w:type="dxa"/>
          </w:tcPr>
          <w:p w14:paraId="1C9C8F8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3D3A2AE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7B8D582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P14_a_été_effectué_par (a_effectué)</w:t>
            </w:r>
            <w:r>
              <w:rPr>
                <w:color w:val="000000"/>
                <w:sz w:val="16"/>
                <w:szCs w:val="16"/>
              </w:rPr>
              <w:t> </w:t>
            </w:r>
          </w:p>
        </w:tc>
        <w:tc>
          <w:tcPr>
            <w:tcW w:w="1701" w:type="dxa"/>
          </w:tcPr>
          <w:p w14:paraId="787BC7C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3FAB0D0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6BE9D8E4" w14:textId="77777777" w:rsidTr="00BF18CF">
        <w:tc>
          <w:tcPr>
            <w:tcW w:w="699" w:type="dxa"/>
          </w:tcPr>
          <w:p w14:paraId="226A5E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P22</w:t>
            </w:r>
          </w:p>
        </w:tc>
        <w:tc>
          <w:tcPr>
            <w:tcW w:w="236" w:type="dxa"/>
          </w:tcPr>
          <w:p w14:paraId="65A54FB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11EFE2E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3AE117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095" w:type="dxa"/>
            <w:gridSpan w:val="3"/>
          </w:tcPr>
          <w:p w14:paraId="68412AF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P22_a_transféré_le_titre_de_propriété_à (a_acquis_le_titre_de_propriété_par)</w:t>
            </w:r>
          </w:p>
        </w:tc>
        <w:tc>
          <w:tcPr>
            <w:tcW w:w="1701" w:type="dxa"/>
          </w:tcPr>
          <w:p w14:paraId="27197D9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E8_Acquisition</w:t>
            </w:r>
          </w:p>
        </w:tc>
        <w:tc>
          <w:tcPr>
            <w:tcW w:w="1559" w:type="dxa"/>
          </w:tcPr>
          <w:p w14:paraId="17F34D5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2EC1CBAF" w14:textId="77777777" w:rsidTr="00BF18CF">
        <w:tc>
          <w:tcPr>
            <w:tcW w:w="699" w:type="dxa"/>
          </w:tcPr>
          <w:p w14:paraId="0532931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P23</w:t>
            </w:r>
          </w:p>
        </w:tc>
        <w:tc>
          <w:tcPr>
            <w:tcW w:w="236" w:type="dxa"/>
          </w:tcPr>
          <w:p w14:paraId="0040F74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575B1B2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5D2EC35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095" w:type="dxa"/>
            <w:gridSpan w:val="3"/>
          </w:tcPr>
          <w:p w14:paraId="66091D6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P23_a_transféré_le_titre_de_propriété_de (a_cédé_le_titre_de_propriété_à)</w:t>
            </w:r>
            <w:r>
              <w:rPr>
                <w:color w:val="000000"/>
                <w:sz w:val="16"/>
                <w:szCs w:val="16"/>
              </w:rPr>
              <w:t> </w:t>
            </w:r>
          </w:p>
        </w:tc>
        <w:tc>
          <w:tcPr>
            <w:tcW w:w="1701" w:type="dxa"/>
          </w:tcPr>
          <w:p w14:paraId="06BAAE4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E8_Acquisition</w:t>
            </w:r>
          </w:p>
        </w:tc>
        <w:tc>
          <w:tcPr>
            <w:tcW w:w="1559" w:type="dxa"/>
          </w:tcPr>
          <w:p w14:paraId="42BB83F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28C5A6AE" w14:textId="77777777" w:rsidTr="00BF18CF">
        <w:tc>
          <w:tcPr>
            <w:tcW w:w="699" w:type="dxa"/>
          </w:tcPr>
          <w:p w14:paraId="5BAFBA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P28</w:t>
            </w:r>
          </w:p>
        </w:tc>
        <w:tc>
          <w:tcPr>
            <w:tcW w:w="236" w:type="dxa"/>
          </w:tcPr>
          <w:p w14:paraId="7F8787F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0D77696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3913F65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095" w:type="dxa"/>
            <w:gridSpan w:val="3"/>
          </w:tcPr>
          <w:p w14:paraId="4DDDC0C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P28_a_mis_fin_à_la_garde_par (a_cédé_la_garde_par)</w:t>
            </w:r>
            <w:r>
              <w:rPr>
                <w:color w:val="000000"/>
                <w:sz w:val="16"/>
                <w:szCs w:val="16"/>
              </w:rPr>
              <w:t> </w:t>
            </w:r>
          </w:p>
        </w:tc>
        <w:tc>
          <w:tcPr>
            <w:tcW w:w="1701" w:type="dxa"/>
          </w:tcPr>
          <w:p w14:paraId="4F3A022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E10_Transfert_de_la_garde</w:t>
            </w:r>
          </w:p>
        </w:tc>
        <w:tc>
          <w:tcPr>
            <w:tcW w:w="1559" w:type="dxa"/>
          </w:tcPr>
          <w:p w14:paraId="7F70E31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39A2A600" w14:textId="77777777" w:rsidTr="00BF18CF">
        <w:tc>
          <w:tcPr>
            <w:tcW w:w="699" w:type="dxa"/>
          </w:tcPr>
          <w:p w14:paraId="41981E4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P29</w:t>
            </w:r>
          </w:p>
        </w:tc>
        <w:tc>
          <w:tcPr>
            <w:tcW w:w="236" w:type="dxa"/>
          </w:tcPr>
          <w:p w14:paraId="03CE650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2007AD1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61873CF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095" w:type="dxa"/>
            <w:gridSpan w:val="3"/>
          </w:tcPr>
          <w:p w14:paraId="1C3BB19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P29_a_confié_la_garde_par (a_reçu_la_garde_par)</w:t>
            </w:r>
            <w:r>
              <w:rPr>
                <w:color w:val="000000"/>
                <w:sz w:val="16"/>
                <w:szCs w:val="16"/>
              </w:rPr>
              <w:t> </w:t>
            </w:r>
          </w:p>
        </w:tc>
        <w:tc>
          <w:tcPr>
            <w:tcW w:w="1701" w:type="dxa"/>
          </w:tcPr>
          <w:p w14:paraId="3919CFF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E10_Transfert_de_la_garde</w:t>
            </w:r>
          </w:p>
        </w:tc>
        <w:tc>
          <w:tcPr>
            <w:tcW w:w="1559" w:type="dxa"/>
          </w:tcPr>
          <w:p w14:paraId="2E4C213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4B2DA75D" w14:textId="77777777" w:rsidTr="00BF18CF">
        <w:tc>
          <w:tcPr>
            <w:tcW w:w="699" w:type="dxa"/>
          </w:tcPr>
          <w:p w14:paraId="2FC72D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P96</w:t>
            </w:r>
          </w:p>
        </w:tc>
        <w:tc>
          <w:tcPr>
            <w:tcW w:w="236" w:type="dxa"/>
          </w:tcPr>
          <w:p w14:paraId="071F2B7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51D357C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33DC896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P96_de_mère (a_donné_naissance_à)</w:t>
            </w:r>
            <w:r>
              <w:rPr>
                <w:color w:val="000000"/>
                <w:sz w:val="16"/>
                <w:szCs w:val="16"/>
              </w:rPr>
              <w:t> </w:t>
            </w:r>
          </w:p>
        </w:tc>
        <w:tc>
          <w:tcPr>
            <w:tcW w:w="1701" w:type="dxa"/>
          </w:tcPr>
          <w:p w14:paraId="2E8FE8C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E67_Naissance</w:t>
            </w:r>
          </w:p>
        </w:tc>
        <w:tc>
          <w:tcPr>
            <w:tcW w:w="1559" w:type="dxa"/>
          </w:tcPr>
          <w:p w14:paraId="61E28C4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E21_Personne</w:t>
            </w:r>
          </w:p>
        </w:tc>
      </w:tr>
      <w:tr w:rsidR="00BF18CF" w14:paraId="69F71D32" w14:textId="77777777" w:rsidTr="00BF18CF">
        <w:tc>
          <w:tcPr>
            <w:tcW w:w="699" w:type="dxa"/>
          </w:tcPr>
          <w:p w14:paraId="317A6D8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P99</w:t>
            </w:r>
          </w:p>
        </w:tc>
        <w:tc>
          <w:tcPr>
            <w:tcW w:w="236" w:type="dxa"/>
          </w:tcPr>
          <w:p w14:paraId="40C7DC1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4E52F2E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5F3CBF7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P99_a_dissous (a_été_dissous_par)</w:t>
            </w:r>
            <w:r>
              <w:rPr>
                <w:color w:val="000000"/>
                <w:sz w:val="16"/>
                <w:szCs w:val="16"/>
              </w:rPr>
              <w:t> </w:t>
            </w:r>
          </w:p>
        </w:tc>
        <w:tc>
          <w:tcPr>
            <w:tcW w:w="1701" w:type="dxa"/>
          </w:tcPr>
          <w:p w14:paraId="3889F94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E68_Dissolution</w:t>
            </w:r>
          </w:p>
        </w:tc>
        <w:tc>
          <w:tcPr>
            <w:tcW w:w="1559" w:type="dxa"/>
          </w:tcPr>
          <w:p w14:paraId="202C990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E74_Groupe</w:t>
            </w:r>
          </w:p>
        </w:tc>
      </w:tr>
      <w:tr w:rsidR="00BF18CF" w14:paraId="3D5B560D" w14:textId="77777777" w:rsidTr="00BF18CF">
        <w:tc>
          <w:tcPr>
            <w:tcW w:w="699" w:type="dxa"/>
          </w:tcPr>
          <w:p w14:paraId="4827F2D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P143</w:t>
            </w:r>
          </w:p>
        </w:tc>
        <w:tc>
          <w:tcPr>
            <w:tcW w:w="236" w:type="dxa"/>
          </w:tcPr>
          <w:p w14:paraId="3F9BD64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587765A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7782F8E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P143_a_fait_adhérer (a_adhéré_par)</w:t>
            </w:r>
            <w:r>
              <w:rPr>
                <w:color w:val="000000"/>
                <w:sz w:val="16"/>
                <w:szCs w:val="16"/>
              </w:rPr>
              <w:t> </w:t>
            </w:r>
          </w:p>
        </w:tc>
        <w:tc>
          <w:tcPr>
            <w:tcW w:w="1701" w:type="dxa"/>
          </w:tcPr>
          <w:p w14:paraId="7692A15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E85_Adhésion</w:t>
            </w:r>
          </w:p>
        </w:tc>
        <w:tc>
          <w:tcPr>
            <w:tcW w:w="1559" w:type="dxa"/>
          </w:tcPr>
          <w:p w14:paraId="724432B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0AD67886" w14:textId="77777777" w:rsidTr="00BF18CF">
        <w:tc>
          <w:tcPr>
            <w:tcW w:w="699" w:type="dxa"/>
          </w:tcPr>
          <w:p w14:paraId="7400FF0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P144</w:t>
            </w:r>
          </w:p>
        </w:tc>
        <w:tc>
          <w:tcPr>
            <w:tcW w:w="236" w:type="dxa"/>
          </w:tcPr>
          <w:p w14:paraId="65445BE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0A8674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633AB12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P144_a_fait_adhérer_à (a_accueilli_le_membre_par)</w:t>
            </w:r>
            <w:r>
              <w:rPr>
                <w:color w:val="000000"/>
                <w:sz w:val="16"/>
                <w:szCs w:val="16"/>
              </w:rPr>
              <w:t> </w:t>
            </w:r>
          </w:p>
        </w:tc>
        <w:tc>
          <w:tcPr>
            <w:tcW w:w="1701" w:type="dxa"/>
          </w:tcPr>
          <w:p w14:paraId="5DAC4F6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E85_Adhésion</w:t>
            </w:r>
          </w:p>
        </w:tc>
        <w:tc>
          <w:tcPr>
            <w:tcW w:w="1559" w:type="dxa"/>
          </w:tcPr>
          <w:p w14:paraId="36703CB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E74_Groupe</w:t>
            </w:r>
          </w:p>
        </w:tc>
      </w:tr>
      <w:tr w:rsidR="00BF18CF" w14:paraId="07AC5740" w14:textId="77777777" w:rsidTr="00BF18CF">
        <w:tc>
          <w:tcPr>
            <w:tcW w:w="699" w:type="dxa"/>
          </w:tcPr>
          <w:p w14:paraId="60DA750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P145</w:t>
            </w:r>
          </w:p>
        </w:tc>
        <w:tc>
          <w:tcPr>
            <w:tcW w:w="236" w:type="dxa"/>
          </w:tcPr>
          <w:p w14:paraId="37C9AC1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4EDCFBC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0EB3C4F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P145_a_dissocié (est_dissocié_par)</w:t>
            </w:r>
            <w:r>
              <w:rPr>
                <w:color w:val="000000"/>
                <w:sz w:val="16"/>
                <w:szCs w:val="16"/>
              </w:rPr>
              <w:t> </w:t>
            </w:r>
          </w:p>
        </w:tc>
        <w:tc>
          <w:tcPr>
            <w:tcW w:w="1701" w:type="dxa"/>
          </w:tcPr>
          <w:p w14:paraId="21979F4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E86_Départ</w:t>
            </w:r>
          </w:p>
        </w:tc>
        <w:tc>
          <w:tcPr>
            <w:tcW w:w="1559" w:type="dxa"/>
          </w:tcPr>
          <w:p w14:paraId="50C744E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44C886FB" w14:textId="77777777" w:rsidTr="00BF18CF">
        <w:tc>
          <w:tcPr>
            <w:tcW w:w="699" w:type="dxa"/>
          </w:tcPr>
          <w:p w14:paraId="799BDE3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P146</w:t>
            </w:r>
          </w:p>
        </w:tc>
        <w:tc>
          <w:tcPr>
            <w:tcW w:w="236" w:type="dxa"/>
          </w:tcPr>
          <w:p w14:paraId="6BA96F2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5E1AE0F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483673C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P146_a_dissocié_de (a_perdu_le_membre_par)</w:t>
            </w:r>
            <w:r>
              <w:rPr>
                <w:color w:val="000000"/>
                <w:sz w:val="16"/>
                <w:szCs w:val="16"/>
              </w:rPr>
              <w:t> </w:t>
            </w:r>
          </w:p>
        </w:tc>
        <w:tc>
          <w:tcPr>
            <w:tcW w:w="1701" w:type="dxa"/>
          </w:tcPr>
          <w:p w14:paraId="6C04444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E86_Départ</w:t>
            </w:r>
          </w:p>
        </w:tc>
        <w:tc>
          <w:tcPr>
            <w:tcW w:w="1559" w:type="dxa"/>
          </w:tcPr>
          <w:p w14:paraId="7ABD21D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E74_Groupe</w:t>
            </w:r>
          </w:p>
        </w:tc>
      </w:tr>
      <w:tr w:rsidR="00BF18CF" w14:paraId="2C6F446D" w14:textId="77777777" w:rsidTr="00BF18CF">
        <w:tc>
          <w:tcPr>
            <w:tcW w:w="699" w:type="dxa"/>
          </w:tcPr>
          <w:p w14:paraId="5BEF1C7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P151</w:t>
            </w:r>
          </w:p>
        </w:tc>
        <w:tc>
          <w:tcPr>
            <w:tcW w:w="236" w:type="dxa"/>
          </w:tcPr>
          <w:p w14:paraId="7F24779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350CE50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4ABBEDA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P151_a_été_formé_à_partir_de (a_participé_à)</w:t>
            </w:r>
            <w:r>
              <w:rPr>
                <w:color w:val="000000"/>
                <w:sz w:val="16"/>
                <w:szCs w:val="16"/>
              </w:rPr>
              <w:t> </w:t>
            </w:r>
          </w:p>
        </w:tc>
        <w:tc>
          <w:tcPr>
            <w:tcW w:w="1701" w:type="dxa"/>
          </w:tcPr>
          <w:p w14:paraId="2699EA6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E66_Formation</w:t>
            </w:r>
          </w:p>
        </w:tc>
        <w:tc>
          <w:tcPr>
            <w:tcW w:w="1559" w:type="dxa"/>
          </w:tcPr>
          <w:p w14:paraId="79C2421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E74_Groupe</w:t>
            </w:r>
          </w:p>
        </w:tc>
      </w:tr>
      <w:tr w:rsidR="00BF18CF" w14:paraId="39A14F34" w14:textId="77777777" w:rsidTr="00BF18CF">
        <w:tc>
          <w:tcPr>
            <w:tcW w:w="699" w:type="dxa"/>
          </w:tcPr>
          <w:p w14:paraId="43A0E70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w:t>
            </w:r>
          </w:p>
        </w:tc>
        <w:tc>
          <w:tcPr>
            <w:tcW w:w="236" w:type="dxa"/>
          </w:tcPr>
          <w:p w14:paraId="0ECC0B2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44D4AA9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P16_a_mobilisé_l’objet_spécifique (a_été_mobilisé_pour)</w:t>
            </w:r>
            <w:r>
              <w:rPr>
                <w:color w:val="000000"/>
                <w:sz w:val="16"/>
                <w:szCs w:val="16"/>
              </w:rPr>
              <w:t> </w:t>
            </w:r>
          </w:p>
        </w:tc>
        <w:tc>
          <w:tcPr>
            <w:tcW w:w="1701" w:type="dxa"/>
          </w:tcPr>
          <w:p w14:paraId="2DA0368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76586ED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E70_Chose</w:t>
            </w:r>
          </w:p>
        </w:tc>
      </w:tr>
      <w:tr w:rsidR="00BF18CF" w14:paraId="5B40132D" w14:textId="77777777" w:rsidTr="00BF18CF">
        <w:tc>
          <w:tcPr>
            <w:tcW w:w="699" w:type="dxa"/>
          </w:tcPr>
          <w:p w14:paraId="7C6845B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P33</w:t>
            </w:r>
          </w:p>
        </w:tc>
        <w:tc>
          <w:tcPr>
            <w:tcW w:w="236" w:type="dxa"/>
          </w:tcPr>
          <w:p w14:paraId="474891A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4608381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445C995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P33_a_mobilisé_comme_technique_spécifique (a_été_la_technique_spécifique_mise_en_œuvre_dans)</w:t>
            </w:r>
            <w:r>
              <w:rPr>
                <w:color w:val="000000"/>
                <w:sz w:val="16"/>
                <w:szCs w:val="16"/>
              </w:rPr>
              <w:t> </w:t>
            </w:r>
          </w:p>
        </w:tc>
        <w:tc>
          <w:tcPr>
            <w:tcW w:w="1701" w:type="dxa"/>
          </w:tcPr>
          <w:p w14:paraId="2F73169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6D3667F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E29_Conceptualisation_ou_procédure</w:t>
            </w:r>
          </w:p>
        </w:tc>
      </w:tr>
      <w:tr w:rsidR="00BF18CF" w14:paraId="4AC029B4" w14:textId="77777777" w:rsidTr="00BF18CF">
        <w:tc>
          <w:tcPr>
            <w:tcW w:w="699" w:type="dxa"/>
          </w:tcPr>
          <w:p w14:paraId="442C7D1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P111</w:t>
            </w:r>
          </w:p>
        </w:tc>
        <w:tc>
          <w:tcPr>
            <w:tcW w:w="236" w:type="dxa"/>
          </w:tcPr>
          <w:p w14:paraId="79C7A9B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7BC7449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26A071F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P111_a_ajouté (a_été_ajouté_par)</w:t>
            </w:r>
            <w:r>
              <w:rPr>
                <w:color w:val="000000"/>
                <w:sz w:val="16"/>
                <w:szCs w:val="16"/>
              </w:rPr>
              <w:t> </w:t>
            </w:r>
          </w:p>
        </w:tc>
        <w:tc>
          <w:tcPr>
            <w:tcW w:w="1701" w:type="dxa"/>
          </w:tcPr>
          <w:p w14:paraId="743FC67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E79_Ajout_d’élément</w:t>
            </w:r>
          </w:p>
        </w:tc>
        <w:tc>
          <w:tcPr>
            <w:tcW w:w="1559" w:type="dxa"/>
          </w:tcPr>
          <w:p w14:paraId="4DAEECD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001618D2" w14:textId="77777777" w:rsidTr="00BF18CF">
        <w:tc>
          <w:tcPr>
            <w:tcW w:w="699" w:type="dxa"/>
          </w:tcPr>
          <w:p w14:paraId="490CAA1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P142</w:t>
            </w:r>
          </w:p>
        </w:tc>
        <w:tc>
          <w:tcPr>
            <w:tcW w:w="236" w:type="dxa"/>
          </w:tcPr>
          <w:p w14:paraId="05E5398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45DD94D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60A4B66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P142_a_mobilisé_comme_élément (a_été_mobilisé_dans)</w:t>
            </w:r>
            <w:r>
              <w:rPr>
                <w:color w:val="000000"/>
                <w:sz w:val="16"/>
                <w:szCs w:val="16"/>
              </w:rPr>
              <w:t> </w:t>
            </w:r>
          </w:p>
        </w:tc>
        <w:tc>
          <w:tcPr>
            <w:tcW w:w="1701" w:type="dxa"/>
          </w:tcPr>
          <w:p w14:paraId="29F7732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E15_Assignation_d’identifiant</w:t>
            </w:r>
          </w:p>
        </w:tc>
        <w:tc>
          <w:tcPr>
            <w:tcW w:w="1559" w:type="dxa"/>
          </w:tcPr>
          <w:p w14:paraId="1508725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E90_Objet_symbolique</w:t>
            </w:r>
          </w:p>
        </w:tc>
      </w:tr>
      <w:tr w:rsidR="00BF18CF" w14:paraId="2EA18113" w14:textId="77777777" w:rsidTr="00BF18CF">
        <w:tc>
          <w:tcPr>
            <w:tcW w:w="699" w:type="dxa"/>
          </w:tcPr>
          <w:p w14:paraId="6AC2D4C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P25</w:t>
            </w:r>
          </w:p>
        </w:tc>
        <w:tc>
          <w:tcPr>
            <w:tcW w:w="236" w:type="dxa"/>
          </w:tcPr>
          <w:p w14:paraId="4F69C1B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273A694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P25_a_déplacé (a_été_déplacé_par)</w:t>
            </w:r>
          </w:p>
        </w:tc>
        <w:tc>
          <w:tcPr>
            <w:tcW w:w="1701" w:type="dxa"/>
          </w:tcPr>
          <w:p w14:paraId="06E54E5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E9_Déplacement</w:t>
            </w:r>
          </w:p>
        </w:tc>
        <w:tc>
          <w:tcPr>
            <w:tcW w:w="1559" w:type="dxa"/>
          </w:tcPr>
          <w:p w14:paraId="25FB240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E19_Objet_matériel</w:t>
            </w:r>
          </w:p>
        </w:tc>
      </w:tr>
      <w:tr w:rsidR="00BF18CF" w14:paraId="1DC2E1C1" w14:textId="77777777" w:rsidTr="00BF18CF">
        <w:tc>
          <w:tcPr>
            <w:tcW w:w="699" w:type="dxa"/>
          </w:tcPr>
          <w:p w14:paraId="04E184A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P31</w:t>
            </w:r>
          </w:p>
        </w:tc>
        <w:tc>
          <w:tcPr>
            <w:tcW w:w="236" w:type="dxa"/>
          </w:tcPr>
          <w:p w14:paraId="5AAAD0D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661A773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P31_a_modifié (a_été_modifié_par)</w:t>
            </w:r>
            <w:r>
              <w:rPr>
                <w:color w:val="000000"/>
                <w:sz w:val="16"/>
                <w:szCs w:val="16"/>
              </w:rPr>
              <w:t> </w:t>
            </w:r>
          </w:p>
        </w:tc>
        <w:tc>
          <w:tcPr>
            <w:tcW w:w="1701" w:type="dxa"/>
          </w:tcPr>
          <w:p w14:paraId="205D1C4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E11_Modification</w:t>
            </w:r>
          </w:p>
        </w:tc>
        <w:tc>
          <w:tcPr>
            <w:tcW w:w="1559" w:type="dxa"/>
          </w:tcPr>
          <w:p w14:paraId="2F13983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62A43F98" w14:textId="77777777" w:rsidTr="00BF18CF">
        <w:tc>
          <w:tcPr>
            <w:tcW w:w="699" w:type="dxa"/>
          </w:tcPr>
          <w:p w14:paraId="585B5AF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P108</w:t>
            </w:r>
          </w:p>
        </w:tc>
        <w:tc>
          <w:tcPr>
            <w:tcW w:w="236" w:type="dxa"/>
          </w:tcPr>
          <w:p w14:paraId="43BCA15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3687A0D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0C321E1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P108_a_produit (a_été_produit_par)</w:t>
            </w:r>
            <w:r>
              <w:rPr>
                <w:color w:val="000000"/>
                <w:sz w:val="16"/>
                <w:szCs w:val="16"/>
              </w:rPr>
              <w:t> </w:t>
            </w:r>
          </w:p>
        </w:tc>
        <w:tc>
          <w:tcPr>
            <w:tcW w:w="1701" w:type="dxa"/>
          </w:tcPr>
          <w:p w14:paraId="79B924D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E12_Production</w:t>
            </w:r>
          </w:p>
        </w:tc>
        <w:tc>
          <w:tcPr>
            <w:tcW w:w="1559" w:type="dxa"/>
          </w:tcPr>
          <w:p w14:paraId="4EC7D0D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E24_Chose_matérielle_élaborée_par_l’humain</w:t>
            </w:r>
          </w:p>
        </w:tc>
      </w:tr>
      <w:tr w:rsidR="00BF18CF" w14:paraId="142B5A78" w14:textId="77777777" w:rsidTr="00BF18CF">
        <w:tc>
          <w:tcPr>
            <w:tcW w:w="699" w:type="dxa"/>
          </w:tcPr>
          <w:p w14:paraId="5228827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P110</w:t>
            </w:r>
          </w:p>
        </w:tc>
        <w:tc>
          <w:tcPr>
            <w:tcW w:w="236" w:type="dxa"/>
          </w:tcPr>
          <w:p w14:paraId="7722A7D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078D9FF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5F3DF3A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P110_a_augmenté (a_été_augmenté_par)</w:t>
            </w:r>
            <w:r>
              <w:rPr>
                <w:color w:val="000000"/>
                <w:sz w:val="16"/>
                <w:szCs w:val="16"/>
              </w:rPr>
              <w:t> </w:t>
            </w:r>
          </w:p>
        </w:tc>
        <w:tc>
          <w:tcPr>
            <w:tcW w:w="1701" w:type="dxa"/>
          </w:tcPr>
          <w:p w14:paraId="66B87D3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E79_Ajout_d’élément</w:t>
            </w:r>
          </w:p>
        </w:tc>
        <w:tc>
          <w:tcPr>
            <w:tcW w:w="1559" w:type="dxa"/>
          </w:tcPr>
          <w:p w14:paraId="4EA7BDD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E24_Chose_matérielle_élaborée_par_l’humain</w:t>
            </w:r>
          </w:p>
        </w:tc>
      </w:tr>
      <w:tr w:rsidR="00BF18CF" w14:paraId="29822A6B" w14:textId="77777777" w:rsidTr="00BF18CF">
        <w:tc>
          <w:tcPr>
            <w:tcW w:w="699" w:type="dxa"/>
          </w:tcPr>
          <w:p w14:paraId="5E3A744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P112</w:t>
            </w:r>
          </w:p>
        </w:tc>
        <w:tc>
          <w:tcPr>
            <w:tcW w:w="236" w:type="dxa"/>
          </w:tcPr>
          <w:p w14:paraId="038AA01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782CF2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6F4D64D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P112_a_diminué (a_été_diminué_par)</w:t>
            </w:r>
          </w:p>
        </w:tc>
        <w:tc>
          <w:tcPr>
            <w:tcW w:w="1701" w:type="dxa"/>
          </w:tcPr>
          <w:p w14:paraId="07232AD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E80_Retrait_d’élément</w:t>
            </w:r>
          </w:p>
        </w:tc>
        <w:tc>
          <w:tcPr>
            <w:tcW w:w="1559" w:type="dxa"/>
          </w:tcPr>
          <w:p w14:paraId="6B2FF2C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E24_Chose_matérielle_élaborée_par_l’humain</w:t>
            </w:r>
          </w:p>
        </w:tc>
      </w:tr>
      <w:tr w:rsidR="00BF18CF" w14:paraId="0D6B9253" w14:textId="77777777" w:rsidTr="00BF18CF">
        <w:tc>
          <w:tcPr>
            <w:tcW w:w="699" w:type="dxa"/>
          </w:tcPr>
          <w:p w14:paraId="01A2083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P92</w:t>
            </w:r>
          </w:p>
        </w:tc>
        <w:tc>
          <w:tcPr>
            <w:tcW w:w="236" w:type="dxa"/>
          </w:tcPr>
          <w:p w14:paraId="4022DCE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14828F5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P92_a_fait_exister (a_commencé_à_exister_par)</w:t>
            </w:r>
            <w:r>
              <w:rPr>
                <w:color w:val="000000"/>
                <w:sz w:val="16"/>
                <w:szCs w:val="16"/>
              </w:rPr>
              <w:t> </w:t>
            </w:r>
          </w:p>
        </w:tc>
        <w:tc>
          <w:tcPr>
            <w:tcW w:w="1701" w:type="dxa"/>
          </w:tcPr>
          <w:p w14:paraId="6FC1219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E63_Début_d’existence</w:t>
            </w:r>
          </w:p>
        </w:tc>
        <w:tc>
          <w:tcPr>
            <w:tcW w:w="1559" w:type="dxa"/>
          </w:tcPr>
          <w:p w14:paraId="5F319D4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E77_Entité_persistante</w:t>
            </w:r>
          </w:p>
        </w:tc>
      </w:tr>
      <w:tr w:rsidR="00BF18CF" w14:paraId="297C6E38" w14:textId="77777777" w:rsidTr="00BF18CF">
        <w:tc>
          <w:tcPr>
            <w:tcW w:w="699" w:type="dxa"/>
          </w:tcPr>
          <w:p w14:paraId="72D9325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P94</w:t>
            </w:r>
          </w:p>
        </w:tc>
        <w:tc>
          <w:tcPr>
            <w:tcW w:w="236" w:type="dxa"/>
          </w:tcPr>
          <w:p w14:paraId="116D630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2C7C4C7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378E846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P94_a_créé (a_été_créé_par)</w:t>
            </w:r>
            <w:r>
              <w:rPr>
                <w:color w:val="000000"/>
                <w:sz w:val="16"/>
                <w:szCs w:val="16"/>
              </w:rPr>
              <w:t> </w:t>
            </w:r>
          </w:p>
        </w:tc>
        <w:tc>
          <w:tcPr>
            <w:tcW w:w="1701" w:type="dxa"/>
          </w:tcPr>
          <w:p w14:paraId="7179C04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E65_Création</w:t>
            </w:r>
          </w:p>
        </w:tc>
        <w:tc>
          <w:tcPr>
            <w:tcW w:w="1559" w:type="dxa"/>
          </w:tcPr>
          <w:p w14:paraId="66D2365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E28_Objet_conceptuel</w:t>
            </w:r>
          </w:p>
        </w:tc>
      </w:tr>
      <w:tr w:rsidR="00BF18CF" w14:paraId="4345EE42" w14:textId="77777777" w:rsidTr="00BF18CF">
        <w:tc>
          <w:tcPr>
            <w:tcW w:w="699" w:type="dxa"/>
          </w:tcPr>
          <w:p w14:paraId="259D2B6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P135</w:t>
            </w:r>
          </w:p>
        </w:tc>
        <w:tc>
          <w:tcPr>
            <w:tcW w:w="236" w:type="dxa"/>
          </w:tcPr>
          <w:p w14:paraId="19976FE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61ABD39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17E050C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095" w:type="dxa"/>
            <w:gridSpan w:val="3"/>
          </w:tcPr>
          <w:p w14:paraId="138863E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P135_a_créé_le_type (a_été_créé_par)</w:t>
            </w:r>
            <w:r>
              <w:rPr>
                <w:color w:val="000000"/>
                <w:sz w:val="16"/>
                <w:szCs w:val="16"/>
              </w:rPr>
              <w:t> </w:t>
            </w:r>
          </w:p>
        </w:tc>
        <w:tc>
          <w:tcPr>
            <w:tcW w:w="1701" w:type="dxa"/>
          </w:tcPr>
          <w:p w14:paraId="726D347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E83_Création_de_type</w:t>
            </w:r>
          </w:p>
        </w:tc>
        <w:tc>
          <w:tcPr>
            <w:tcW w:w="1559" w:type="dxa"/>
          </w:tcPr>
          <w:p w14:paraId="62827EC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19CC06E8" w14:textId="77777777" w:rsidTr="00BF18CF">
        <w:tc>
          <w:tcPr>
            <w:tcW w:w="699" w:type="dxa"/>
          </w:tcPr>
          <w:p w14:paraId="6CD237A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P95</w:t>
            </w:r>
          </w:p>
        </w:tc>
        <w:tc>
          <w:tcPr>
            <w:tcW w:w="236" w:type="dxa"/>
          </w:tcPr>
          <w:p w14:paraId="57AD440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2D16A17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583D60E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P95_a_fondé (a_été_fondé_par)</w:t>
            </w:r>
            <w:r>
              <w:rPr>
                <w:color w:val="000000"/>
                <w:sz w:val="16"/>
                <w:szCs w:val="16"/>
              </w:rPr>
              <w:t> </w:t>
            </w:r>
          </w:p>
        </w:tc>
        <w:tc>
          <w:tcPr>
            <w:tcW w:w="1701" w:type="dxa"/>
          </w:tcPr>
          <w:p w14:paraId="45BB050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E66_Formation</w:t>
            </w:r>
          </w:p>
        </w:tc>
        <w:tc>
          <w:tcPr>
            <w:tcW w:w="1559" w:type="dxa"/>
          </w:tcPr>
          <w:p w14:paraId="32BD0DE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E74_Groupe</w:t>
            </w:r>
          </w:p>
        </w:tc>
      </w:tr>
      <w:tr w:rsidR="00BF18CF" w14:paraId="1BA7918D" w14:textId="77777777" w:rsidTr="00BF18CF">
        <w:tc>
          <w:tcPr>
            <w:tcW w:w="699" w:type="dxa"/>
          </w:tcPr>
          <w:p w14:paraId="4331A28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P98</w:t>
            </w:r>
          </w:p>
        </w:tc>
        <w:tc>
          <w:tcPr>
            <w:tcW w:w="236" w:type="dxa"/>
          </w:tcPr>
          <w:p w14:paraId="62353AB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2F1A22E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18B98FA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P98_a_donné_vie_à (a_été_dissous_par)</w:t>
            </w:r>
            <w:r>
              <w:rPr>
                <w:color w:val="000000"/>
                <w:sz w:val="16"/>
                <w:szCs w:val="16"/>
              </w:rPr>
              <w:t> </w:t>
            </w:r>
          </w:p>
        </w:tc>
        <w:tc>
          <w:tcPr>
            <w:tcW w:w="1701" w:type="dxa"/>
          </w:tcPr>
          <w:p w14:paraId="21C9833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E67_Naissance</w:t>
            </w:r>
          </w:p>
        </w:tc>
        <w:tc>
          <w:tcPr>
            <w:tcW w:w="1559" w:type="dxa"/>
          </w:tcPr>
          <w:p w14:paraId="4ABBA4A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E21_Personne</w:t>
            </w:r>
          </w:p>
        </w:tc>
      </w:tr>
      <w:tr w:rsidR="00BF18CF" w14:paraId="0D3CD1FE" w14:textId="77777777" w:rsidTr="00BF18CF">
        <w:tc>
          <w:tcPr>
            <w:tcW w:w="699" w:type="dxa"/>
          </w:tcPr>
          <w:p w14:paraId="068798A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P108</w:t>
            </w:r>
          </w:p>
        </w:tc>
        <w:tc>
          <w:tcPr>
            <w:tcW w:w="236" w:type="dxa"/>
          </w:tcPr>
          <w:p w14:paraId="1AF71A2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14B21BF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0FE77A2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P108_a_produit (a_été_produit_par)</w:t>
            </w:r>
            <w:r>
              <w:rPr>
                <w:color w:val="000000"/>
                <w:sz w:val="16"/>
                <w:szCs w:val="16"/>
              </w:rPr>
              <w:t> </w:t>
            </w:r>
          </w:p>
        </w:tc>
        <w:tc>
          <w:tcPr>
            <w:tcW w:w="1701" w:type="dxa"/>
          </w:tcPr>
          <w:p w14:paraId="3E45A5B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E12_Production</w:t>
            </w:r>
          </w:p>
        </w:tc>
        <w:tc>
          <w:tcPr>
            <w:tcW w:w="1559" w:type="dxa"/>
          </w:tcPr>
          <w:p w14:paraId="10F4751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E24_Chose_matérielle_élaborée_par_l’humain</w:t>
            </w:r>
          </w:p>
        </w:tc>
      </w:tr>
      <w:tr w:rsidR="00BF18CF" w14:paraId="18CE62E7" w14:textId="77777777" w:rsidTr="00BF18CF">
        <w:tc>
          <w:tcPr>
            <w:tcW w:w="699" w:type="dxa"/>
          </w:tcPr>
          <w:p w14:paraId="7150C08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P123</w:t>
            </w:r>
          </w:p>
        </w:tc>
        <w:tc>
          <w:tcPr>
            <w:tcW w:w="236" w:type="dxa"/>
          </w:tcPr>
          <w:p w14:paraId="41F80C2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63F65AA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7CFFAA0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P123_a_eu_pour_résultat (a_résulté_de)</w:t>
            </w:r>
            <w:r>
              <w:rPr>
                <w:color w:val="000000"/>
                <w:sz w:val="16"/>
                <w:szCs w:val="16"/>
              </w:rPr>
              <w:t> </w:t>
            </w:r>
          </w:p>
        </w:tc>
        <w:tc>
          <w:tcPr>
            <w:tcW w:w="1701" w:type="dxa"/>
          </w:tcPr>
          <w:p w14:paraId="7729C83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E81_Transformation</w:t>
            </w:r>
          </w:p>
        </w:tc>
        <w:tc>
          <w:tcPr>
            <w:tcW w:w="1559" w:type="dxa"/>
          </w:tcPr>
          <w:p w14:paraId="18F20C4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E77_Entité_persistante</w:t>
            </w:r>
          </w:p>
        </w:tc>
      </w:tr>
      <w:tr w:rsidR="00BF18CF" w14:paraId="4E6A0408" w14:textId="77777777" w:rsidTr="00BF18CF">
        <w:tc>
          <w:tcPr>
            <w:tcW w:w="699" w:type="dxa"/>
          </w:tcPr>
          <w:p w14:paraId="40B5009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P93</w:t>
            </w:r>
          </w:p>
        </w:tc>
        <w:tc>
          <w:tcPr>
            <w:tcW w:w="236" w:type="dxa"/>
          </w:tcPr>
          <w:p w14:paraId="7AE4CEC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36DCFF3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P93_a_mis_fin_à_l’existence_de (a_cessé_d’exister_par)</w:t>
            </w:r>
            <w:r>
              <w:rPr>
                <w:color w:val="000000"/>
                <w:sz w:val="16"/>
                <w:szCs w:val="16"/>
              </w:rPr>
              <w:t> </w:t>
            </w:r>
          </w:p>
        </w:tc>
        <w:tc>
          <w:tcPr>
            <w:tcW w:w="1701" w:type="dxa"/>
          </w:tcPr>
          <w:p w14:paraId="573865F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E64_Fin_d’existence</w:t>
            </w:r>
          </w:p>
        </w:tc>
        <w:tc>
          <w:tcPr>
            <w:tcW w:w="1559" w:type="dxa"/>
          </w:tcPr>
          <w:p w14:paraId="29AC349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E77_Entité_persistante</w:t>
            </w:r>
          </w:p>
        </w:tc>
      </w:tr>
      <w:tr w:rsidR="00BF18CF" w14:paraId="2ECB8B21" w14:textId="77777777" w:rsidTr="00BF18CF">
        <w:tc>
          <w:tcPr>
            <w:tcW w:w="699" w:type="dxa"/>
          </w:tcPr>
          <w:p w14:paraId="542980D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P13</w:t>
            </w:r>
          </w:p>
        </w:tc>
        <w:tc>
          <w:tcPr>
            <w:tcW w:w="236" w:type="dxa"/>
          </w:tcPr>
          <w:p w14:paraId="573FD0E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463F0FB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7C4B478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P13_a_détruit (a_été_détruit_par)</w:t>
            </w:r>
            <w:r>
              <w:rPr>
                <w:color w:val="000000"/>
                <w:sz w:val="16"/>
                <w:szCs w:val="16"/>
              </w:rPr>
              <w:t> </w:t>
            </w:r>
          </w:p>
        </w:tc>
        <w:tc>
          <w:tcPr>
            <w:tcW w:w="1701" w:type="dxa"/>
          </w:tcPr>
          <w:p w14:paraId="6F041AF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E6_Destruction</w:t>
            </w:r>
          </w:p>
        </w:tc>
        <w:tc>
          <w:tcPr>
            <w:tcW w:w="1559" w:type="dxa"/>
          </w:tcPr>
          <w:p w14:paraId="0B8CACB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59A975CA" w14:textId="77777777" w:rsidTr="00BF18CF">
        <w:tc>
          <w:tcPr>
            <w:tcW w:w="699" w:type="dxa"/>
          </w:tcPr>
          <w:p w14:paraId="51A53A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P99</w:t>
            </w:r>
          </w:p>
        </w:tc>
        <w:tc>
          <w:tcPr>
            <w:tcW w:w="236" w:type="dxa"/>
          </w:tcPr>
          <w:p w14:paraId="4AD034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3070B69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6F1A968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P99_a_dissous (a_été_dissous_par)</w:t>
            </w:r>
            <w:r>
              <w:rPr>
                <w:color w:val="000000"/>
                <w:sz w:val="16"/>
                <w:szCs w:val="16"/>
              </w:rPr>
              <w:t> </w:t>
            </w:r>
          </w:p>
        </w:tc>
        <w:tc>
          <w:tcPr>
            <w:tcW w:w="1701" w:type="dxa"/>
          </w:tcPr>
          <w:p w14:paraId="6A0E802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E68_Dissolution</w:t>
            </w:r>
          </w:p>
        </w:tc>
        <w:tc>
          <w:tcPr>
            <w:tcW w:w="1559" w:type="dxa"/>
          </w:tcPr>
          <w:p w14:paraId="4958405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E74_Groupe</w:t>
            </w:r>
          </w:p>
        </w:tc>
      </w:tr>
      <w:tr w:rsidR="00BF18CF" w14:paraId="7A98722D" w14:textId="77777777" w:rsidTr="00BF18CF">
        <w:tc>
          <w:tcPr>
            <w:tcW w:w="699" w:type="dxa"/>
          </w:tcPr>
          <w:p w14:paraId="5518AFF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P100</w:t>
            </w:r>
          </w:p>
        </w:tc>
        <w:tc>
          <w:tcPr>
            <w:tcW w:w="236" w:type="dxa"/>
          </w:tcPr>
          <w:p w14:paraId="2F23213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71BE4BA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2C69AF4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P100_a_été_la_mort_de (est_mort_par)</w:t>
            </w:r>
            <w:r>
              <w:rPr>
                <w:color w:val="000000"/>
                <w:sz w:val="16"/>
                <w:szCs w:val="16"/>
              </w:rPr>
              <w:t> </w:t>
            </w:r>
          </w:p>
        </w:tc>
        <w:tc>
          <w:tcPr>
            <w:tcW w:w="1701" w:type="dxa"/>
          </w:tcPr>
          <w:p w14:paraId="6D76B7D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E69_Mort</w:t>
            </w:r>
          </w:p>
        </w:tc>
        <w:tc>
          <w:tcPr>
            <w:tcW w:w="1559" w:type="dxa"/>
          </w:tcPr>
          <w:p w14:paraId="7E78C7D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E21_Personne</w:t>
            </w:r>
          </w:p>
        </w:tc>
      </w:tr>
      <w:tr w:rsidR="00BF18CF" w14:paraId="7B13C5CC" w14:textId="77777777" w:rsidTr="00BF18CF">
        <w:tc>
          <w:tcPr>
            <w:tcW w:w="699" w:type="dxa"/>
          </w:tcPr>
          <w:p w14:paraId="4561232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P124</w:t>
            </w:r>
          </w:p>
        </w:tc>
        <w:tc>
          <w:tcPr>
            <w:tcW w:w="236" w:type="dxa"/>
          </w:tcPr>
          <w:p w14:paraId="3A8E844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0875945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21C809A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P124_a_transformé (a_été_transformé_par)</w:t>
            </w:r>
            <w:r>
              <w:rPr>
                <w:color w:val="000000"/>
                <w:sz w:val="16"/>
                <w:szCs w:val="16"/>
              </w:rPr>
              <w:t> </w:t>
            </w:r>
          </w:p>
        </w:tc>
        <w:tc>
          <w:tcPr>
            <w:tcW w:w="1701" w:type="dxa"/>
          </w:tcPr>
          <w:p w14:paraId="1226E27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E81_Transformation</w:t>
            </w:r>
          </w:p>
        </w:tc>
        <w:tc>
          <w:tcPr>
            <w:tcW w:w="1559" w:type="dxa"/>
          </w:tcPr>
          <w:p w14:paraId="78CA11A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E77_Entité_persistante</w:t>
            </w:r>
          </w:p>
        </w:tc>
      </w:tr>
      <w:tr w:rsidR="00BF18CF" w14:paraId="2379CFD6" w14:textId="77777777" w:rsidTr="00BF18CF">
        <w:tc>
          <w:tcPr>
            <w:tcW w:w="699" w:type="dxa"/>
          </w:tcPr>
          <w:p w14:paraId="409821D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P15</w:t>
            </w:r>
          </w:p>
        </w:tc>
        <w:tc>
          <w:tcPr>
            <w:tcW w:w="6804" w:type="dxa"/>
            <w:gridSpan w:val="6"/>
          </w:tcPr>
          <w:p w14:paraId="2756086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P15_a_été_influencé_par (a_influencé)</w:t>
            </w:r>
            <w:r>
              <w:rPr>
                <w:color w:val="000000"/>
                <w:sz w:val="16"/>
                <w:szCs w:val="16"/>
              </w:rPr>
              <w:t> </w:t>
            </w:r>
          </w:p>
        </w:tc>
        <w:tc>
          <w:tcPr>
            <w:tcW w:w="1701" w:type="dxa"/>
          </w:tcPr>
          <w:p w14:paraId="2A8CF0B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7BFC91F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7FE78EFF" w14:textId="77777777" w:rsidTr="00BF18CF">
        <w:tc>
          <w:tcPr>
            <w:tcW w:w="699" w:type="dxa"/>
          </w:tcPr>
          <w:p w14:paraId="1327034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w:t>
            </w:r>
          </w:p>
        </w:tc>
        <w:tc>
          <w:tcPr>
            <w:tcW w:w="236" w:type="dxa"/>
          </w:tcPr>
          <w:p w14:paraId="5AB6BAE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2F2C00A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P16_a_mobilisé_l’objet_spécifique (a_été_mobilisé_pour)</w:t>
            </w:r>
            <w:r>
              <w:rPr>
                <w:color w:val="000000"/>
                <w:sz w:val="16"/>
                <w:szCs w:val="16"/>
              </w:rPr>
              <w:t> </w:t>
            </w:r>
          </w:p>
        </w:tc>
        <w:tc>
          <w:tcPr>
            <w:tcW w:w="1701" w:type="dxa"/>
          </w:tcPr>
          <w:p w14:paraId="462232B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28FFFF0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E70_Chose</w:t>
            </w:r>
          </w:p>
        </w:tc>
      </w:tr>
      <w:tr w:rsidR="00BF18CF" w14:paraId="7E3EC427" w14:textId="77777777" w:rsidTr="00BF18CF">
        <w:tc>
          <w:tcPr>
            <w:tcW w:w="699" w:type="dxa"/>
          </w:tcPr>
          <w:p w14:paraId="7165DC9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P33</w:t>
            </w:r>
          </w:p>
        </w:tc>
        <w:tc>
          <w:tcPr>
            <w:tcW w:w="236" w:type="dxa"/>
          </w:tcPr>
          <w:p w14:paraId="6BCBCAB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042BD9A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214A483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P33_a_mobilisé_comme_technique_spécifique (a_été_la_technique_spécifique_mise_en_œuvre_dans)</w:t>
            </w:r>
            <w:r>
              <w:rPr>
                <w:color w:val="000000"/>
                <w:sz w:val="16"/>
                <w:szCs w:val="16"/>
              </w:rPr>
              <w:t> </w:t>
            </w:r>
          </w:p>
        </w:tc>
        <w:tc>
          <w:tcPr>
            <w:tcW w:w="1701" w:type="dxa"/>
          </w:tcPr>
          <w:p w14:paraId="39C150A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E11_Modification</w:t>
            </w:r>
          </w:p>
        </w:tc>
        <w:tc>
          <w:tcPr>
            <w:tcW w:w="1559" w:type="dxa"/>
          </w:tcPr>
          <w:p w14:paraId="4840EFD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E29_Conceptualisation_ou_procédure</w:t>
            </w:r>
          </w:p>
        </w:tc>
      </w:tr>
      <w:tr w:rsidR="00BF18CF" w14:paraId="497FE7D4" w14:textId="77777777" w:rsidTr="00BF18CF">
        <w:tc>
          <w:tcPr>
            <w:tcW w:w="699" w:type="dxa"/>
          </w:tcPr>
          <w:p w14:paraId="48F8085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P111</w:t>
            </w:r>
          </w:p>
        </w:tc>
        <w:tc>
          <w:tcPr>
            <w:tcW w:w="236" w:type="dxa"/>
          </w:tcPr>
          <w:p w14:paraId="6E64313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14C1F03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6F2A306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P111_a_ajouté (a_été_ajouté_par)</w:t>
            </w:r>
            <w:r>
              <w:rPr>
                <w:color w:val="000000"/>
                <w:sz w:val="16"/>
                <w:szCs w:val="16"/>
              </w:rPr>
              <w:t> </w:t>
            </w:r>
          </w:p>
        </w:tc>
        <w:tc>
          <w:tcPr>
            <w:tcW w:w="1701" w:type="dxa"/>
          </w:tcPr>
          <w:p w14:paraId="408F838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E79_Ajout_d’élément</w:t>
            </w:r>
          </w:p>
        </w:tc>
        <w:tc>
          <w:tcPr>
            <w:tcW w:w="1559" w:type="dxa"/>
          </w:tcPr>
          <w:p w14:paraId="5CB5E78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65C1F493" w14:textId="77777777" w:rsidTr="00BF18CF">
        <w:tc>
          <w:tcPr>
            <w:tcW w:w="699" w:type="dxa"/>
          </w:tcPr>
          <w:p w14:paraId="4AED9C4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P142</w:t>
            </w:r>
          </w:p>
        </w:tc>
        <w:tc>
          <w:tcPr>
            <w:tcW w:w="236" w:type="dxa"/>
          </w:tcPr>
          <w:p w14:paraId="1891886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222B39E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6F5A16C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P142_a_mobilisé_comme_élément (a_été_mobilisé_dans)</w:t>
            </w:r>
            <w:r>
              <w:rPr>
                <w:color w:val="000000"/>
                <w:sz w:val="16"/>
                <w:szCs w:val="16"/>
              </w:rPr>
              <w:t> </w:t>
            </w:r>
          </w:p>
        </w:tc>
        <w:tc>
          <w:tcPr>
            <w:tcW w:w="1701" w:type="dxa"/>
          </w:tcPr>
          <w:p w14:paraId="6E27EC4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E15_Assignation_d’identifiant</w:t>
            </w:r>
          </w:p>
        </w:tc>
        <w:tc>
          <w:tcPr>
            <w:tcW w:w="1559" w:type="dxa"/>
          </w:tcPr>
          <w:p w14:paraId="0C9FB3D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E90_Objet_symbolique</w:t>
            </w:r>
          </w:p>
        </w:tc>
      </w:tr>
      <w:tr w:rsidR="00BF18CF" w14:paraId="67963D2F" w14:textId="77777777" w:rsidTr="00BF18CF">
        <w:tc>
          <w:tcPr>
            <w:tcW w:w="699" w:type="dxa"/>
          </w:tcPr>
          <w:p w14:paraId="5CD0863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w:t>
            </w:r>
          </w:p>
        </w:tc>
        <w:tc>
          <w:tcPr>
            <w:tcW w:w="236" w:type="dxa"/>
          </w:tcPr>
          <w:p w14:paraId="46B9CB8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60C1512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P17_a_été_motivé_par (a_motivé)</w:t>
            </w:r>
            <w:r>
              <w:rPr>
                <w:color w:val="000000"/>
                <w:sz w:val="16"/>
                <w:szCs w:val="16"/>
              </w:rPr>
              <w:t> </w:t>
            </w:r>
          </w:p>
        </w:tc>
        <w:tc>
          <w:tcPr>
            <w:tcW w:w="1701" w:type="dxa"/>
          </w:tcPr>
          <w:p w14:paraId="7352587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3917F81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6B8A306F" w14:textId="77777777" w:rsidTr="00BF18CF">
        <w:tc>
          <w:tcPr>
            <w:tcW w:w="699" w:type="dxa"/>
          </w:tcPr>
          <w:p w14:paraId="09B62D5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P134</w:t>
            </w:r>
          </w:p>
        </w:tc>
        <w:tc>
          <w:tcPr>
            <w:tcW w:w="236" w:type="dxa"/>
          </w:tcPr>
          <w:p w14:paraId="2CF5057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4EE08BC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P134_a_continué (a_été_continué_par)</w:t>
            </w:r>
            <w:r>
              <w:rPr>
                <w:color w:val="000000"/>
                <w:sz w:val="16"/>
                <w:szCs w:val="16"/>
              </w:rPr>
              <w:t> </w:t>
            </w:r>
          </w:p>
        </w:tc>
        <w:tc>
          <w:tcPr>
            <w:tcW w:w="1701" w:type="dxa"/>
          </w:tcPr>
          <w:p w14:paraId="175F962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490F505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r>
      <w:tr w:rsidR="00BF18CF" w14:paraId="704D6C1B" w14:textId="77777777" w:rsidTr="00BF18CF">
        <w:tc>
          <w:tcPr>
            <w:tcW w:w="699" w:type="dxa"/>
          </w:tcPr>
          <w:p w14:paraId="2F7104D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P136</w:t>
            </w:r>
          </w:p>
        </w:tc>
        <w:tc>
          <w:tcPr>
            <w:tcW w:w="236" w:type="dxa"/>
          </w:tcPr>
          <w:p w14:paraId="1DD28E6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31AD11E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P136_a_été_fondé_sur (a_fondé_la_création_du_type)</w:t>
            </w:r>
            <w:r>
              <w:rPr>
                <w:color w:val="000000"/>
                <w:sz w:val="16"/>
                <w:szCs w:val="16"/>
              </w:rPr>
              <w:t> </w:t>
            </w:r>
          </w:p>
        </w:tc>
        <w:tc>
          <w:tcPr>
            <w:tcW w:w="1701" w:type="dxa"/>
          </w:tcPr>
          <w:p w14:paraId="5793BB2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E83_Création_de_type</w:t>
            </w:r>
          </w:p>
        </w:tc>
        <w:tc>
          <w:tcPr>
            <w:tcW w:w="1559" w:type="dxa"/>
          </w:tcPr>
          <w:p w14:paraId="597ECB6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28A6097E" w14:textId="77777777" w:rsidTr="00BF18CF">
        <w:tc>
          <w:tcPr>
            <w:tcW w:w="699" w:type="dxa"/>
          </w:tcPr>
          <w:p w14:paraId="65392B2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P19</w:t>
            </w:r>
          </w:p>
        </w:tc>
        <w:tc>
          <w:tcPr>
            <w:tcW w:w="6804" w:type="dxa"/>
            <w:gridSpan w:val="6"/>
          </w:tcPr>
          <w:p w14:paraId="5D39BEB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P19_a_été_l’usage_prévu_de (a_été_élaboré_pour)</w:t>
            </w:r>
            <w:r>
              <w:rPr>
                <w:color w:val="000000"/>
                <w:sz w:val="16"/>
                <w:szCs w:val="16"/>
              </w:rPr>
              <w:t> </w:t>
            </w:r>
          </w:p>
        </w:tc>
        <w:tc>
          <w:tcPr>
            <w:tcW w:w="1701" w:type="dxa"/>
          </w:tcPr>
          <w:p w14:paraId="0B55CE1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75CF315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E71_Chose_élaborée_par_l’humain</w:t>
            </w:r>
          </w:p>
        </w:tc>
      </w:tr>
      <w:tr w:rsidR="00BF18CF" w14:paraId="26648EB5" w14:textId="77777777" w:rsidTr="00BF18CF">
        <w:tc>
          <w:tcPr>
            <w:tcW w:w="699" w:type="dxa"/>
          </w:tcPr>
          <w:p w14:paraId="04C6E38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P20</w:t>
            </w:r>
          </w:p>
        </w:tc>
        <w:tc>
          <w:tcPr>
            <w:tcW w:w="6804" w:type="dxa"/>
            <w:gridSpan w:val="6"/>
          </w:tcPr>
          <w:p w14:paraId="5D140AE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P20_a_eu_pour_finalité_spécifique (a_été_la_finalité_de)</w:t>
            </w:r>
            <w:r>
              <w:rPr>
                <w:color w:val="000000"/>
                <w:sz w:val="16"/>
                <w:szCs w:val="16"/>
              </w:rPr>
              <w:t> </w:t>
            </w:r>
          </w:p>
        </w:tc>
        <w:tc>
          <w:tcPr>
            <w:tcW w:w="1701" w:type="dxa"/>
          </w:tcPr>
          <w:p w14:paraId="64F2739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444857F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E5_Évènement</w:t>
            </w:r>
          </w:p>
        </w:tc>
      </w:tr>
      <w:tr w:rsidR="00BF18CF" w14:paraId="324A5AC5" w14:textId="77777777" w:rsidTr="00BF18CF">
        <w:tc>
          <w:tcPr>
            <w:tcW w:w="699" w:type="dxa"/>
          </w:tcPr>
          <w:p w14:paraId="7AC36AA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P21</w:t>
            </w:r>
          </w:p>
        </w:tc>
        <w:tc>
          <w:tcPr>
            <w:tcW w:w="6804" w:type="dxa"/>
            <w:gridSpan w:val="6"/>
          </w:tcPr>
          <w:p w14:paraId="35DF6BA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P21_a_eu_pour_finalité_générale (a_été_la_finalité_de)</w:t>
            </w:r>
            <w:r>
              <w:rPr>
                <w:color w:val="000000"/>
                <w:sz w:val="16"/>
                <w:szCs w:val="16"/>
              </w:rPr>
              <w:t> </w:t>
            </w:r>
          </w:p>
        </w:tc>
        <w:tc>
          <w:tcPr>
            <w:tcW w:w="1701" w:type="dxa"/>
          </w:tcPr>
          <w:p w14:paraId="5731973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2482357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2F2C9871" w14:textId="77777777" w:rsidTr="00BF18CF">
        <w:tc>
          <w:tcPr>
            <w:tcW w:w="699" w:type="dxa"/>
          </w:tcPr>
          <w:p w14:paraId="6988FC0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P24</w:t>
            </w:r>
          </w:p>
        </w:tc>
        <w:tc>
          <w:tcPr>
            <w:tcW w:w="6804" w:type="dxa"/>
            <w:gridSpan w:val="6"/>
          </w:tcPr>
          <w:p w14:paraId="473A595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P24_a_transféré_le_titre_de_propriété_de (a_changé_de_propriétaire_par)</w:t>
            </w:r>
            <w:r>
              <w:rPr>
                <w:color w:val="000000"/>
                <w:sz w:val="16"/>
                <w:szCs w:val="16"/>
              </w:rPr>
              <w:t> </w:t>
            </w:r>
          </w:p>
        </w:tc>
        <w:tc>
          <w:tcPr>
            <w:tcW w:w="1701" w:type="dxa"/>
          </w:tcPr>
          <w:p w14:paraId="24811CB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E8_Acquisition</w:t>
            </w:r>
          </w:p>
        </w:tc>
        <w:tc>
          <w:tcPr>
            <w:tcW w:w="1559" w:type="dxa"/>
          </w:tcPr>
          <w:p w14:paraId="083688D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2226F0F8" w14:textId="77777777" w:rsidTr="00BF18CF">
        <w:tc>
          <w:tcPr>
            <w:tcW w:w="699" w:type="dxa"/>
          </w:tcPr>
          <w:p w14:paraId="5CE0F5F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P26</w:t>
            </w:r>
          </w:p>
        </w:tc>
        <w:tc>
          <w:tcPr>
            <w:tcW w:w="6804" w:type="dxa"/>
            <w:gridSpan w:val="6"/>
          </w:tcPr>
          <w:p w14:paraId="3D484F6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P26_a_déplacé_à (a_été_la_destination_de)</w:t>
            </w:r>
            <w:r>
              <w:rPr>
                <w:color w:val="000000"/>
                <w:sz w:val="16"/>
                <w:szCs w:val="16"/>
              </w:rPr>
              <w:t> </w:t>
            </w:r>
          </w:p>
        </w:tc>
        <w:tc>
          <w:tcPr>
            <w:tcW w:w="1701" w:type="dxa"/>
          </w:tcPr>
          <w:p w14:paraId="1A1A2FD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E9_Déplacement</w:t>
            </w:r>
          </w:p>
        </w:tc>
        <w:tc>
          <w:tcPr>
            <w:tcW w:w="1559" w:type="dxa"/>
          </w:tcPr>
          <w:p w14:paraId="79AAA27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2C95750B" w14:textId="77777777" w:rsidTr="00BF18CF">
        <w:tc>
          <w:tcPr>
            <w:tcW w:w="699" w:type="dxa"/>
          </w:tcPr>
          <w:p w14:paraId="4AF70FD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P27</w:t>
            </w:r>
          </w:p>
        </w:tc>
        <w:tc>
          <w:tcPr>
            <w:tcW w:w="6804" w:type="dxa"/>
            <w:gridSpan w:val="6"/>
          </w:tcPr>
          <w:p w14:paraId="0326A7D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P27_a_déplacé_depuis (a_été_le_point_de_départ_de)</w:t>
            </w:r>
            <w:r>
              <w:rPr>
                <w:color w:val="000000"/>
                <w:sz w:val="16"/>
                <w:szCs w:val="16"/>
              </w:rPr>
              <w:t> </w:t>
            </w:r>
          </w:p>
        </w:tc>
        <w:tc>
          <w:tcPr>
            <w:tcW w:w="1701" w:type="dxa"/>
          </w:tcPr>
          <w:p w14:paraId="7D01673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E9_Déplacement</w:t>
            </w:r>
          </w:p>
        </w:tc>
        <w:tc>
          <w:tcPr>
            <w:tcW w:w="1559" w:type="dxa"/>
          </w:tcPr>
          <w:p w14:paraId="39E1F58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7AA5844C" w14:textId="77777777" w:rsidTr="00BF18CF">
        <w:tc>
          <w:tcPr>
            <w:tcW w:w="699" w:type="dxa"/>
          </w:tcPr>
          <w:p w14:paraId="7CB7EC8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P30</w:t>
            </w:r>
          </w:p>
        </w:tc>
        <w:tc>
          <w:tcPr>
            <w:tcW w:w="6804" w:type="dxa"/>
            <w:gridSpan w:val="6"/>
          </w:tcPr>
          <w:p w14:paraId="36F9E67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P30_a_transféré_la_garde_de (a_été_l’objet_d’un_transfert_de_garde_par)</w:t>
            </w:r>
            <w:r>
              <w:rPr>
                <w:color w:val="000000"/>
                <w:sz w:val="16"/>
                <w:szCs w:val="16"/>
              </w:rPr>
              <w:t> </w:t>
            </w:r>
          </w:p>
        </w:tc>
        <w:tc>
          <w:tcPr>
            <w:tcW w:w="1701" w:type="dxa"/>
          </w:tcPr>
          <w:p w14:paraId="2C0B1A9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E10_Transfert_de_la_garde</w:t>
            </w:r>
          </w:p>
        </w:tc>
        <w:tc>
          <w:tcPr>
            <w:tcW w:w="1559" w:type="dxa"/>
          </w:tcPr>
          <w:p w14:paraId="410868B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798A0540" w14:textId="77777777" w:rsidTr="00BF18CF">
        <w:tc>
          <w:tcPr>
            <w:tcW w:w="699" w:type="dxa"/>
          </w:tcPr>
          <w:p w14:paraId="3AD15FA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P43</w:t>
            </w:r>
          </w:p>
        </w:tc>
        <w:tc>
          <w:tcPr>
            <w:tcW w:w="6804" w:type="dxa"/>
            <w:gridSpan w:val="6"/>
          </w:tcPr>
          <w:p w14:paraId="0D506AA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P43_a_pour_dimension (est_la_dimension_de)</w:t>
            </w:r>
            <w:r>
              <w:rPr>
                <w:color w:val="000000"/>
                <w:sz w:val="16"/>
                <w:szCs w:val="16"/>
              </w:rPr>
              <w:t> </w:t>
            </w:r>
          </w:p>
        </w:tc>
        <w:tc>
          <w:tcPr>
            <w:tcW w:w="1701" w:type="dxa"/>
          </w:tcPr>
          <w:p w14:paraId="61187DB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E70_Chose</w:t>
            </w:r>
          </w:p>
        </w:tc>
        <w:tc>
          <w:tcPr>
            <w:tcW w:w="1559" w:type="dxa"/>
          </w:tcPr>
          <w:p w14:paraId="039B57F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E54_Dimension</w:t>
            </w:r>
          </w:p>
        </w:tc>
      </w:tr>
      <w:tr w:rsidR="00BF18CF" w14:paraId="5CDCE35C" w14:textId="77777777" w:rsidTr="00BF18CF">
        <w:tc>
          <w:tcPr>
            <w:tcW w:w="699" w:type="dxa"/>
          </w:tcPr>
          <w:p w14:paraId="3EF871B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P44</w:t>
            </w:r>
          </w:p>
        </w:tc>
        <w:tc>
          <w:tcPr>
            <w:tcW w:w="6804" w:type="dxa"/>
            <w:gridSpan w:val="6"/>
          </w:tcPr>
          <w:p w14:paraId="5C306BD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P44_a_pour_état_matériel (est_l’état_matériel_de)</w:t>
            </w:r>
            <w:r>
              <w:rPr>
                <w:color w:val="000000"/>
                <w:sz w:val="16"/>
                <w:szCs w:val="16"/>
              </w:rPr>
              <w:t> </w:t>
            </w:r>
          </w:p>
        </w:tc>
        <w:tc>
          <w:tcPr>
            <w:tcW w:w="1701" w:type="dxa"/>
          </w:tcPr>
          <w:p w14:paraId="48A65E4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317B28E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E3_État_matériel</w:t>
            </w:r>
          </w:p>
        </w:tc>
      </w:tr>
      <w:tr w:rsidR="00BF18CF" w14:paraId="0A3E2612" w14:textId="77777777" w:rsidTr="00BF18CF">
        <w:tc>
          <w:tcPr>
            <w:tcW w:w="699" w:type="dxa"/>
          </w:tcPr>
          <w:p w14:paraId="210B182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P45</w:t>
            </w:r>
          </w:p>
        </w:tc>
        <w:tc>
          <w:tcPr>
            <w:tcW w:w="6804" w:type="dxa"/>
            <w:gridSpan w:val="6"/>
          </w:tcPr>
          <w:p w14:paraId="41AAD1A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P45_comprend (est_inclus_dans)</w:t>
            </w:r>
            <w:r>
              <w:rPr>
                <w:color w:val="000000"/>
                <w:sz w:val="16"/>
                <w:szCs w:val="16"/>
              </w:rPr>
              <w:t> </w:t>
            </w:r>
          </w:p>
        </w:tc>
        <w:tc>
          <w:tcPr>
            <w:tcW w:w="1701" w:type="dxa"/>
          </w:tcPr>
          <w:p w14:paraId="51390D8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14C9513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E57_Matériau</w:t>
            </w:r>
          </w:p>
        </w:tc>
      </w:tr>
      <w:tr w:rsidR="00BF18CF" w14:paraId="3A389214" w14:textId="77777777" w:rsidTr="00BF18CF">
        <w:tc>
          <w:tcPr>
            <w:tcW w:w="699" w:type="dxa"/>
          </w:tcPr>
          <w:p w14:paraId="0D4727A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P49</w:t>
            </w:r>
          </w:p>
        </w:tc>
        <w:tc>
          <w:tcPr>
            <w:tcW w:w="6804" w:type="dxa"/>
            <w:gridSpan w:val="6"/>
          </w:tcPr>
          <w:p w14:paraId="7DC9047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P49_a_pour_actant_détenteur_actuel_ou_antérieur (est_l’actant_détenteur_actuel_ou_antérieur_de)</w:t>
            </w:r>
            <w:r>
              <w:rPr>
                <w:color w:val="000000"/>
                <w:sz w:val="16"/>
                <w:szCs w:val="16"/>
              </w:rPr>
              <w:t> </w:t>
            </w:r>
          </w:p>
        </w:tc>
        <w:tc>
          <w:tcPr>
            <w:tcW w:w="1701" w:type="dxa"/>
          </w:tcPr>
          <w:p w14:paraId="23BD180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2850AE3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5F7F0E76" w14:textId="77777777" w:rsidTr="00BF18CF">
        <w:tc>
          <w:tcPr>
            <w:tcW w:w="699" w:type="dxa"/>
          </w:tcPr>
          <w:p w14:paraId="2748ED2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P50</w:t>
            </w:r>
          </w:p>
        </w:tc>
        <w:tc>
          <w:tcPr>
            <w:tcW w:w="236" w:type="dxa"/>
          </w:tcPr>
          <w:p w14:paraId="33BE832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2EBA396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P50_a_pour_actant_détenteur_actuel (est_l’actant_détenteur_actuel_de)</w:t>
            </w:r>
            <w:r>
              <w:rPr>
                <w:color w:val="000000"/>
                <w:sz w:val="16"/>
                <w:szCs w:val="16"/>
              </w:rPr>
              <w:t> </w:t>
            </w:r>
          </w:p>
        </w:tc>
        <w:tc>
          <w:tcPr>
            <w:tcW w:w="1701" w:type="dxa"/>
          </w:tcPr>
          <w:p w14:paraId="3939BE4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7746502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4E6D07C5" w14:textId="77777777" w:rsidTr="00BF18CF">
        <w:tc>
          <w:tcPr>
            <w:tcW w:w="699" w:type="dxa"/>
          </w:tcPr>
          <w:p w14:paraId="285ABA9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P109</w:t>
            </w:r>
          </w:p>
        </w:tc>
        <w:tc>
          <w:tcPr>
            <w:tcW w:w="236" w:type="dxa"/>
          </w:tcPr>
          <w:p w14:paraId="3BB4A75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1C83A95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P109_a_pour_responsable_actuel_ou_antérieur_de_la_collection (est_responsable_actuel_ou_antérieur_de_la_collection)</w:t>
            </w:r>
            <w:r>
              <w:rPr>
                <w:color w:val="000000"/>
                <w:sz w:val="16"/>
                <w:szCs w:val="16"/>
              </w:rPr>
              <w:t> </w:t>
            </w:r>
          </w:p>
        </w:tc>
        <w:tc>
          <w:tcPr>
            <w:tcW w:w="1701" w:type="dxa"/>
          </w:tcPr>
          <w:p w14:paraId="0203489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E78_Collection</w:t>
            </w:r>
          </w:p>
        </w:tc>
        <w:tc>
          <w:tcPr>
            <w:tcW w:w="1559" w:type="dxa"/>
          </w:tcPr>
          <w:p w14:paraId="5303A8B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766BCEA4" w14:textId="77777777" w:rsidTr="00BF18CF">
        <w:tc>
          <w:tcPr>
            <w:tcW w:w="699" w:type="dxa"/>
          </w:tcPr>
          <w:p w14:paraId="47CFE86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P51</w:t>
            </w:r>
          </w:p>
        </w:tc>
        <w:tc>
          <w:tcPr>
            <w:tcW w:w="6804" w:type="dxa"/>
            <w:gridSpan w:val="6"/>
          </w:tcPr>
          <w:p w14:paraId="0E12CCF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P51_a_pour_propriétaire_actuel_ou_antérieur (est_l’actant_propriétaire_actuel_ou_antérieur_de)</w:t>
            </w:r>
            <w:r>
              <w:rPr>
                <w:color w:val="000000"/>
                <w:sz w:val="16"/>
                <w:szCs w:val="16"/>
              </w:rPr>
              <w:t> </w:t>
            </w:r>
          </w:p>
        </w:tc>
        <w:tc>
          <w:tcPr>
            <w:tcW w:w="1701" w:type="dxa"/>
          </w:tcPr>
          <w:p w14:paraId="024D357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67099A2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6FA4AF57" w14:textId="77777777" w:rsidTr="00BF18CF">
        <w:tc>
          <w:tcPr>
            <w:tcW w:w="699" w:type="dxa"/>
          </w:tcPr>
          <w:p w14:paraId="20E35FD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P52</w:t>
            </w:r>
          </w:p>
        </w:tc>
        <w:tc>
          <w:tcPr>
            <w:tcW w:w="236" w:type="dxa"/>
          </w:tcPr>
          <w:p w14:paraId="4DDFA0A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1723FF3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P52_a_pour_propriétaire_actuel (est_l’actant_propriétaire_actuel_de)</w:t>
            </w:r>
            <w:r>
              <w:rPr>
                <w:color w:val="000000"/>
                <w:sz w:val="16"/>
                <w:szCs w:val="16"/>
              </w:rPr>
              <w:t> </w:t>
            </w:r>
          </w:p>
        </w:tc>
        <w:tc>
          <w:tcPr>
            <w:tcW w:w="1701" w:type="dxa"/>
          </w:tcPr>
          <w:p w14:paraId="5B01B55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6B95DF4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720A0892" w14:textId="77777777" w:rsidTr="00BF18CF">
        <w:tc>
          <w:tcPr>
            <w:tcW w:w="699" w:type="dxa"/>
          </w:tcPr>
          <w:p w14:paraId="1BE78E2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P53</w:t>
            </w:r>
          </w:p>
        </w:tc>
        <w:tc>
          <w:tcPr>
            <w:tcW w:w="6804" w:type="dxa"/>
            <w:gridSpan w:val="6"/>
          </w:tcPr>
          <w:p w14:paraId="1D441C4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P53_a_pour_localisation_actuelle_ou_antérieure (est_la_localisation_actuelle_ou_antérieure_de)</w:t>
            </w:r>
            <w:r>
              <w:rPr>
                <w:color w:val="000000"/>
                <w:sz w:val="16"/>
                <w:szCs w:val="16"/>
              </w:rPr>
              <w:t> </w:t>
            </w:r>
          </w:p>
        </w:tc>
        <w:tc>
          <w:tcPr>
            <w:tcW w:w="1701" w:type="dxa"/>
          </w:tcPr>
          <w:p w14:paraId="58FE4BB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2EAB05C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638F9761" w14:textId="77777777" w:rsidTr="00BF18CF">
        <w:tc>
          <w:tcPr>
            <w:tcW w:w="699" w:type="dxa"/>
          </w:tcPr>
          <w:p w14:paraId="05F7C2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P55</w:t>
            </w:r>
          </w:p>
        </w:tc>
        <w:tc>
          <w:tcPr>
            <w:tcW w:w="236" w:type="dxa"/>
          </w:tcPr>
          <w:p w14:paraId="0CE7AD2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2EEB267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P55_a_actuellement_pour_localisation (est_actuellement_la_localisation_de)</w:t>
            </w:r>
            <w:r>
              <w:rPr>
                <w:color w:val="000000"/>
                <w:sz w:val="16"/>
                <w:szCs w:val="16"/>
              </w:rPr>
              <w:t> </w:t>
            </w:r>
          </w:p>
        </w:tc>
        <w:tc>
          <w:tcPr>
            <w:tcW w:w="1701" w:type="dxa"/>
          </w:tcPr>
          <w:p w14:paraId="0E30310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E19_Objet_matériel</w:t>
            </w:r>
          </w:p>
        </w:tc>
        <w:tc>
          <w:tcPr>
            <w:tcW w:w="1559" w:type="dxa"/>
          </w:tcPr>
          <w:p w14:paraId="69D6769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2C55C321" w14:textId="77777777" w:rsidTr="00BF18CF">
        <w:tc>
          <w:tcPr>
            <w:tcW w:w="699" w:type="dxa"/>
          </w:tcPr>
          <w:p w14:paraId="16AF440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P156</w:t>
            </w:r>
          </w:p>
        </w:tc>
        <w:tc>
          <w:tcPr>
            <w:tcW w:w="236" w:type="dxa"/>
          </w:tcPr>
          <w:p w14:paraId="5CD06C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42E7BBF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P156_occupe (est_occupé_par)</w:t>
            </w:r>
            <w:r>
              <w:rPr>
                <w:color w:val="000000"/>
                <w:sz w:val="16"/>
                <w:szCs w:val="16"/>
              </w:rPr>
              <w:t> </w:t>
            </w:r>
          </w:p>
        </w:tc>
        <w:tc>
          <w:tcPr>
            <w:tcW w:w="1701" w:type="dxa"/>
          </w:tcPr>
          <w:p w14:paraId="4F21D20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5F827F2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316F9E6B" w14:textId="77777777" w:rsidTr="00BF18CF">
        <w:tc>
          <w:tcPr>
            <w:tcW w:w="699" w:type="dxa"/>
          </w:tcPr>
          <w:p w14:paraId="712BA46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P54</w:t>
            </w:r>
          </w:p>
        </w:tc>
        <w:tc>
          <w:tcPr>
            <w:tcW w:w="6804" w:type="dxa"/>
            <w:gridSpan w:val="6"/>
          </w:tcPr>
          <w:p w14:paraId="324ECDF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P54_a_actuellement_pour_localisation_fixe (est_actuellement_la_localisation_fixe_de)</w:t>
            </w:r>
            <w:r>
              <w:rPr>
                <w:color w:val="000000"/>
                <w:sz w:val="16"/>
                <w:szCs w:val="16"/>
              </w:rPr>
              <w:t> </w:t>
            </w:r>
          </w:p>
        </w:tc>
        <w:tc>
          <w:tcPr>
            <w:tcW w:w="1701" w:type="dxa"/>
          </w:tcPr>
          <w:p w14:paraId="1440991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E19_Objet_matériel</w:t>
            </w:r>
          </w:p>
        </w:tc>
        <w:tc>
          <w:tcPr>
            <w:tcW w:w="1559" w:type="dxa"/>
          </w:tcPr>
          <w:p w14:paraId="0D3E7DD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674E2919" w14:textId="77777777" w:rsidTr="00BF18CF">
        <w:tc>
          <w:tcPr>
            <w:tcW w:w="699" w:type="dxa"/>
          </w:tcPr>
          <w:p w14:paraId="221D30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P57</w:t>
            </w:r>
          </w:p>
        </w:tc>
        <w:tc>
          <w:tcPr>
            <w:tcW w:w="6804" w:type="dxa"/>
            <w:gridSpan w:val="6"/>
          </w:tcPr>
          <w:p w14:paraId="54DAC98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P57_a_pour_nombre_d’éléments</w:t>
            </w:r>
            <w:r>
              <w:rPr>
                <w:color w:val="000000"/>
                <w:sz w:val="16"/>
                <w:szCs w:val="16"/>
              </w:rPr>
              <w:t> </w:t>
            </w:r>
          </w:p>
        </w:tc>
        <w:tc>
          <w:tcPr>
            <w:tcW w:w="1701" w:type="dxa"/>
          </w:tcPr>
          <w:p w14:paraId="6873671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E19_Objet_matériel</w:t>
            </w:r>
          </w:p>
        </w:tc>
        <w:tc>
          <w:tcPr>
            <w:tcW w:w="1559" w:type="dxa"/>
          </w:tcPr>
          <w:p w14:paraId="2E46A5A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E60_Nombre</w:t>
            </w:r>
          </w:p>
        </w:tc>
      </w:tr>
      <w:tr w:rsidR="00BF18CF" w14:paraId="2995E7FD" w14:textId="77777777" w:rsidTr="00BF18CF">
        <w:tc>
          <w:tcPr>
            <w:tcW w:w="699" w:type="dxa"/>
          </w:tcPr>
          <w:p w14:paraId="3C8B82B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P59</w:t>
            </w:r>
          </w:p>
        </w:tc>
        <w:tc>
          <w:tcPr>
            <w:tcW w:w="6804" w:type="dxa"/>
            <w:gridSpan w:val="6"/>
          </w:tcPr>
          <w:p w14:paraId="4F22902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P59_a_pour_section (se_situe_sur_ou_dans)</w:t>
            </w:r>
            <w:r>
              <w:rPr>
                <w:color w:val="000000"/>
                <w:sz w:val="16"/>
                <w:szCs w:val="16"/>
              </w:rPr>
              <w:t> </w:t>
            </w:r>
          </w:p>
        </w:tc>
        <w:tc>
          <w:tcPr>
            <w:tcW w:w="1701" w:type="dxa"/>
          </w:tcPr>
          <w:p w14:paraId="7C00202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2BDF1E3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5C5C793A" w14:textId="77777777" w:rsidTr="00BF18CF">
        <w:tc>
          <w:tcPr>
            <w:tcW w:w="699" w:type="dxa"/>
          </w:tcPr>
          <w:p w14:paraId="76F1928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P62</w:t>
            </w:r>
          </w:p>
        </w:tc>
        <w:tc>
          <w:tcPr>
            <w:tcW w:w="6804" w:type="dxa"/>
            <w:gridSpan w:val="6"/>
          </w:tcPr>
          <w:p w14:paraId="2C8E1E2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P62_illustre (est_illustré_par)</w:t>
            </w:r>
            <w:r>
              <w:rPr>
                <w:color w:val="000000"/>
                <w:sz w:val="16"/>
                <w:szCs w:val="16"/>
              </w:rPr>
              <w:t> </w:t>
            </w:r>
          </w:p>
        </w:tc>
        <w:tc>
          <w:tcPr>
            <w:tcW w:w="1701" w:type="dxa"/>
          </w:tcPr>
          <w:p w14:paraId="632890E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E24_Chose_matérielle_élaborée_par_l’humain</w:t>
            </w:r>
          </w:p>
        </w:tc>
        <w:tc>
          <w:tcPr>
            <w:tcW w:w="1559" w:type="dxa"/>
          </w:tcPr>
          <w:p w14:paraId="264C68C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1082361F" w14:textId="77777777" w:rsidTr="00BF18CF">
        <w:tc>
          <w:tcPr>
            <w:tcW w:w="699" w:type="dxa"/>
          </w:tcPr>
          <w:p w14:paraId="62A3853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P67</w:t>
            </w:r>
          </w:p>
        </w:tc>
        <w:tc>
          <w:tcPr>
            <w:tcW w:w="6804" w:type="dxa"/>
            <w:gridSpan w:val="6"/>
          </w:tcPr>
          <w:p w14:paraId="363AF62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P67_renvoie_à (fait_l’objet_d’un_renvoi_par)</w:t>
            </w:r>
            <w:r>
              <w:rPr>
                <w:color w:val="000000"/>
                <w:sz w:val="16"/>
                <w:szCs w:val="16"/>
              </w:rPr>
              <w:t> </w:t>
            </w:r>
          </w:p>
        </w:tc>
        <w:tc>
          <w:tcPr>
            <w:tcW w:w="1701" w:type="dxa"/>
          </w:tcPr>
          <w:p w14:paraId="0F015E0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E89_Objet_propositionnel</w:t>
            </w:r>
          </w:p>
        </w:tc>
        <w:tc>
          <w:tcPr>
            <w:tcW w:w="1559" w:type="dxa"/>
          </w:tcPr>
          <w:p w14:paraId="4282018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64B85B94" w14:textId="77777777" w:rsidTr="00BF18CF">
        <w:tc>
          <w:tcPr>
            <w:tcW w:w="699" w:type="dxa"/>
          </w:tcPr>
          <w:p w14:paraId="6E630A1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P68</w:t>
            </w:r>
          </w:p>
        </w:tc>
        <w:tc>
          <w:tcPr>
            <w:tcW w:w="236" w:type="dxa"/>
          </w:tcPr>
          <w:p w14:paraId="688620F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7CAB880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P68_prévoit_l’usage_de (usage_prévu_de)</w:t>
            </w:r>
            <w:r>
              <w:rPr>
                <w:color w:val="000000"/>
                <w:sz w:val="16"/>
                <w:szCs w:val="16"/>
              </w:rPr>
              <w:t> </w:t>
            </w:r>
          </w:p>
        </w:tc>
        <w:tc>
          <w:tcPr>
            <w:tcW w:w="1701" w:type="dxa"/>
          </w:tcPr>
          <w:p w14:paraId="5B8F899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E29_Conceptualisation_ou_procédure</w:t>
            </w:r>
          </w:p>
        </w:tc>
        <w:tc>
          <w:tcPr>
            <w:tcW w:w="1559" w:type="dxa"/>
          </w:tcPr>
          <w:p w14:paraId="2C9ED75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E57_Matériau</w:t>
            </w:r>
          </w:p>
        </w:tc>
      </w:tr>
      <w:tr w:rsidR="00BF18CF" w14:paraId="2782815F" w14:textId="77777777" w:rsidTr="00BF18CF">
        <w:tc>
          <w:tcPr>
            <w:tcW w:w="699" w:type="dxa"/>
          </w:tcPr>
          <w:p w14:paraId="0F9E2C5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P70</w:t>
            </w:r>
          </w:p>
        </w:tc>
        <w:tc>
          <w:tcPr>
            <w:tcW w:w="236" w:type="dxa"/>
          </w:tcPr>
          <w:p w14:paraId="4217A47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200DAFD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P70_documente (est_documenté_dans)</w:t>
            </w:r>
            <w:r>
              <w:rPr>
                <w:color w:val="000000"/>
                <w:sz w:val="16"/>
                <w:szCs w:val="16"/>
              </w:rPr>
              <w:t> </w:t>
            </w:r>
          </w:p>
        </w:tc>
        <w:tc>
          <w:tcPr>
            <w:tcW w:w="1701" w:type="dxa"/>
          </w:tcPr>
          <w:p w14:paraId="48209F6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E31_Document</w:t>
            </w:r>
          </w:p>
        </w:tc>
        <w:tc>
          <w:tcPr>
            <w:tcW w:w="1559" w:type="dxa"/>
          </w:tcPr>
          <w:p w14:paraId="2691194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485C86C3" w14:textId="77777777" w:rsidTr="00BF18CF">
        <w:tc>
          <w:tcPr>
            <w:tcW w:w="699" w:type="dxa"/>
          </w:tcPr>
          <w:p w14:paraId="54A9DA2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P71</w:t>
            </w:r>
          </w:p>
        </w:tc>
        <w:tc>
          <w:tcPr>
            <w:tcW w:w="236" w:type="dxa"/>
          </w:tcPr>
          <w:p w14:paraId="1323C0D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5DA9154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P71_énumère (est_énuméré_par)</w:t>
            </w:r>
            <w:r>
              <w:rPr>
                <w:color w:val="000000"/>
                <w:sz w:val="16"/>
                <w:szCs w:val="16"/>
              </w:rPr>
              <w:t> </w:t>
            </w:r>
          </w:p>
        </w:tc>
        <w:tc>
          <w:tcPr>
            <w:tcW w:w="1701" w:type="dxa"/>
          </w:tcPr>
          <w:p w14:paraId="3AA2083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E32_Document_de_référence</w:t>
            </w:r>
          </w:p>
        </w:tc>
        <w:tc>
          <w:tcPr>
            <w:tcW w:w="1559" w:type="dxa"/>
          </w:tcPr>
          <w:p w14:paraId="7522853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7876D891" w14:textId="77777777" w:rsidTr="00BF18CF">
        <w:tc>
          <w:tcPr>
            <w:tcW w:w="699" w:type="dxa"/>
          </w:tcPr>
          <w:p w14:paraId="20AAB84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P129</w:t>
            </w:r>
          </w:p>
        </w:tc>
        <w:tc>
          <w:tcPr>
            <w:tcW w:w="236" w:type="dxa"/>
          </w:tcPr>
          <w:p w14:paraId="506CB35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7529F7B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P129_a_pour_sujet (est_le_sujet_de)</w:t>
            </w:r>
            <w:r>
              <w:rPr>
                <w:color w:val="000000"/>
                <w:sz w:val="16"/>
                <w:szCs w:val="16"/>
              </w:rPr>
              <w:t> </w:t>
            </w:r>
          </w:p>
        </w:tc>
        <w:tc>
          <w:tcPr>
            <w:tcW w:w="1701" w:type="dxa"/>
          </w:tcPr>
          <w:p w14:paraId="6611D84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E89_Objet_propositionnel</w:t>
            </w:r>
          </w:p>
        </w:tc>
        <w:tc>
          <w:tcPr>
            <w:tcW w:w="1559" w:type="dxa"/>
          </w:tcPr>
          <w:p w14:paraId="55A3656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298EB683" w14:textId="77777777" w:rsidTr="00BF18CF">
        <w:tc>
          <w:tcPr>
            <w:tcW w:w="699" w:type="dxa"/>
          </w:tcPr>
          <w:p w14:paraId="025F27F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P138</w:t>
            </w:r>
          </w:p>
        </w:tc>
        <w:tc>
          <w:tcPr>
            <w:tcW w:w="236" w:type="dxa"/>
          </w:tcPr>
          <w:p w14:paraId="178C065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71DD185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P138_représente (est_représenté_par)</w:t>
            </w:r>
            <w:r>
              <w:rPr>
                <w:color w:val="000000"/>
                <w:sz w:val="16"/>
                <w:szCs w:val="16"/>
              </w:rPr>
              <w:t> </w:t>
            </w:r>
          </w:p>
        </w:tc>
        <w:tc>
          <w:tcPr>
            <w:tcW w:w="1701" w:type="dxa"/>
          </w:tcPr>
          <w:p w14:paraId="49FCC54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E36_Entité_visuelle</w:t>
            </w:r>
          </w:p>
        </w:tc>
        <w:tc>
          <w:tcPr>
            <w:tcW w:w="1559" w:type="dxa"/>
          </w:tcPr>
          <w:p w14:paraId="0129542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053A87A9" w14:textId="77777777" w:rsidTr="00BF18CF">
        <w:tc>
          <w:tcPr>
            <w:tcW w:w="699" w:type="dxa"/>
          </w:tcPr>
          <w:p w14:paraId="62FC7E9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P69</w:t>
            </w:r>
          </w:p>
        </w:tc>
        <w:tc>
          <w:tcPr>
            <w:tcW w:w="6804" w:type="dxa"/>
            <w:gridSpan w:val="6"/>
          </w:tcPr>
          <w:p w14:paraId="0B91DC7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P69_est_associé_à (est_associé_à)</w:t>
            </w:r>
            <w:r>
              <w:rPr>
                <w:color w:val="000000"/>
                <w:sz w:val="16"/>
                <w:szCs w:val="16"/>
              </w:rPr>
              <w:t> </w:t>
            </w:r>
          </w:p>
        </w:tc>
        <w:tc>
          <w:tcPr>
            <w:tcW w:w="1701" w:type="dxa"/>
          </w:tcPr>
          <w:p w14:paraId="75C2617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E29_Conceptualisation_ou_procédure</w:t>
            </w:r>
          </w:p>
        </w:tc>
        <w:tc>
          <w:tcPr>
            <w:tcW w:w="1559" w:type="dxa"/>
          </w:tcPr>
          <w:p w14:paraId="3D23107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E29_Conceptualisation_ou_procédure</w:t>
            </w:r>
          </w:p>
        </w:tc>
      </w:tr>
      <w:tr w:rsidR="00BF18CF" w14:paraId="7FFAD3AC" w14:textId="77777777" w:rsidTr="00BF18CF">
        <w:tc>
          <w:tcPr>
            <w:tcW w:w="699" w:type="dxa"/>
          </w:tcPr>
          <w:p w14:paraId="3173123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P72</w:t>
            </w:r>
          </w:p>
        </w:tc>
        <w:tc>
          <w:tcPr>
            <w:tcW w:w="6804" w:type="dxa"/>
            <w:gridSpan w:val="6"/>
          </w:tcPr>
          <w:p w14:paraId="268FC90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P72_a_pour_langue (est_la_langue_de)</w:t>
            </w:r>
            <w:r>
              <w:rPr>
                <w:color w:val="000000"/>
                <w:sz w:val="16"/>
                <w:szCs w:val="16"/>
              </w:rPr>
              <w:t> </w:t>
            </w:r>
          </w:p>
        </w:tc>
        <w:tc>
          <w:tcPr>
            <w:tcW w:w="1701" w:type="dxa"/>
          </w:tcPr>
          <w:p w14:paraId="7520496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E33_Objet_linguistique</w:t>
            </w:r>
          </w:p>
        </w:tc>
        <w:tc>
          <w:tcPr>
            <w:tcW w:w="1559" w:type="dxa"/>
          </w:tcPr>
          <w:p w14:paraId="72AD5DF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E56_Langue</w:t>
            </w:r>
          </w:p>
        </w:tc>
      </w:tr>
      <w:tr w:rsidR="00BF18CF" w14:paraId="7E5DDF7D" w14:textId="77777777" w:rsidTr="00BF18CF">
        <w:tc>
          <w:tcPr>
            <w:tcW w:w="699" w:type="dxa"/>
          </w:tcPr>
          <w:p w14:paraId="549772E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P74</w:t>
            </w:r>
          </w:p>
        </w:tc>
        <w:tc>
          <w:tcPr>
            <w:tcW w:w="6804" w:type="dxa"/>
            <w:gridSpan w:val="6"/>
          </w:tcPr>
          <w:p w14:paraId="512101A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P74_a_pour_résidence_actuelle_ou_antérieure (est_la_résidence_actuelle_ou_antérieure_de)</w:t>
            </w:r>
            <w:r>
              <w:rPr>
                <w:color w:val="000000"/>
                <w:sz w:val="16"/>
                <w:szCs w:val="16"/>
              </w:rPr>
              <w:t> </w:t>
            </w:r>
          </w:p>
        </w:tc>
        <w:tc>
          <w:tcPr>
            <w:tcW w:w="1701" w:type="dxa"/>
          </w:tcPr>
          <w:p w14:paraId="7A48704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c>
          <w:tcPr>
            <w:tcW w:w="1559" w:type="dxa"/>
          </w:tcPr>
          <w:p w14:paraId="4808381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337B7FE5" w14:textId="77777777" w:rsidTr="00BF18CF">
        <w:tc>
          <w:tcPr>
            <w:tcW w:w="699" w:type="dxa"/>
          </w:tcPr>
          <w:p w14:paraId="7253C3A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P75</w:t>
            </w:r>
          </w:p>
        </w:tc>
        <w:tc>
          <w:tcPr>
            <w:tcW w:w="6804" w:type="dxa"/>
            <w:gridSpan w:val="6"/>
          </w:tcPr>
          <w:p w14:paraId="1284F63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P75_possède (est_possédé_par)</w:t>
            </w:r>
            <w:r>
              <w:rPr>
                <w:color w:val="000000"/>
                <w:sz w:val="16"/>
                <w:szCs w:val="16"/>
              </w:rPr>
              <w:t> </w:t>
            </w:r>
          </w:p>
        </w:tc>
        <w:tc>
          <w:tcPr>
            <w:tcW w:w="1701" w:type="dxa"/>
          </w:tcPr>
          <w:p w14:paraId="11E595A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c>
          <w:tcPr>
            <w:tcW w:w="1559" w:type="dxa"/>
          </w:tcPr>
          <w:p w14:paraId="2FAA4DE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E30_Droit</w:t>
            </w:r>
          </w:p>
        </w:tc>
      </w:tr>
      <w:tr w:rsidR="00BF18CF" w14:paraId="33FE9BB5" w14:textId="77777777" w:rsidTr="00BF18CF">
        <w:tc>
          <w:tcPr>
            <w:tcW w:w="699" w:type="dxa"/>
          </w:tcPr>
          <w:p w14:paraId="23E63A0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P76</w:t>
            </w:r>
          </w:p>
        </w:tc>
        <w:tc>
          <w:tcPr>
            <w:tcW w:w="6804" w:type="dxa"/>
            <w:gridSpan w:val="6"/>
          </w:tcPr>
          <w:p w14:paraId="524CDD1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P76_a_pour_coordonnées (permet_de_contacter)</w:t>
            </w:r>
            <w:r>
              <w:rPr>
                <w:color w:val="000000"/>
                <w:sz w:val="16"/>
                <w:szCs w:val="16"/>
              </w:rPr>
              <w:t> </w:t>
            </w:r>
          </w:p>
        </w:tc>
        <w:tc>
          <w:tcPr>
            <w:tcW w:w="1701" w:type="dxa"/>
          </w:tcPr>
          <w:p w14:paraId="69CB485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c>
          <w:tcPr>
            <w:tcW w:w="1559" w:type="dxa"/>
          </w:tcPr>
          <w:p w14:paraId="36A35B9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E41_Appellation</w:t>
            </w:r>
          </w:p>
        </w:tc>
      </w:tr>
      <w:tr w:rsidR="00BF18CF" w14:paraId="3600EBA6" w14:textId="77777777" w:rsidTr="00BF18CF">
        <w:tc>
          <w:tcPr>
            <w:tcW w:w="699" w:type="dxa"/>
          </w:tcPr>
          <w:p w14:paraId="49A84A6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P81</w:t>
            </w:r>
          </w:p>
        </w:tc>
        <w:tc>
          <w:tcPr>
            <w:tcW w:w="6804" w:type="dxa"/>
            <w:gridSpan w:val="6"/>
          </w:tcPr>
          <w:p w14:paraId="583ABDC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P81_a_couvert</w:t>
            </w:r>
            <w:r>
              <w:rPr>
                <w:color w:val="000000"/>
                <w:sz w:val="16"/>
                <w:szCs w:val="16"/>
              </w:rPr>
              <w:t> </w:t>
            </w:r>
          </w:p>
        </w:tc>
        <w:tc>
          <w:tcPr>
            <w:tcW w:w="1701" w:type="dxa"/>
          </w:tcPr>
          <w:p w14:paraId="608FB19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c>
          <w:tcPr>
            <w:tcW w:w="1559" w:type="dxa"/>
          </w:tcPr>
          <w:p w14:paraId="039CEB7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E61_Primitive_temporelle</w:t>
            </w:r>
          </w:p>
        </w:tc>
      </w:tr>
      <w:tr w:rsidR="00BF18CF" w14:paraId="5587324E" w14:textId="77777777" w:rsidTr="00BF18CF">
        <w:tc>
          <w:tcPr>
            <w:tcW w:w="699" w:type="dxa"/>
          </w:tcPr>
          <w:p w14:paraId="5C5D0F7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P82</w:t>
            </w:r>
          </w:p>
        </w:tc>
        <w:tc>
          <w:tcPr>
            <w:tcW w:w="6804" w:type="dxa"/>
            <w:gridSpan w:val="6"/>
          </w:tcPr>
          <w:p w14:paraId="7927A2C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P82_a_eu_lieu_durant</w:t>
            </w:r>
            <w:r>
              <w:rPr>
                <w:color w:val="000000"/>
                <w:sz w:val="16"/>
                <w:szCs w:val="16"/>
              </w:rPr>
              <w:t> </w:t>
            </w:r>
          </w:p>
        </w:tc>
        <w:tc>
          <w:tcPr>
            <w:tcW w:w="1701" w:type="dxa"/>
          </w:tcPr>
          <w:p w14:paraId="009D400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c>
          <w:tcPr>
            <w:tcW w:w="1559" w:type="dxa"/>
          </w:tcPr>
          <w:p w14:paraId="2BAE372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E61_Primitive_temporelle</w:t>
            </w:r>
          </w:p>
        </w:tc>
      </w:tr>
      <w:tr w:rsidR="00BF18CF" w14:paraId="652DD5CE" w14:textId="77777777" w:rsidTr="00BF18CF">
        <w:tc>
          <w:tcPr>
            <w:tcW w:w="699" w:type="dxa"/>
          </w:tcPr>
          <w:p w14:paraId="3EA1BCD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P86</w:t>
            </w:r>
          </w:p>
        </w:tc>
        <w:tc>
          <w:tcPr>
            <w:tcW w:w="6804" w:type="dxa"/>
            <w:gridSpan w:val="6"/>
          </w:tcPr>
          <w:p w14:paraId="5DD5F51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P86_s’insère_dans (contient)</w:t>
            </w:r>
            <w:r>
              <w:rPr>
                <w:color w:val="000000"/>
                <w:sz w:val="16"/>
                <w:szCs w:val="16"/>
              </w:rPr>
              <w:t> </w:t>
            </w:r>
          </w:p>
        </w:tc>
        <w:tc>
          <w:tcPr>
            <w:tcW w:w="1701" w:type="dxa"/>
          </w:tcPr>
          <w:p w14:paraId="7429738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c>
          <w:tcPr>
            <w:tcW w:w="1559" w:type="dxa"/>
          </w:tcPr>
          <w:p w14:paraId="75414CD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r>
      <w:tr w:rsidR="00BF18CF" w14:paraId="3C0397A4" w14:textId="77777777" w:rsidTr="00BF18CF">
        <w:tc>
          <w:tcPr>
            <w:tcW w:w="699" w:type="dxa"/>
          </w:tcPr>
          <w:p w14:paraId="2A7029D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P89</w:t>
            </w:r>
          </w:p>
        </w:tc>
        <w:tc>
          <w:tcPr>
            <w:tcW w:w="6804" w:type="dxa"/>
            <w:gridSpan w:val="6"/>
          </w:tcPr>
          <w:p w14:paraId="2C02B79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P89_s’insère_dans (contient)</w:t>
            </w:r>
            <w:r>
              <w:rPr>
                <w:color w:val="000000"/>
                <w:sz w:val="16"/>
                <w:szCs w:val="16"/>
              </w:rPr>
              <w:t> </w:t>
            </w:r>
          </w:p>
        </w:tc>
        <w:tc>
          <w:tcPr>
            <w:tcW w:w="1701" w:type="dxa"/>
          </w:tcPr>
          <w:p w14:paraId="7F49C71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4C678FC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0706669A" w14:textId="77777777" w:rsidTr="00BF18CF">
        <w:tc>
          <w:tcPr>
            <w:tcW w:w="699" w:type="dxa"/>
          </w:tcPr>
          <w:p w14:paraId="70DD39F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P90</w:t>
            </w:r>
          </w:p>
        </w:tc>
        <w:tc>
          <w:tcPr>
            <w:tcW w:w="6804" w:type="dxa"/>
            <w:gridSpan w:val="6"/>
          </w:tcPr>
          <w:p w14:paraId="72053B8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P90_a_pour_valeur</w:t>
            </w:r>
            <w:r>
              <w:rPr>
                <w:color w:val="000000"/>
                <w:sz w:val="16"/>
                <w:szCs w:val="16"/>
              </w:rPr>
              <w:t> </w:t>
            </w:r>
          </w:p>
        </w:tc>
        <w:tc>
          <w:tcPr>
            <w:tcW w:w="1701" w:type="dxa"/>
          </w:tcPr>
          <w:p w14:paraId="4DC8931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E54_Dimension</w:t>
            </w:r>
          </w:p>
        </w:tc>
        <w:tc>
          <w:tcPr>
            <w:tcW w:w="1559" w:type="dxa"/>
          </w:tcPr>
          <w:p w14:paraId="22BEA68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E60_Nombre</w:t>
            </w:r>
          </w:p>
        </w:tc>
      </w:tr>
      <w:tr w:rsidR="00BF18CF" w14:paraId="2A727E3F" w14:textId="77777777" w:rsidTr="00BF18CF">
        <w:tc>
          <w:tcPr>
            <w:tcW w:w="699" w:type="dxa"/>
          </w:tcPr>
          <w:p w14:paraId="1B9ADD3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P91</w:t>
            </w:r>
          </w:p>
        </w:tc>
        <w:tc>
          <w:tcPr>
            <w:tcW w:w="6804" w:type="dxa"/>
            <w:gridSpan w:val="6"/>
          </w:tcPr>
          <w:p w14:paraId="1F25547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P91_a_pour_unité_de_mesure (est_l’unité_de_mesure_de)</w:t>
            </w:r>
            <w:r>
              <w:rPr>
                <w:color w:val="000000"/>
                <w:sz w:val="16"/>
                <w:szCs w:val="16"/>
              </w:rPr>
              <w:t> </w:t>
            </w:r>
          </w:p>
        </w:tc>
        <w:tc>
          <w:tcPr>
            <w:tcW w:w="1701" w:type="dxa"/>
          </w:tcPr>
          <w:p w14:paraId="7625DF4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E54_Dimension</w:t>
            </w:r>
          </w:p>
        </w:tc>
        <w:tc>
          <w:tcPr>
            <w:tcW w:w="1559" w:type="dxa"/>
          </w:tcPr>
          <w:p w14:paraId="25F45BC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E58_Unité_de_mesure</w:t>
            </w:r>
          </w:p>
        </w:tc>
      </w:tr>
      <w:tr w:rsidR="00BF18CF" w14:paraId="00B680C7" w14:textId="77777777" w:rsidTr="00BF18CF">
        <w:tc>
          <w:tcPr>
            <w:tcW w:w="699" w:type="dxa"/>
          </w:tcPr>
          <w:p w14:paraId="0562084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P180</w:t>
            </w:r>
          </w:p>
        </w:tc>
        <w:tc>
          <w:tcPr>
            <w:tcW w:w="236" w:type="dxa"/>
          </w:tcPr>
          <w:p w14:paraId="1CE3AFD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65DE434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P180a_pour_unité_monétaire (était_l'unité_monétaire_de)</w:t>
            </w:r>
            <w:r>
              <w:rPr>
                <w:color w:val="000000"/>
                <w:sz w:val="16"/>
                <w:szCs w:val="16"/>
              </w:rPr>
              <w:t> </w:t>
            </w:r>
          </w:p>
        </w:tc>
        <w:tc>
          <w:tcPr>
            <w:tcW w:w="1701" w:type="dxa"/>
          </w:tcPr>
          <w:p w14:paraId="1AC7785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E97_Valeur_monétaire</w:t>
            </w:r>
          </w:p>
        </w:tc>
        <w:tc>
          <w:tcPr>
            <w:tcW w:w="1559" w:type="dxa"/>
          </w:tcPr>
          <w:p w14:paraId="715FBBD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E98_Unité_monétaire</w:t>
            </w:r>
          </w:p>
        </w:tc>
      </w:tr>
      <w:tr w:rsidR="00BF18CF" w14:paraId="1B7EF5F7" w14:textId="77777777" w:rsidTr="00BF18CF">
        <w:tc>
          <w:tcPr>
            <w:tcW w:w="699" w:type="dxa"/>
          </w:tcPr>
          <w:p w14:paraId="7476F90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P97</w:t>
            </w:r>
          </w:p>
        </w:tc>
        <w:tc>
          <w:tcPr>
            <w:tcW w:w="6804" w:type="dxa"/>
            <w:gridSpan w:val="6"/>
          </w:tcPr>
          <w:p w14:paraId="133C7E3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P97_de_père (a_été_le_père_pour)</w:t>
            </w:r>
            <w:r>
              <w:rPr>
                <w:color w:val="000000"/>
                <w:sz w:val="16"/>
                <w:szCs w:val="16"/>
              </w:rPr>
              <w:t> </w:t>
            </w:r>
          </w:p>
        </w:tc>
        <w:tc>
          <w:tcPr>
            <w:tcW w:w="1701" w:type="dxa"/>
          </w:tcPr>
          <w:p w14:paraId="12C33FA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E67_Naissance</w:t>
            </w:r>
          </w:p>
        </w:tc>
        <w:tc>
          <w:tcPr>
            <w:tcW w:w="1559" w:type="dxa"/>
          </w:tcPr>
          <w:p w14:paraId="676EAA0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E21_Personne</w:t>
            </w:r>
          </w:p>
        </w:tc>
      </w:tr>
      <w:tr w:rsidR="00BF18CF" w14:paraId="6DA1A4F7" w14:textId="77777777" w:rsidTr="00BF18CF">
        <w:tc>
          <w:tcPr>
            <w:tcW w:w="699" w:type="dxa"/>
          </w:tcPr>
          <w:p w14:paraId="70AEC98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P101</w:t>
            </w:r>
          </w:p>
        </w:tc>
        <w:tc>
          <w:tcPr>
            <w:tcW w:w="6804" w:type="dxa"/>
            <w:gridSpan w:val="6"/>
          </w:tcPr>
          <w:p w14:paraId="7C759D0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P101_a_eu_pour_usage_général (a_été_l’usage_général_de)</w:t>
            </w:r>
            <w:r>
              <w:rPr>
                <w:color w:val="000000"/>
                <w:sz w:val="16"/>
                <w:szCs w:val="16"/>
              </w:rPr>
              <w:t> </w:t>
            </w:r>
          </w:p>
        </w:tc>
        <w:tc>
          <w:tcPr>
            <w:tcW w:w="1701" w:type="dxa"/>
          </w:tcPr>
          <w:p w14:paraId="4716DC4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E70_Chose</w:t>
            </w:r>
          </w:p>
        </w:tc>
        <w:tc>
          <w:tcPr>
            <w:tcW w:w="1559" w:type="dxa"/>
          </w:tcPr>
          <w:p w14:paraId="530E7B6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62E1678B" w14:textId="77777777" w:rsidTr="00BF18CF">
        <w:tc>
          <w:tcPr>
            <w:tcW w:w="699" w:type="dxa"/>
          </w:tcPr>
          <w:p w14:paraId="6D42838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P103</w:t>
            </w:r>
          </w:p>
        </w:tc>
        <w:tc>
          <w:tcPr>
            <w:tcW w:w="6804" w:type="dxa"/>
            <w:gridSpan w:val="6"/>
          </w:tcPr>
          <w:p w14:paraId="2BBDA0C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P103_a_eu_pour_raison_d’être (a_été_la_raison_d’être_de)</w:t>
            </w:r>
            <w:r>
              <w:rPr>
                <w:color w:val="000000"/>
                <w:sz w:val="16"/>
                <w:szCs w:val="16"/>
              </w:rPr>
              <w:t> </w:t>
            </w:r>
          </w:p>
        </w:tc>
        <w:tc>
          <w:tcPr>
            <w:tcW w:w="1701" w:type="dxa"/>
          </w:tcPr>
          <w:p w14:paraId="24CCA83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E71_Chose_élaborée_par_l’humain</w:t>
            </w:r>
          </w:p>
        </w:tc>
        <w:tc>
          <w:tcPr>
            <w:tcW w:w="1559" w:type="dxa"/>
          </w:tcPr>
          <w:p w14:paraId="5A5DFDE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7B8727AC" w14:textId="77777777" w:rsidTr="00BF18CF">
        <w:tc>
          <w:tcPr>
            <w:tcW w:w="699" w:type="dxa"/>
          </w:tcPr>
          <w:p w14:paraId="7C4E324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P104</w:t>
            </w:r>
          </w:p>
        </w:tc>
        <w:tc>
          <w:tcPr>
            <w:tcW w:w="6804" w:type="dxa"/>
            <w:gridSpan w:val="6"/>
          </w:tcPr>
          <w:p w14:paraId="5EEBFED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P104_est_soumis_à (s’applique_à)</w:t>
            </w:r>
            <w:r>
              <w:rPr>
                <w:color w:val="000000"/>
                <w:sz w:val="16"/>
                <w:szCs w:val="16"/>
              </w:rPr>
              <w:t> </w:t>
            </w:r>
          </w:p>
        </w:tc>
        <w:tc>
          <w:tcPr>
            <w:tcW w:w="1701" w:type="dxa"/>
          </w:tcPr>
          <w:p w14:paraId="1E9CAD1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E72_Objet_juridique</w:t>
            </w:r>
          </w:p>
        </w:tc>
        <w:tc>
          <w:tcPr>
            <w:tcW w:w="1559" w:type="dxa"/>
          </w:tcPr>
          <w:p w14:paraId="7BA81DA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E30_Droit</w:t>
            </w:r>
          </w:p>
        </w:tc>
      </w:tr>
      <w:tr w:rsidR="00BF18CF" w14:paraId="7663928C" w14:textId="77777777" w:rsidTr="00BF18CF">
        <w:tc>
          <w:tcPr>
            <w:tcW w:w="699" w:type="dxa"/>
          </w:tcPr>
          <w:p w14:paraId="0B09E9B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P105</w:t>
            </w:r>
          </w:p>
        </w:tc>
        <w:tc>
          <w:tcPr>
            <w:tcW w:w="6804" w:type="dxa"/>
            <w:gridSpan w:val="6"/>
          </w:tcPr>
          <w:p w14:paraId="16590C6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P105_droit_détenu_par (détient_le_droit_sur)</w:t>
            </w:r>
            <w:r>
              <w:rPr>
                <w:color w:val="000000"/>
                <w:sz w:val="16"/>
                <w:szCs w:val="16"/>
              </w:rPr>
              <w:t> </w:t>
            </w:r>
          </w:p>
        </w:tc>
        <w:tc>
          <w:tcPr>
            <w:tcW w:w="1701" w:type="dxa"/>
          </w:tcPr>
          <w:p w14:paraId="713D478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E72_Objet_juridique</w:t>
            </w:r>
          </w:p>
        </w:tc>
        <w:tc>
          <w:tcPr>
            <w:tcW w:w="1559" w:type="dxa"/>
          </w:tcPr>
          <w:p w14:paraId="56EDA86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1590DCBE" w14:textId="77777777" w:rsidTr="00BF18CF">
        <w:tc>
          <w:tcPr>
            <w:tcW w:w="699" w:type="dxa"/>
          </w:tcPr>
          <w:p w14:paraId="64F9F81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P52</w:t>
            </w:r>
          </w:p>
        </w:tc>
        <w:tc>
          <w:tcPr>
            <w:tcW w:w="236" w:type="dxa"/>
          </w:tcPr>
          <w:p w14:paraId="64AFBF0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453F871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P52_a_pour_propriétaire_actuel (est_l’actant_propriétaire_actuel_de)</w:t>
            </w:r>
            <w:r>
              <w:rPr>
                <w:color w:val="000000"/>
                <w:sz w:val="16"/>
                <w:szCs w:val="16"/>
              </w:rPr>
              <w:t> </w:t>
            </w:r>
          </w:p>
        </w:tc>
        <w:tc>
          <w:tcPr>
            <w:tcW w:w="1701" w:type="dxa"/>
          </w:tcPr>
          <w:p w14:paraId="312E759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5E62F65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43C86B2E" w14:textId="77777777" w:rsidTr="00BF18CF">
        <w:tc>
          <w:tcPr>
            <w:tcW w:w="699" w:type="dxa"/>
          </w:tcPr>
          <w:p w14:paraId="717131E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P106</w:t>
            </w:r>
          </w:p>
        </w:tc>
        <w:tc>
          <w:tcPr>
            <w:tcW w:w="6804" w:type="dxa"/>
            <w:gridSpan w:val="6"/>
          </w:tcPr>
          <w:p w14:paraId="1E942C5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P106_est_composé_de (fait_partie_de)</w:t>
            </w:r>
            <w:r>
              <w:rPr>
                <w:color w:val="000000"/>
                <w:sz w:val="16"/>
                <w:szCs w:val="16"/>
              </w:rPr>
              <w:t> </w:t>
            </w:r>
          </w:p>
        </w:tc>
        <w:tc>
          <w:tcPr>
            <w:tcW w:w="1701" w:type="dxa"/>
          </w:tcPr>
          <w:p w14:paraId="3575826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E90_Objet_symbolique</w:t>
            </w:r>
          </w:p>
        </w:tc>
        <w:tc>
          <w:tcPr>
            <w:tcW w:w="1559" w:type="dxa"/>
          </w:tcPr>
          <w:p w14:paraId="7817CAB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E90_Objet_symbolique</w:t>
            </w:r>
          </w:p>
        </w:tc>
      </w:tr>
      <w:tr w:rsidR="00BF18CF" w14:paraId="1AA83D59" w14:textId="77777777" w:rsidTr="00BF18CF">
        <w:tc>
          <w:tcPr>
            <w:tcW w:w="699" w:type="dxa"/>
          </w:tcPr>
          <w:p w14:paraId="7AC48D1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P165</w:t>
            </w:r>
          </w:p>
        </w:tc>
        <w:tc>
          <w:tcPr>
            <w:tcW w:w="236" w:type="dxa"/>
          </w:tcPr>
          <w:p w14:paraId="6164985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6B3559C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P165_inclut (est_inclus_dans)</w:t>
            </w:r>
            <w:r>
              <w:rPr>
                <w:color w:val="000000"/>
                <w:sz w:val="16"/>
                <w:szCs w:val="16"/>
              </w:rPr>
              <w:t> </w:t>
            </w:r>
          </w:p>
        </w:tc>
        <w:tc>
          <w:tcPr>
            <w:tcW w:w="1701" w:type="dxa"/>
          </w:tcPr>
          <w:p w14:paraId="78C24A7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E73_Objet_informationnel</w:t>
            </w:r>
          </w:p>
        </w:tc>
        <w:tc>
          <w:tcPr>
            <w:tcW w:w="1559" w:type="dxa"/>
          </w:tcPr>
          <w:p w14:paraId="50B0689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E90_Objet_symbolique</w:t>
            </w:r>
          </w:p>
        </w:tc>
      </w:tr>
      <w:tr w:rsidR="00BF18CF" w14:paraId="6EB5D233" w14:textId="77777777" w:rsidTr="00BF18CF">
        <w:tc>
          <w:tcPr>
            <w:tcW w:w="699" w:type="dxa"/>
          </w:tcPr>
          <w:p w14:paraId="43463B6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P107</w:t>
            </w:r>
          </w:p>
        </w:tc>
        <w:tc>
          <w:tcPr>
            <w:tcW w:w="6804" w:type="dxa"/>
            <w:gridSpan w:val="6"/>
          </w:tcPr>
          <w:p w14:paraId="786291F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P107_a_pour_membre_actuel_ou_antérieur (est_le_membre_actuel_ou_antérieur_de)</w:t>
            </w:r>
            <w:r>
              <w:rPr>
                <w:color w:val="000000"/>
                <w:sz w:val="16"/>
                <w:szCs w:val="16"/>
              </w:rPr>
              <w:t> </w:t>
            </w:r>
          </w:p>
        </w:tc>
        <w:tc>
          <w:tcPr>
            <w:tcW w:w="1701" w:type="dxa"/>
          </w:tcPr>
          <w:p w14:paraId="7887D5D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E74_Groupe</w:t>
            </w:r>
          </w:p>
        </w:tc>
        <w:tc>
          <w:tcPr>
            <w:tcW w:w="1559" w:type="dxa"/>
          </w:tcPr>
          <w:p w14:paraId="0E22F8F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E39_Actant</w:t>
            </w:r>
          </w:p>
        </w:tc>
      </w:tr>
      <w:tr w:rsidR="00BF18CF" w14:paraId="0170C9BD" w14:textId="77777777" w:rsidTr="00BF18CF">
        <w:tc>
          <w:tcPr>
            <w:tcW w:w="699" w:type="dxa"/>
          </w:tcPr>
          <w:p w14:paraId="504DF0C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P121</w:t>
            </w:r>
          </w:p>
        </w:tc>
        <w:tc>
          <w:tcPr>
            <w:tcW w:w="6804" w:type="dxa"/>
            <w:gridSpan w:val="6"/>
          </w:tcPr>
          <w:p w14:paraId="5919EA4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P121_se_superpose_partiellement_à</w:t>
            </w:r>
            <w:r>
              <w:rPr>
                <w:color w:val="000000"/>
                <w:sz w:val="16"/>
                <w:szCs w:val="16"/>
              </w:rPr>
              <w:t> </w:t>
            </w:r>
          </w:p>
        </w:tc>
        <w:tc>
          <w:tcPr>
            <w:tcW w:w="1701" w:type="dxa"/>
          </w:tcPr>
          <w:p w14:paraId="523CF77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07EF468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7C37536D" w14:textId="77777777" w:rsidTr="00BF18CF">
        <w:tc>
          <w:tcPr>
            <w:tcW w:w="699" w:type="dxa"/>
          </w:tcPr>
          <w:p w14:paraId="5EF8095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P122</w:t>
            </w:r>
          </w:p>
        </w:tc>
        <w:tc>
          <w:tcPr>
            <w:tcW w:w="6804" w:type="dxa"/>
            <w:gridSpan w:val="6"/>
          </w:tcPr>
          <w:p w14:paraId="6C8B127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P122_est_limitrophe_de</w:t>
            </w:r>
            <w:r>
              <w:rPr>
                <w:color w:val="000000"/>
                <w:sz w:val="16"/>
                <w:szCs w:val="16"/>
              </w:rPr>
              <w:t> </w:t>
            </w:r>
          </w:p>
        </w:tc>
        <w:tc>
          <w:tcPr>
            <w:tcW w:w="1701" w:type="dxa"/>
          </w:tcPr>
          <w:p w14:paraId="2E51407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7E2212C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685AA3BB" w14:textId="77777777" w:rsidTr="00BF18CF">
        <w:tc>
          <w:tcPr>
            <w:tcW w:w="699" w:type="dxa"/>
          </w:tcPr>
          <w:p w14:paraId="7188759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P125</w:t>
            </w:r>
          </w:p>
        </w:tc>
        <w:tc>
          <w:tcPr>
            <w:tcW w:w="6804" w:type="dxa"/>
            <w:gridSpan w:val="6"/>
          </w:tcPr>
          <w:p w14:paraId="1B14A2A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P125_a_mobilisé_l’objet_du_type (a_été_le_type_d’objet_employé_pour)</w:t>
            </w:r>
            <w:r>
              <w:rPr>
                <w:color w:val="000000"/>
                <w:sz w:val="16"/>
                <w:szCs w:val="16"/>
              </w:rPr>
              <w:t> </w:t>
            </w:r>
          </w:p>
        </w:tc>
        <w:tc>
          <w:tcPr>
            <w:tcW w:w="1701" w:type="dxa"/>
          </w:tcPr>
          <w:p w14:paraId="01B00D4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59FA09E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02FF404A" w14:textId="77777777" w:rsidTr="00BF18CF">
        <w:tc>
          <w:tcPr>
            <w:tcW w:w="699" w:type="dxa"/>
          </w:tcPr>
          <w:p w14:paraId="7848325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P32</w:t>
            </w:r>
          </w:p>
        </w:tc>
        <w:tc>
          <w:tcPr>
            <w:tcW w:w="236" w:type="dxa"/>
          </w:tcPr>
          <w:p w14:paraId="04C04C0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6030D43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P32_a_mobilisé_comme_technique_générale (a_été_la_technique_générale_mise_en_œuvre_dans)</w:t>
            </w:r>
            <w:r>
              <w:rPr>
                <w:color w:val="000000"/>
                <w:sz w:val="16"/>
                <w:szCs w:val="16"/>
              </w:rPr>
              <w:t> </w:t>
            </w:r>
          </w:p>
        </w:tc>
        <w:tc>
          <w:tcPr>
            <w:tcW w:w="1701" w:type="dxa"/>
          </w:tcPr>
          <w:p w14:paraId="4C4B67D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03DAFBE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785D4E55" w14:textId="77777777" w:rsidTr="00BF18CF">
        <w:tc>
          <w:tcPr>
            <w:tcW w:w="699" w:type="dxa"/>
          </w:tcPr>
          <w:p w14:paraId="1552092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P126</w:t>
            </w:r>
          </w:p>
        </w:tc>
        <w:tc>
          <w:tcPr>
            <w:tcW w:w="6804" w:type="dxa"/>
            <w:gridSpan w:val="6"/>
          </w:tcPr>
          <w:p w14:paraId="07363F2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P126_a_employé (a_été_employé_dans)</w:t>
            </w:r>
            <w:r>
              <w:rPr>
                <w:color w:val="000000"/>
                <w:sz w:val="16"/>
                <w:szCs w:val="16"/>
              </w:rPr>
              <w:t> </w:t>
            </w:r>
          </w:p>
        </w:tc>
        <w:tc>
          <w:tcPr>
            <w:tcW w:w="1701" w:type="dxa"/>
          </w:tcPr>
          <w:p w14:paraId="472213D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E11_Modification</w:t>
            </w:r>
          </w:p>
        </w:tc>
        <w:tc>
          <w:tcPr>
            <w:tcW w:w="1559" w:type="dxa"/>
          </w:tcPr>
          <w:p w14:paraId="0160C47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E57_Matériau</w:t>
            </w:r>
          </w:p>
        </w:tc>
      </w:tr>
      <w:tr w:rsidR="00BF18CF" w14:paraId="458C2AE3" w14:textId="77777777" w:rsidTr="00BF18CF">
        <w:tc>
          <w:tcPr>
            <w:tcW w:w="699" w:type="dxa"/>
          </w:tcPr>
          <w:p w14:paraId="2E931B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P127</w:t>
            </w:r>
          </w:p>
        </w:tc>
        <w:tc>
          <w:tcPr>
            <w:tcW w:w="6804" w:type="dxa"/>
            <w:gridSpan w:val="6"/>
          </w:tcPr>
          <w:p w14:paraId="5CA31AA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P127_a_pour_terme_général (a_pour_terme_spécifique)</w:t>
            </w:r>
            <w:r>
              <w:rPr>
                <w:color w:val="000000"/>
                <w:sz w:val="16"/>
                <w:szCs w:val="16"/>
              </w:rPr>
              <w:t> </w:t>
            </w:r>
          </w:p>
        </w:tc>
        <w:tc>
          <w:tcPr>
            <w:tcW w:w="1701" w:type="dxa"/>
          </w:tcPr>
          <w:p w14:paraId="7842646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c>
          <w:tcPr>
            <w:tcW w:w="1559" w:type="dxa"/>
          </w:tcPr>
          <w:p w14:paraId="261317F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1DDFC39A" w14:textId="77777777" w:rsidTr="00BF18CF">
        <w:tc>
          <w:tcPr>
            <w:tcW w:w="699" w:type="dxa"/>
          </w:tcPr>
          <w:p w14:paraId="2D56287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P130</w:t>
            </w:r>
          </w:p>
        </w:tc>
        <w:tc>
          <w:tcPr>
            <w:tcW w:w="6804" w:type="dxa"/>
            <w:gridSpan w:val="6"/>
          </w:tcPr>
          <w:p w14:paraId="5D5B73E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P130_présente_les_caractéristiques_de (a_les_caractéristiques_aussi_présentes_sur)</w:t>
            </w:r>
            <w:r>
              <w:rPr>
                <w:color w:val="000000"/>
                <w:sz w:val="16"/>
                <w:szCs w:val="16"/>
              </w:rPr>
              <w:t> </w:t>
            </w:r>
          </w:p>
        </w:tc>
        <w:tc>
          <w:tcPr>
            <w:tcW w:w="1701" w:type="dxa"/>
          </w:tcPr>
          <w:p w14:paraId="187A963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E70_Chose</w:t>
            </w:r>
          </w:p>
        </w:tc>
        <w:tc>
          <w:tcPr>
            <w:tcW w:w="1559" w:type="dxa"/>
          </w:tcPr>
          <w:p w14:paraId="31E0F33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E70_Chose</w:t>
            </w:r>
          </w:p>
        </w:tc>
      </w:tr>
      <w:tr w:rsidR="00BF18CF" w14:paraId="4513E464" w14:textId="77777777" w:rsidTr="00BF18CF">
        <w:tc>
          <w:tcPr>
            <w:tcW w:w="699" w:type="dxa"/>
          </w:tcPr>
          <w:p w14:paraId="2C5FA20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P73i</w:t>
            </w:r>
          </w:p>
        </w:tc>
        <w:tc>
          <w:tcPr>
            <w:tcW w:w="236" w:type="dxa"/>
          </w:tcPr>
          <w:p w14:paraId="6BD760B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40A5866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P73i_est_traduction_de</w:t>
            </w:r>
            <w:r>
              <w:rPr>
                <w:color w:val="000000"/>
                <w:sz w:val="16"/>
                <w:szCs w:val="16"/>
              </w:rPr>
              <w:t> </w:t>
            </w:r>
          </w:p>
        </w:tc>
        <w:tc>
          <w:tcPr>
            <w:tcW w:w="1701" w:type="dxa"/>
          </w:tcPr>
          <w:p w14:paraId="2922BD8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E33_Objet_linguistique</w:t>
            </w:r>
          </w:p>
        </w:tc>
        <w:tc>
          <w:tcPr>
            <w:tcW w:w="1559" w:type="dxa"/>
          </w:tcPr>
          <w:p w14:paraId="34CD5A7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E33_Objet_linguistique</w:t>
            </w:r>
          </w:p>
        </w:tc>
      </w:tr>
      <w:tr w:rsidR="00BF18CF" w14:paraId="39282223" w14:textId="77777777" w:rsidTr="00BF18CF">
        <w:tc>
          <w:tcPr>
            <w:tcW w:w="699" w:type="dxa"/>
          </w:tcPr>
          <w:p w14:paraId="272D986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P128</w:t>
            </w:r>
          </w:p>
        </w:tc>
        <w:tc>
          <w:tcPr>
            <w:tcW w:w="236" w:type="dxa"/>
          </w:tcPr>
          <w:p w14:paraId="1B3CC3F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0535DF8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P128_est_le_support_de (a_pour_support)</w:t>
            </w:r>
            <w:r>
              <w:rPr>
                <w:color w:val="000000"/>
                <w:sz w:val="16"/>
                <w:szCs w:val="16"/>
              </w:rPr>
              <w:t> </w:t>
            </w:r>
          </w:p>
        </w:tc>
        <w:tc>
          <w:tcPr>
            <w:tcW w:w="1701" w:type="dxa"/>
          </w:tcPr>
          <w:p w14:paraId="7ECDE66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3C0C265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E90_Objet_symbolique</w:t>
            </w:r>
          </w:p>
        </w:tc>
      </w:tr>
      <w:tr w:rsidR="00BF18CF" w14:paraId="2F523FFF" w14:textId="77777777" w:rsidTr="00BF18CF">
        <w:tc>
          <w:tcPr>
            <w:tcW w:w="699" w:type="dxa"/>
          </w:tcPr>
          <w:p w14:paraId="53B2719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P65</w:t>
            </w:r>
          </w:p>
        </w:tc>
        <w:tc>
          <w:tcPr>
            <w:tcW w:w="236" w:type="dxa"/>
          </w:tcPr>
          <w:p w14:paraId="7FBC24E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6FE1F3C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4A5255B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P65_représente_l’entité_visuelle (est_représenté_par)</w:t>
            </w:r>
            <w:r>
              <w:rPr>
                <w:color w:val="000000"/>
                <w:sz w:val="16"/>
                <w:szCs w:val="16"/>
              </w:rPr>
              <w:t> </w:t>
            </w:r>
          </w:p>
        </w:tc>
        <w:tc>
          <w:tcPr>
            <w:tcW w:w="1701" w:type="dxa"/>
          </w:tcPr>
          <w:p w14:paraId="53B006E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E24_Chose_matérielle_élaborée_par_l’humain </w:t>
            </w:r>
          </w:p>
        </w:tc>
        <w:tc>
          <w:tcPr>
            <w:tcW w:w="1559" w:type="dxa"/>
          </w:tcPr>
          <w:p w14:paraId="2305C48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E36_Entité_visuelle</w:t>
            </w:r>
          </w:p>
        </w:tc>
      </w:tr>
      <w:tr w:rsidR="00BF18CF" w14:paraId="7FE303D4" w14:textId="77777777" w:rsidTr="00BF18CF">
        <w:tc>
          <w:tcPr>
            <w:tcW w:w="699" w:type="dxa"/>
          </w:tcPr>
          <w:p w14:paraId="016DED43"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P132</w:t>
            </w:r>
          </w:p>
        </w:tc>
        <w:tc>
          <w:tcPr>
            <w:tcW w:w="6804" w:type="dxa"/>
            <w:gridSpan w:val="6"/>
          </w:tcPr>
          <w:p w14:paraId="7133CBB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P132_recoupe_spatio-temporellement</w:t>
            </w:r>
            <w:r>
              <w:rPr>
                <w:color w:val="000000"/>
                <w:sz w:val="16"/>
                <w:szCs w:val="16"/>
              </w:rPr>
              <w:t> </w:t>
            </w:r>
          </w:p>
        </w:tc>
        <w:tc>
          <w:tcPr>
            <w:tcW w:w="1701" w:type="dxa"/>
          </w:tcPr>
          <w:p w14:paraId="6B1B74B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c>
          <w:tcPr>
            <w:tcW w:w="1559" w:type="dxa"/>
          </w:tcPr>
          <w:p w14:paraId="175A57B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r>
      <w:tr w:rsidR="00BF18CF" w14:paraId="11678F6B" w14:textId="77777777" w:rsidTr="00BF18CF">
        <w:tc>
          <w:tcPr>
            <w:tcW w:w="699" w:type="dxa"/>
          </w:tcPr>
          <w:p w14:paraId="4316D6C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P10</w:t>
            </w:r>
          </w:p>
        </w:tc>
        <w:tc>
          <w:tcPr>
            <w:tcW w:w="236" w:type="dxa"/>
          </w:tcPr>
          <w:p w14:paraId="5E394B9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57165A9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P10_s’insère_dans (contient)</w:t>
            </w:r>
            <w:r>
              <w:rPr>
                <w:color w:val="000000"/>
                <w:sz w:val="16"/>
                <w:szCs w:val="16"/>
              </w:rPr>
              <w:t> </w:t>
            </w:r>
          </w:p>
        </w:tc>
        <w:tc>
          <w:tcPr>
            <w:tcW w:w="1701" w:type="dxa"/>
          </w:tcPr>
          <w:p w14:paraId="0F9D3DA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c>
          <w:tcPr>
            <w:tcW w:w="1559" w:type="dxa"/>
          </w:tcPr>
          <w:p w14:paraId="1E53D6E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r>
      <w:tr w:rsidR="00BF18CF" w14:paraId="7723E31A" w14:textId="77777777" w:rsidTr="00BF18CF">
        <w:tc>
          <w:tcPr>
            <w:tcW w:w="699" w:type="dxa"/>
          </w:tcPr>
          <w:p w14:paraId="4CF5C44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P9i</w:t>
            </w:r>
          </w:p>
        </w:tc>
        <w:tc>
          <w:tcPr>
            <w:tcW w:w="236" w:type="dxa"/>
          </w:tcPr>
          <w:p w14:paraId="0B76B6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6454563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 </w:t>
            </w:r>
          </w:p>
        </w:tc>
        <w:tc>
          <w:tcPr>
            <w:tcW w:w="6332" w:type="dxa"/>
            <w:gridSpan w:val="4"/>
          </w:tcPr>
          <w:p w14:paraId="127D98E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P9i_fait_partie_de</w:t>
            </w:r>
            <w:r>
              <w:rPr>
                <w:color w:val="000000"/>
                <w:sz w:val="16"/>
                <w:szCs w:val="16"/>
              </w:rPr>
              <w:t> </w:t>
            </w:r>
          </w:p>
        </w:tc>
        <w:tc>
          <w:tcPr>
            <w:tcW w:w="1701" w:type="dxa"/>
          </w:tcPr>
          <w:p w14:paraId="775FFD4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E4_Période</w:t>
            </w:r>
          </w:p>
        </w:tc>
        <w:tc>
          <w:tcPr>
            <w:tcW w:w="1559" w:type="dxa"/>
          </w:tcPr>
          <w:p w14:paraId="3885914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E4_Période</w:t>
            </w:r>
          </w:p>
        </w:tc>
      </w:tr>
      <w:tr w:rsidR="00BF18CF" w14:paraId="1DBBB361" w14:textId="77777777" w:rsidTr="00BF18CF">
        <w:tc>
          <w:tcPr>
            <w:tcW w:w="699" w:type="dxa"/>
          </w:tcPr>
          <w:p w14:paraId="36CC5C2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P166</w:t>
            </w:r>
          </w:p>
        </w:tc>
        <w:tc>
          <w:tcPr>
            <w:tcW w:w="236" w:type="dxa"/>
          </w:tcPr>
          <w:p w14:paraId="58F6FEE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169CF3F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 </w:t>
            </w:r>
          </w:p>
        </w:tc>
        <w:tc>
          <w:tcPr>
            <w:tcW w:w="6332" w:type="dxa"/>
            <w:gridSpan w:val="4"/>
          </w:tcPr>
          <w:p w14:paraId="1E48896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P166_a_été_une_présence_de (a_eu_pour_présence)</w:t>
            </w:r>
            <w:r>
              <w:rPr>
                <w:color w:val="000000"/>
                <w:sz w:val="16"/>
                <w:szCs w:val="16"/>
              </w:rPr>
              <w:t> </w:t>
            </w:r>
          </w:p>
        </w:tc>
        <w:tc>
          <w:tcPr>
            <w:tcW w:w="1701" w:type="dxa"/>
          </w:tcPr>
          <w:p w14:paraId="5FCCD8A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E93_Présence</w:t>
            </w:r>
          </w:p>
        </w:tc>
        <w:tc>
          <w:tcPr>
            <w:tcW w:w="1559" w:type="dxa"/>
          </w:tcPr>
          <w:p w14:paraId="509FCE5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r>
      <w:tr w:rsidR="00BF18CF" w14:paraId="46C461E8" w14:textId="77777777" w:rsidTr="00BF18CF">
        <w:tc>
          <w:tcPr>
            <w:tcW w:w="699" w:type="dxa"/>
          </w:tcPr>
          <w:p w14:paraId="44DD469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P9</w:t>
            </w:r>
          </w:p>
        </w:tc>
        <w:tc>
          <w:tcPr>
            <w:tcW w:w="236" w:type="dxa"/>
          </w:tcPr>
          <w:p w14:paraId="77E8D0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39898A6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P9_comprend (fait_partie_de)</w:t>
            </w:r>
            <w:r>
              <w:rPr>
                <w:color w:val="000000"/>
                <w:sz w:val="16"/>
                <w:szCs w:val="16"/>
              </w:rPr>
              <w:t> </w:t>
            </w:r>
          </w:p>
        </w:tc>
        <w:tc>
          <w:tcPr>
            <w:tcW w:w="1701" w:type="dxa"/>
          </w:tcPr>
          <w:p w14:paraId="6C8F6DF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E4_Période</w:t>
            </w:r>
          </w:p>
        </w:tc>
        <w:tc>
          <w:tcPr>
            <w:tcW w:w="1559" w:type="dxa"/>
          </w:tcPr>
          <w:p w14:paraId="557A0FF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E4_Période</w:t>
            </w:r>
          </w:p>
        </w:tc>
      </w:tr>
      <w:tr w:rsidR="00BF18CF" w14:paraId="441778A0" w14:textId="77777777" w:rsidTr="00BF18CF">
        <w:tc>
          <w:tcPr>
            <w:tcW w:w="699" w:type="dxa"/>
          </w:tcPr>
          <w:p w14:paraId="76ECEA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P46</w:t>
            </w:r>
          </w:p>
        </w:tc>
        <w:tc>
          <w:tcPr>
            <w:tcW w:w="6804" w:type="dxa"/>
            <w:gridSpan w:val="6"/>
          </w:tcPr>
          <w:p w14:paraId="79FD8AA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P46_est_composé_de (fait_partie_de)</w:t>
            </w:r>
            <w:r>
              <w:rPr>
                <w:color w:val="000000"/>
                <w:sz w:val="16"/>
                <w:szCs w:val="16"/>
              </w:rPr>
              <w:t> </w:t>
            </w:r>
          </w:p>
        </w:tc>
        <w:tc>
          <w:tcPr>
            <w:tcW w:w="1701" w:type="dxa"/>
          </w:tcPr>
          <w:p w14:paraId="0EBCC23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7A73B5E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6DEE8691" w14:textId="77777777" w:rsidTr="00BF18CF">
        <w:tc>
          <w:tcPr>
            <w:tcW w:w="699" w:type="dxa"/>
          </w:tcPr>
          <w:p w14:paraId="537B740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P56</w:t>
            </w:r>
          </w:p>
        </w:tc>
        <w:tc>
          <w:tcPr>
            <w:tcW w:w="236" w:type="dxa"/>
          </w:tcPr>
          <w:p w14:paraId="4220266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666F58F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P56_a_pour_caractéristique (se_trouve_sur)</w:t>
            </w:r>
            <w:r>
              <w:rPr>
                <w:color w:val="000000"/>
                <w:sz w:val="16"/>
                <w:szCs w:val="16"/>
              </w:rPr>
              <w:t> </w:t>
            </w:r>
          </w:p>
        </w:tc>
        <w:tc>
          <w:tcPr>
            <w:tcW w:w="1701" w:type="dxa"/>
          </w:tcPr>
          <w:p w14:paraId="58B6255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E19_Objet_matériel</w:t>
            </w:r>
          </w:p>
        </w:tc>
        <w:tc>
          <w:tcPr>
            <w:tcW w:w="1559" w:type="dxa"/>
          </w:tcPr>
          <w:p w14:paraId="5EC2B03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E26_Caractéristique_physique</w:t>
            </w:r>
          </w:p>
        </w:tc>
      </w:tr>
      <w:tr w:rsidR="00BF18CF" w14:paraId="68A52EC5" w14:textId="77777777" w:rsidTr="00BF18CF">
        <w:tc>
          <w:tcPr>
            <w:tcW w:w="699" w:type="dxa"/>
          </w:tcPr>
          <w:p w14:paraId="72AD540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P133</w:t>
            </w:r>
          </w:p>
        </w:tc>
        <w:tc>
          <w:tcPr>
            <w:tcW w:w="6804" w:type="dxa"/>
            <w:gridSpan w:val="6"/>
          </w:tcPr>
          <w:p w14:paraId="7E7E356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P133_est_distinct_spatio-temporellement_de</w:t>
            </w:r>
            <w:r>
              <w:rPr>
                <w:color w:val="000000"/>
                <w:sz w:val="16"/>
                <w:szCs w:val="16"/>
              </w:rPr>
              <w:t> </w:t>
            </w:r>
          </w:p>
        </w:tc>
        <w:tc>
          <w:tcPr>
            <w:tcW w:w="1701" w:type="dxa"/>
          </w:tcPr>
          <w:p w14:paraId="4AD4E4E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c>
          <w:tcPr>
            <w:tcW w:w="1559" w:type="dxa"/>
          </w:tcPr>
          <w:p w14:paraId="645D417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r>
      <w:tr w:rsidR="00BF18CF" w14:paraId="544C6940" w14:textId="77777777" w:rsidTr="00BF18CF">
        <w:tc>
          <w:tcPr>
            <w:tcW w:w="699" w:type="dxa"/>
          </w:tcPr>
          <w:p w14:paraId="240032C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P139</w:t>
            </w:r>
          </w:p>
        </w:tc>
        <w:tc>
          <w:tcPr>
            <w:tcW w:w="6804" w:type="dxa"/>
            <w:gridSpan w:val="6"/>
          </w:tcPr>
          <w:p w14:paraId="36A8D5C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P139_a_pour_forme_alternative</w:t>
            </w:r>
            <w:r>
              <w:rPr>
                <w:color w:val="000000"/>
                <w:sz w:val="16"/>
                <w:szCs w:val="16"/>
              </w:rPr>
              <w:t> </w:t>
            </w:r>
          </w:p>
        </w:tc>
        <w:tc>
          <w:tcPr>
            <w:tcW w:w="1701" w:type="dxa"/>
          </w:tcPr>
          <w:p w14:paraId="061D48A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E41_Appellation</w:t>
            </w:r>
          </w:p>
        </w:tc>
        <w:tc>
          <w:tcPr>
            <w:tcW w:w="1559" w:type="dxa"/>
          </w:tcPr>
          <w:p w14:paraId="2C79B61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E41_Appellation</w:t>
            </w:r>
          </w:p>
        </w:tc>
      </w:tr>
      <w:tr w:rsidR="00BF18CF" w14:paraId="58E7A2D1" w14:textId="77777777" w:rsidTr="00BF18CF">
        <w:tc>
          <w:tcPr>
            <w:tcW w:w="699" w:type="dxa"/>
          </w:tcPr>
          <w:p w14:paraId="126E999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P140</w:t>
            </w:r>
          </w:p>
        </w:tc>
        <w:tc>
          <w:tcPr>
            <w:tcW w:w="6804" w:type="dxa"/>
            <w:gridSpan w:val="6"/>
          </w:tcPr>
          <w:p w14:paraId="3807DBF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P140_a_assigné_l’attribut_à (a_reçu_l’attribut_par)</w:t>
            </w:r>
            <w:r>
              <w:rPr>
                <w:color w:val="000000"/>
                <w:sz w:val="16"/>
                <w:szCs w:val="16"/>
              </w:rPr>
              <w:t> </w:t>
            </w:r>
          </w:p>
        </w:tc>
        <w:tc>
          <w:tcPr>
            <w:tcW w:w="1701" w:type="dxa"/>
          </w:tcPr>
          <w:p w14:paraId="208DD0C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E13_Assignation_d’attribut</w:t>
            </w:r>
          </w:p>
        </w:tc>
        <w:tc>
          <w:tcPr>
            <w:tcW w:w="1559" w:type="dxa"/>
          </w:tcPr>
          <w:p w14:paraId="7B8FDB9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36588C5F" w14:textId="77777777" w:rsidTr="00BF18CF">
        <w:tc>
          <w:tcPr>
            <w:tcW w:w="699" w:type="dxa"/>
          </w:tcPr>
          <w:p w14:paraId="495E150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P34</w:t>
            </w:r>
          </w:p>
        </w:tc>
        <w:tc>
          <w:tcPr>
            <w:tcW w:w="236" w:type="dxa"/>
          </w:tcPr>
          <w:p w14:paraId="395A677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 </w:t>
            </w:r>
          </w:p>
        </w:tc>
        <w:tc>
          <w:tcPr>
            <w:tcW w:w="6568" w:type="dxa"/>
            <w:gridSpan w:val="5"/>
          </w:tcPr>
          <w:p w14:paraId="5C41297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P34_a_porté_sur (a_été_évalué_par)</w:t>
            </w:r>
            <w:r>
              <w:rPr>
                <w:color w:val="000000"/>
                <w:sz w:val="16"/>
                <w:szCs w:val="16"/>
              </w:rPr>
              <w:t> </w:t>
            </w:r>
          </w:p>
        </w:tc>
        <w:tc>
          <w:tcPr>
            <w:tcW w:w="1701" w:type="dxa"/>
          </w:tcPr>
          <w:p w14:paraId="4AE061C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E14_Évaluation_d’état_matériel</w:t>
            </w:r>
          </w:p>
        </w:tc>
        <w:tc>
          <w:tcPr>
            <w:tcW w:w="1559" w:type="dxa"/>
          </w:tcPr>
          <w:p w14:paraId="1D147EF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3D412B4B" w14:textId="77777777" w:rsidTr="00BF18CF">
        <w:tc>
          <w:tcPr>
            <w:tcW w:w="699" w:type="dxa"/>
          </w:tcPr>
          <w:p w14:paraId="7E0DF7E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P39</w:t>
            </w:r>
          </w:p>
        </w:tc>
        <w:tc>
          <w:tcPr>
            <w:tcW w:w="236" w:type="dxa"/>
          </w:tcPr>
          <w:p w14:paraId="78EBEEC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0E34E37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P39_a_mesuré (a_été_mesuré_par)</w:t>
            </w:r>
            <w:r>
              <w:rPr>
                <w:color w:val="000000"/>
                <w:sz w:val="16"/>
                <w:szCs w:val="16"/>
              </w:rPr>
              <w:t> </w:t>
            </w:r>
          </w:p>
        </w:tc>
        <w:tc>
          <w:tcPr>
            <w:tcW w:w="1701" w:type="dxa"/>
          </w:tcPr>
          <w:p w14:paraId="1E06767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E16_Mesurage</w:t>
            </w:r>
          </w:p>
        </w:tc>
        <w:tc>
          <w:tcPr>
            <w:tcW w:w="1559" w:type="dxa"/>
          </w:tcPr>
          <w:p w14:paraId="78FA815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78B9128A" w14:textId="77777777" w:rsidTr="00BF18CF">
        <w:tc>
          <w:tcPr>
            <w:tcW w:w="699" w:type="dxa"/>
          </w:tcPr>
          <w:p w14:paraId="0826AEB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P41</w:t>
            </w:r>
          </w:p>
        </w:tc>
        <w:tc>
          <w:tcPr>
            <w:tcW w:w="236" w:type="dxa"/>
          </w:tcPr>
          <w:p w14:paraId="4F0A885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 </w:t>
            </w:r>
          </w:p>
        </w:tc>
        <w:tc>
          <w:tcPr>
            <w:tcW w:w="6568" w:type="dxa"/>
            <w:gridSpan w:val="5"/>
          </w:tcPr>
          <w:p w14:paraId="621D38D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P41_a_classifié (a_été_classifié_par)</w:t>
            </w:r>
            <w:r>
              <w:rPr>
                <w:color w:val="000000"/>
                <w:sz w:val="16"/>
                <w:szCs w:val="16"/>
              </w:rPr>
              <w:t> </w:t>
            </w:r>
          </w:p>
        </w:tc>
        <w:tc>
          <w:tcPr>
            <w:tcW w:w="1701" w:type="dxa"/>
          </w:tcPr>
          <w:p w14:paraId="161B462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E17_Assignation_de_type</w:t>
            </w:r>
          </w:p>
        </w:tc>
        <w:tc>
          <w:tcPr>
            <w:tcW w:w="1559" w:type="dxa"/>
          </w:tcPr>
          <w:p w14:paraId="2F5F5E8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3A55835A" w14:textId="77777777" w:rsidTr="00BF18CF">
        <w:tc>
          <w:tcPr>
            <w:tcW w:w="699" w:type="dxa"/>
          </w:tcPr>
          <w:p w14:paraId="6F09214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P141</w:t>
            </w:r>
          </w:p>
        </w:tc>
        <w:tc>
          <w:tcPr>
            <w:tcW w:w="6804" w:type="dxa"/>
            <w:gridSpan w:val="6"/>
          </w:tcPr>
          <w:p w14:paraId="4C4DB4D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P141_a_assigné (a_été_assigné_par)</w:t>
            </w:r>
            <w:r>
              <w:rPr>
                <w:color w:val="000000"/>
                <w:sz w:val="16"/>
                <w:szCs w:val="16"/>
              </w:rPr>
              <w:t> </w:t>
            </w:r>
          </w:p>
        </w:tc>
        <w:tc>
          <w:tcPr>
            <w:tcW w:w="1701" w:type="dxa"/>
          </w:tcPr>
          <w:p w14:paraId="5C1EC00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E13_Assignation_d’attribut</w:t>
            </w:r>
          </w:p>
        </w:tc>
        <w:tc>
          <w:tcPr>
            <w:tcW w:w="1559" w:type="dxa"/>
          </w:tcPr>
          <w:p w14:paraId="22B9509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E1_Entité_CRM</w:t>
            </w:r>
          </w:p>
        </w:tc>
      </w:tr>
      <w:tr w:rsidR="00BF18CF" w14:paraId="2AB2F4B2" w14:textId="77777777" w:rsidTr="00BF18CF">
        <w:tc>
          <w:tcPr>
            <w:tcW w:w="699" w:type="dxa"/>
          </w:tcPr>
          <w:p w14:paraId="7D9CED0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P35</w:t>
            </w:r>
          </w:p>
        </w:tc>
        <w:tc>
          <w:tcPr>
            <w:tcW w:w="236" w:type="dxa"/>
          </w:tcPr>
          <w:p w14:paraId="083D53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33B34D4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P35_a_identifié (a_été_identifié_par)</w:t>
            </w:r>
            <w:r>
              <w:rPr>
                <w:color w:val="000000"/>
                <w:sz w:val="16"/>
                <w:szCs w:val="16"/>
              </w:rPr>
              <w:t> </w:t>
            </w:r>
          </w:p>
        </w:tc>
        <w:tc>
          <w:tcPr>
            <w:tcW w:w="1701" w:type="dxa"/>
          </w:tcPr>
          <w:p w14:paraId="00A895B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E14_Évaluation_d’état_matériel</w:t>
            </w:r>
          </w:p>
        </w:tc>
        <w:tc>
          <w:tcPr>
            <w:tcW w:w="1559" w:type="dxa"/>
          </w:tcPr>
          <w:p w14:paraId="5E84E0D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E3_État_matériel</w:t>
            </w:r>
          </w:p>
        </w:tc>
      </w:tr>
      <w:tr w:rsidR="00BF18CF" w14:paraId="1C1E9318" w14:textId="77777777" w:rsidTr="00BF18CF">
        <w:tc>
          <w:tcPr>
            <w:tcW w:w="699" w:type="dxa"/>
          </w:tcPr>
          <w:p w14:paraId="2E622C6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P37</w:t>
            </w:r>
          </w:p>
        </w:tc>
        <w:tc>
          <w:tcPr>
            <w:tcW w:w="236" w:type="dxa"/>
          </w:tcPr>
          <w:p w14:paraId="074D454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3A68806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P37_a_assigné (a_été_assigné_par)</w:t>
            </w:r>
            <w:r>
              <w:rPr>
                <w:color w:val="000000"/>
                <w:sz w:val="16"/>
                <w:szCs w:val="16"/>
              </w:rPr>
              <w:t> </w:t>
            </w:r>
          </w:p>
        </w:tc>
        <w:tc>
          <w:tcPr>
            <w:tcW w:w="1701" w:type="dxa"/>
          </w:tcPr>
          <w:p w14:paraId="5613AD3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E15_Assignation_d’identifiant</w:t>
            </w:r>
          </w:p>
        </w:tc>
        <w:tc>
          <w:tcPr>
            <w:tcW w:w="1559" w:type="dxa"/>
          </w:tcPr>
          <w:p w14:paraId="4BE7F13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E42_Identifiant</w:t>
            </w:r>
          </w:p>
        </w:tc>
      </w:tr>
      <w:tr w:rsidR="00BF18CF" w14:paraId="5F7FABED" w14:textId="77777777" w:rsidTr="00BF18CF">
        <w:tc>
          <w:tcPr>
            <w:tcW w:w="699" w:type="dxa"/>
          </w:tcPr>
          <w:p w14:paraId="5BFDC2B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P38</w:t>
            </w:r>
          </w:p>
        </w:tc>
        <w:tc>
          <w:tcPr>
            <w:tcW w:w="236" w:type="dxa"/>
          </w:tcPr>
          <w:p w14:paraId="31235C1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348FC88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P38_a_retiré_l’assignation_de (a_été_retiré_par)</w:t>
            </w:r>
            <w:r>
              <w:rPr>
                <w:color w:val="000000"/>
                <w:sz w:val="16"/>
                <w:szCs w:val="16"/>
              </w:rPr>
              <w:t> </w:t>
            </w:r>
          </w:p>
        </w:tc>
        <w:tc>
          <w:tcPr>
            <w:tcW w:w="1701" w:type="dxa"/>
          </w:tcPr>
          <w:p w14:paraId="0B0BA58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E15_Assignation_d’identifiant</w:t>
            </w:r>
          </w:p>
        </w:tc>
        <w:tc>
          <w:tcPr>
            <w:tcW w:w="1559" w:type="dxa"/>
          </w:tcPr>
          <w:p w14:paraId="58DADDE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E42_Identifiant</w:t>
            </w:r>
          </w:p>
        </w:tc>
      </w:tr>
      <w:tr w:rsidR="00BF18CF" w14:paraId="3CB8A42F" w14:textId="77777777" w:rsidTr="00BF18CF">
        <w:tc>
          <w:tcPr>
            <w:tcW w:w="699" w:type="dxa"/>
          </w:tcPr>
          <w:p w14:paraId="3FF3881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P40</w:t>
            </w:r>
          </w:p>
        </w:tc>
        <w:tc>
          <w:tcPr>
            <w:tcW w:w="236" w:type="dxa"/>
          </w:tcPr>
          <w:p w14:paraId="7CB9219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654A770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P40_a_relevé_comme_dimension (a_été_relevé_par)</w:t>
            </w:r>
            <w:r>
              <w:rPr>
                <w:color w:val="000000"/>
                <w:sz w:val="16"/>
                <w:szCs w:val="16"/>
              </w:rPr>
              <w:t> </w:t>
            </w:r>
          </w:p>
        </w:tc>
        <w:tc>
          <w:tcPr>
            <w:tcW w:w="1701" w:type="dxa"/>
          </w:tcPr>
          <w:p w14:paraId="74C4DAA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E16_Mesurage</w:t>
            </w:r>
          </w:p>
        </w:tc>
        <w:tc>
          <w:tcPr>
            <w:tcW w:w="1559" w:type="dxa"/>
          </w:tcPr>
          <w:p w14:paraId="3F04F85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E54_Dimension</w:t>
            </w:r>
          </w:p>
        </w:tc>
      </w:tr>
      <w:tr w:rsidR="00BF18CF" w14:paraId="4ADB9237" w14:textId="77777777" w:rsidTr="00BF18CF">
        <w:tc>
          <w:tcPr>
            <w:tcW w:w="699" w:type="dxa"/>
          </w:tcPr>
          <w:p w14:paraId="127F72D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P42</w:t>
            </w:r>
          </w:p>
        </w:tc>
        <w:tc>
          <w:tcPr>
            <w:tcW w:w="236" w:type="dxa"/>
          </w:tcPr>
          <w:p w14:paraId="3E65A52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5C7DBD7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P42_a_assigné (a_été_assigné_par)</w:t>
            </w:r>
            <w:r>
              <w:rPr>
                <w:color w:val="000000"/>
                <w:sz w:val="16"/>
                <w:szCs w:val="16"/>
              </w:rPr>
              <w:t> </w:t>
            </w:r>
          </w:p>
        </w:tc>
        <w:tc>
          <w:tcPr>
            <w:tcW w:w="1701" w:type="dxa"/>
          </w:tcPr>
          <w:p w14:paraId="5EDA07B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E17_Assignation_de_type</w:t>
            </w:r>
          </w:p>
        </w:tc>
        <w:tc>
          <w:tcPr>
            <w:tcW w:w="1559" w:type="dxa"/>
          </w:tcPr>
          <w:p w14:paraId="6D6806D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2303AEB0" w14:textId="77777777" w:rsidTr="00BF18CF">
        <w:tc>
          <w:tcPr>
            <w:tcW w:w="699" w:type="dxa"/>
          </w:tcPr>
          <w:p w14:paraId="64852AA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P147</w:t>
            </w:r>
          </w:p>
        </w:tc>
        <w:tc>
          <w:tcPr>
            <w:tcW w:w="6804" w:type="dxa"/>
            <w:gridSpan w:val="6"/>
          </w:tcPr>
          <w:p w14:paraId="63C277B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P147_a_géré (a_été_géré_par)</w:t>
            </w:r>
            <w:r>
              <w:rPr>
                <w:color w:val="000000"/>
                <w:sz w:val="16"/>
                <w:szCs w:val="16"/>
              </w:rPr>
              <w:t> </w:t>
            </w:r>
          </w:p>
        </w:tc>
        <w:tc>
          <w:tcPr>
            <w:tcW w:w="1701" w:type="dxa"/>
          </w:tcPr>
          <w:p w14:paraId="3676F3D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E87_Activité_curatoriale</w:t>
            </w:r>
          </w:p>
        </w:tc>
        <w:tc>
          <w:tcPr>
            <w:tcW w:w="1559" w:type="dxa"/>
          </w:tcPr>
          <w:p w14:paraId="0C75ECA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E78_Collection</w:t>
            </w:r>
          </w:p>
        </w:tc>
      </w:tr>
      <w:tr w:rsidR="00BF18CF" w14:paraId="6A0AC850" w14:textId="77777777" w:rsidTr="00BF18CF">
        <w:tc>
          <w:tcPr>
            <w:tcW w:w="699" w:type="dxa"/>
          </w:tcPr>
          <w:p w14:paraId="5F515361"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P148</w:t>
            </w:r>
          </w:p>
        </w:tc>
        <w:tc>
          <w:tcPr>
            <w:tcW w:w="6804" w:type="dxa"/>
            <w:gridSpan w:val="6"/>
          </w:tcPr>
          <w:p w14:paraId="4DF887F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P148_a_pour_composant (est_le_composant_de)</w:t>
            </w:r>
            <w:r>
              <w:rPr>
                <w:color w:val="000000"/>
                <w:sz w:val="16"/>
                <w:szCs w:val="16"/>
              </w:rPr>
              <w:t> </w:t>
            </w:r>
          </w:p>
        </w:tc>
        <w:tc>
          <w:tcPr>
            <w:tcW w:w="1701" w:type="dxa"/>
          </w:tcPr>
          <w:p w14:paraId="5285768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E89_Objet_propositionnel</w:t>
            </w:r>
          </w:p>
        </w:tc>
        <w:tc>
          <w:tcPr>
            <w:tcW w:w="1559" w:type="dxa"/>
          </w:tcPr>
          <w:p w14:paraId="652225A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E89_Objet_propositionnel</w:t>
            </w:r>
          </w:p>
        </w:tc>
      </w:tr>
      <w:tr w:rsidR="00BF18CF" w14:paraId="6EA558A9" w14:textId="77777777" w:rsidTr="00BF18CF">
        <w:tc>
          <w:tcPr>
            <w:tcW w:w="699" w:type="dxa"/>
          </w:tcPr>
          <w:p w14:paraId="3AB386B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P150</w:t>
            </w:r>
          </w:p>
        </w:tc>
        <w:tc>
          <w:tcPr>
            <w:tcW w:w="6804" w:type="dxa"/>
            <w:gridSpan w:val="6"/>
          </w:tcPr>
          <w:p w14:paraId="1443282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P150_définit_les_éléments_typiques_de (définit_l’ensemble_typique_pour)</w:t>
            </w:r>
            <w:r>
              <w:rPr>
                <w:color w:val="000000"/>
                <w:sz w:val="16"/>
                <w:szCs w:val="16"/>
              </w:rPr>
              <w:t> </w:t>
            </w:r>
          </w:p>
        </w:tc>
        <w:tc>
          <w:tcPr>
            <w:tcW w:w="1701" w:type="dxa"/>
          </w:tcPr>
          <w:p w14:paraId="6F67BFD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c>
          <w:tcPr>
            <w:tcW w:w="1559" w:type="dxa"/>
          </w:tcPr>
          <w:p w14:paraId="7A38C33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E55_Type</w:t>
            </w:r>
          </w:p>
        </w:tc>
      </w:tr>
      <w:tr w:rsidR="00BF18CF" w14:paraId="1681AC90" w14:textId="77777777" w:rsidTr="00BF18CF">
        <w:tc>
          <w:tcPr>
            <w:tcW w:w="699" w:type="dxa"/>
          </w:tcPr>
          <w:p w14:paraId="5847433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P152</w:t>
            </w:r>
          </w:p>
        </w:tc>
        <w:tc>
          <w:tcPr>
            <w:tcW w:w="6804" w:type="dxa"/>
            <w:gridSpan w:val="6"/>
          </w:tcPr>
          <w:p w14:paraId="40EA0CD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P152_a_pour_parent (est_le_parent_de)</w:t>
            </w:r>
            <w:r>
              <w:rPr>
                <w:color w:val="000000"/>
                <w:sz w:val="16"/>
                <w:szCs w:val="16"/>
              </w:rPr>
              <w:t> </w:t>
            </w:r>
          </w:p>
        </w:tc>
        <w:tc>
          <w:tcPr>
            <w:tcW w:w="1701" w:type="dxa"/>
          </w:tcPr>
          <w:p w14:paraId="6DFA691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E21_Personne</w:t>
            </w:r>
          </w:p>
        </w:tc>
        <w:tc>
          <w:tcPr>
            <w:tcW w:w="1559" w:type="dxa"/>
          </w:tcPr>
          <w:p w14:paraId="3A9F90C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E21_Personne</w:t>
            </w:r>
          </w:p>
        </w:tc>
      </w:tr>
      <w:tr w:rsidR="00BF18CF" w14:paraId="51BDC9D7" w14:textId="77777777" w:rsidTr="00BF18CF">
        <w:tc>
          <w:tcPr>
            <w:tcW w:w="699" w:type="dxa"/>
          </w:tcPr>
          <w:p w14:paraId="07C5BF5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P157</w:t>
            </w:r>
          </w:p>
        </w:tc>
        <w:tc>
          <w:tcPr>
            <w:tcW w:w="6804" w:type="dxa"/>
            <w:gridSpan w:val="6"/>
          </w:tcPr>
          <w:p w14:paraId="484B55A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P157_est_à_l’arrêt_par_rapport_à (procure_l’espace_de_référence_pour)</w:t>
            </w:r>
            <w:r>
              <w:rPr>
                <w:color w:val="000000"/>
                <w:sz w:val="16"/>
                <w:szCs w:val="16"/>
              </w:rPr>
              <w:t> </w:t>
            </w:r>
          </w:p>
        </w:tc>
        <w:tc>
          <w:tcPr>
            <w:tcW w:w="1701" w:type="dxa"/>
          </w:tcPr>
          <w:p w14:paraId="0D2300E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12E7629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5795BD7E" w14:textId="77777777" w:rsidTr="00BF18CF">
        <w:tc>
          <w:tcPr>
            <w:tcW w:w="699" w:type="dxa"/>
          </w:tcPr>
          <w:p w14:paraId="78F5238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P59i</w:t>
            </w:r>
          </w:p>
        </w:tc>
        <w:tc>
          <w:tcPr>
            <w:tcW w:w="236" w:type="dxa"/>
          </w:tcPr>
          <w:p w14:paraId="6F60FDD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76F7B8A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P59i_se_situe_sur_ou_dans</w:t>
            </w:r>
            <w:r>
              <w:rPr>
                <w:color w:val="000000"/>
                <w:sz w:val="16"/>
                <w:szCs w:val="16"/>
              </w:rPr>
              <w:t> </w:t>
            </w:r>
          </w:p>
        </w:tc>
        <w:tc>
          <w:tcPr>
            <w:tcW w:w="1701" w:type="dxa"/>
          </w:tcPr>
          <w:p w14:paraId="1874203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3A0471F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59236A78" w14:textId="77777777" w:rsidTr="00BF18CF">
        <w:tc>
          <w:tcPr>
            <w:tcW w:w="699" w:type="dxa"/>
          </w:tcPr>
          <w:p w14:paraId="269368A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P156i</w:t>
            </w:r>
          </w:p>
        </w:tc>
        <w:tc>
          <w:tcPr>
            <w:tcW w:w="236" w:type="dxa"/>
          </w:tcPr>
          <w:p w14:paraId="0022E5B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55D3CB3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P156i_est_occupé_par</w:t>
            </w:r>
            <w:r>
              <w:rPr>
                <w:color w:val="000000"/>
                <w:sz w:val="16"/>
                <w:szCs w:val="16"/>
              </w:rPr>
              <w:t> </w:t>
            </w:r>
          </w:p>
        </w:tc>
        <w:tc>
          <w:tcPr>
            <w:tcW w:w="1701" w:type="dxa"/>
          </w:tcPr>
          <w:p w14:paraId="3928C59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6C321A2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24357A38" w14:textId="77777777" w:rsidTr="00BF18CF">
        <w:tc>
          <w:tcPr>
            <w:tcW w:w="699" w:type="dxa"/>
          </w:tcPr>
          <w:p w14:paraId="3EB85EE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P160</w:t>
            </w:r>
          </w:p>
        </w:tc>
        <w:tc>
          <w:tcPr>
            <w:tcW w:w="6804" w:type="dxa"/>
            <w:gridSpan w:val="6"/>
          </w:tcPr>
          <w:p w14:paraId="421E821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P160_a_pour_projection_temporelle (est_la_projection_temporelle_de)</w:t>
            </w:r>
            <w:r>
              <w:rPr>
                <w:color w:val="000000"/>
                <w:sz w:val="16"/>
                <w:szCs w:val="16"/>
              </w:rPr>
              <w:t> </w:t>
            </w:r>
          </w:p>
        </w:tc>
        <w:tc>
          <w:tcPr>
            <w:tcW w:w="1701" w:type="dxa"/>
          </w:tcPr>
          <w:p w14:paraId="2770831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c>
          <w:tcPr>
            <w:tcW w:w="1559" w:type="dxa"/>
          </w:tcPr>
          <w:p w14:paraId="2261FD0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r>
      <w:tr w:rsidR="00BF18CF" w14:paraId="243448FB" w14:textId="77777777" w:rsidTr="00BF18CF">
        <w:tc>
          <w:tcPr>
            <w:tcW w:w="699" w:type="dxa"/>
          </w:tcPr>
          <w:p w14:paraId="329E8D6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P164</w:t>
            </w:r>
          </w:p>
        </w:tc>
        <w:tc>
          <w:tcPr>
            <w:tcW w:w="236" w:type="dxa"/>
          </w:tcPr>
          <w:p w14:paraId="07A3D18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32AA26D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P164_est_temporellement_spécifié_par (spécifie_temporellement)</w:t>
            </w:r>
            <w:r>
              <w:rPr>
                <w:color w:val="000000"/>
                <w:sz w:val="16"/>
                <w:szCs w:val="16"/>
              </w:rPr>
              <w:t> </w:t>
            </w:r>
          </w:p>
        </w:tc>
        <w:tc>
          <w:tcPr>
            <w:tcW w:w="1701" w:type="dxa"/>
          </w:tcPr>
          <w:p w14:paraId="44A02D0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E93_Présence</w:t>
            </w:r>
          </w:p>
        </w:tc>
        <w:tc>
          <w:tcPr>
            <w:tcW w:w="1559" w:type="dxa"/>
          </w:tcPr>
          <w:p w14:paraId="4FEBCD6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r>
      <w:tr w:rsidR="00BF18CF" w14:paraId="2D052DE3" w14:textId="77777777" w:rsidTr="00BF18CF">
        <w:tc>
          <w:tcPr>
            <w:tcW w:w="699" w:type="dxa"/>
          </w:tcPr>
          <w:p w14:paraId="04E08720"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P161</w:t>
            </w:r>
          </w:p>
        </w:tc>
        <w:tc>
          <w:tcPr>
            <w:tcW w:w="6804" w:type="dxa"/>
            <w:gridSpan w:val="6"/>
          </w:tcPr>
          <w:p w14:paraId="34AC841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P161_a_pour_projection_spatiale (est_la_projection_spatiale_de)</w:t>
            </w:r>
          </w:p>
        </w:tc>
        <w:tc>
          <w:tcPr>
            <w:tcW w:w="1701" w:type="dxa"/>
          </w:tcPr>
          <w:p w14:paraId="5954E37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c>
          <w:tcPr>
            <w:tcW w:w="1559" w:type="dxa"/>
          </w:tcPr>
          <w:p w14:paraId="28A7160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2F15BEF4" w14:textId="77777777" w:rsidTr="00BF18CF">
        <w:tc>
          <w:tcPr>
            <w:tcW w:w="699" w:type="dxa"/>
          </w:tcPr>
          <w:p w14:paraId="3ABE366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P167</w:t>
            </w:r>
          </w:p>
        </w:tc>
        <w:tc>
          <w:tcPr>
            <w:tcW w:w="6804" w:type="dxa"/>
            <w:gridSpan w:val="6"/>
          </w:tcPr>
          <w:p w14:paraId="2E39FE9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P167_s’inscrivait_dans (comporte)</w:t>
            </w:r>
            <w:r>
              <w:rPr>
                <w:color w:val="000000"/>
                <w:sz w:val="16"/>
                <w:szCs w:val="16"/>
              </w:rPr>
              <w:t> </w:t>
            </w:r>
          </w:p>
        </w:tc>
        <w:tc>
          <w:tcPr>
            <w:tcW w:w="1701" w:type="dxa"/>
          </w:tcPr>
          <w:p w14:paraId="01E7986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E93_Présence</w:t>
            </w:r>
          </w:p>
        </w:tc>
        <w:tc>
          <w:tcPr>
            <w:tcW w:w="1559" w:type="dxa"/>
          </w:tcPr>
          <w:p w14:paraId="2CCF7DB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4B445657" w14:textId="77777777" w:rsidTr="00BF18CF">
        <w:tc>
          <w:tcPr>
            <w:tcW w:w="699" w:type="dxa"/>
          </w:tcPr>
          <w:p w14:paraId="704B645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P171</w:t>
            </w:r>
          </w:p>
        </w:tc>
        <w:tc>
          <w:tcPr>
            <w:tcW w:w="6804" w:type="dxa"/>
            <w:gridSpan w:val="6"/>
          </w:tcPr>
          <w:p w14:paraId="1755454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P171_quelque_part_dans</w:t>
            </w:r>
            <w:r>
              <w:rPr>
                <w:color w:val="000000"/>
                <w:sz w:val="16"/>
                <w:szCs w:val="16"/>
              </w:rPr>
              <w:t> </w:t>
            </w:r>
          </w:p>
        </w:tc>
        <w:tc>
          <w:tcPr>
            <w:tcW w:w="1701" w:type="dxa"/>
          </w:tcPr>
          <w:p w14:paraId="3D50AA2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5A9CC52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E94_Primitive_spatiale</w:t>
            </w:r>
          </w:p>
        </w:tc>
      </w:tr>
      <w:tr w:rsidR="00BF18CF" w14:paraId="3134A376" w14:textId="77777777" w:rsidTr="00BF18CF">
        <w:tc>
          <w:tcPr>
            <w:tcW w:w="699" w:type="dxa"/>
          </w:tcPr>
          <w:p w14:paraId="17B1140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P172</w:t>
            </w:r>
          </w:p>
        </w:tc>
        <w:tc>
          <w:tcPr>
            <w:tcW w:w="6804" w:type="dxa"/>
            <w:gridSpan w:val="6"/>
          </w:tcPr>
          <w:p w14:paraId="7F5A5B3B"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P172_contient</w:t>
            </w:r>
            <w:r>
              <w:rPr>
                <w:color w:val="000000"/>
                <w:sz w:val="16"/>
                <w:szCs w:val="16"/>
              </w:rPr>
              <w:t> </w:t>
            </w:r>
          </w:p>
        </w:tc>
        <w:tc>
          <w:tcPr>
            <w:tcW w:w="1701" w:type="dxa"/>
          </w:tcPr>
          <w:p w14:paraId="486AEEF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495DDEA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E94_Primitive_spatiale</w:t>
            </w:r>
          </w:p>
        </w:tc>
      </w:tr>
      <w:tr w:rsidR="00BF18CF" w14:paraId="3656E08D" w14:textId="77777777" w:rsidTr="00BF18CF">
        <w:tc>
          <w:tcPr>
            <w:tcW w:w="699" w:type="dxa"/>
          </w:tcPr>
          <w:p w14:paraId="4B6FAF1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P173</w:t>
            </w:r>
          </w:p>
        </w:tc>
        <w:tc>
          <w:tcPr>
            <w:tcW w:w="6804" w:type="dxa"/>
            <w:gridSpan w:val="6"/>
          </w:tcPr>
          <w:p w14:paraId="169C312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P173_commence_avant_ou_au_moment_de_la_fin_de (se_termine_après_ou_au_moment_du_début_de)</w:t>
            </w:r>
            <w:r>
              <w:rPr>
                <w:color w:val="000000"/>
                <w:sz w:val="16"/>
                <w:szCs w:val="16"/>
              </w:rPr>
              <w:t> </w:t>
            </w:r>
          </w:p>
        </w:tc>
        <w:tc>
          <w:tcPr>
            <w:tcW w:w="1701" w:type="dxa"/>
          </w:tcPr>
          <w:p w14:paraId="0115DF4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3F22D51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4BC6F249" w14:textId="77777777" w:rsidTr="00BF18CF">
        <w:tc>
          <w:tcPr>
            <w:tcW w:w="699" w:type="dxa"/>
          </w:tcPr>
          <w:p w14:paraId="3DF161C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P174</w:t>
            </w:r>
          </w:p>
        </w:tc>
        <w:tc>
          <w:tcPr>
            <w:tcW w:w="236" w:type="dxa"/>
          </w:tcPr>
          <w:p w14:paraId="7041FAD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568" w:type="dxa"/>
            <w:gridSpan w:val="5"/>
          </w:tcPr>
          <w:p w14:paraId="2E41169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P174_commence_avant_la_fin_de (se_termine_après_le_début_de)</w:t>
            </w:r>
            <w:r>
              <w:rPr>
                <w:color w:val="000000"/>
                <w:sz w:val="16"/>
                <w:szCs w:val="16"/>
              </w:rPr>
              <w:t> </w:t>
            </w:r>
          </w:p>
        </w:tc>
        <w:tc>
          <w:tcPr>
            <w:tcW w:w="1701" w:type="dxa"/>
          </w:tcPr>
          <w:p w14:paraId="120CB53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0C91ADD8"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5FA15E2A" w14:textId="77777777" w:rsidTr="00BF18CF">
        <w:tc>
          <w:tcPr>
            <w:tcW w:w="699" w:type="dxa"/>
          </w:tcPr>
          <w:p w14:paraId="2A49CAE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P134</w:t>
            </w:r>
          </w:p>
        </w:tc>
        <w:tc>
          <w:tcPr>
            <w:tcW w:w="236" w:type="dxa"/>
          </w:tcPr>
          <w:p w14:paraId="6BFA382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7949963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1713EE9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P134_a_continué (a_été_continué_par)</w:t>
            </w:r>
            <w:r>
              <w:rPr>
                <w:color w:val="000000"/>
                <w:sz w:val="16"/>
                <w:szCs w:val="16"/>
              </w:rPr>
              <w:t> </w:t>
            </w:r>
          </w:p>
        </w:tc>
        <w:tc>
          <w:tcPr>
            <w:tcW w:w="1701" w:type="dxa"/>
          </w:tcPr>
          <w:p w14:paraId="72B48BB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c>
          <w:tcPr>
            <w:tcW w:w="1559" w:type="dxa"/>
          </w:tcPr>
          <w:p w14:paraId="135FDCA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E7_Activité</w:t>
            </w:r>
          </w:p>
        </w:tc>
      </w:tr>
      <w:tr w:rsidR="00BF18CF" w14:paraId="63463495" w14:textId="77777777" w:rsidTr="00BF18CF">
        <w:tc>
          <w:tcPr>
            <w:tcW w:w="699" w:type="dxa"/>
          </w:tcPr>
          <w:p w14:paraId="4CA66D7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P184</w:t>
            </w:r>
          </w:p>
        </w:tc>
        <w:tc>
          <w:tcPr>
            <w:tcW w:w="236" w:type="dxa"/>
          </w:tcPr>
          <w:p w14:paraId="27C3346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06BDD45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3B87082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P184_se_termine_avant_ou_au_moment_de_la_fin_de (se_termine_au_moment_ou_après_la_fin_de)</w:t>
            </w:r>
            <w:r>
              <w:rPr>
                <w:color w:val="000000"/>
                <w:sz w:val="16"/>
                <w:szCs w:val="16"/>
              </w:rPr>
              <w:t> </w:t>
            </w:r>
          </w:p>
        </w:tc>
        <w:tc>
          <w:tcPr>
            <w:tcW w:w="1701" w:type="dxa"/>
          </w:tcPr>
          <w:p w14:paraId="4650D37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25CDCD3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07EA0772" w14:textId="77777777" w:rsidTr="00BF18CF">
        <w:tc>
          <w:tcPr>
            <w:tcW w:w="699" w:type="dxa"/>
          </w:tcPr>
          <w:p w14:paraId="175C192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P185</w:t>
            </w:r>
          </w:p>
        </w:tc>
        <w:tc>
          <w:tcPr>
            <w:tcW w:w="236" w:type="dxa"/>
          </w:tcPr>
          <w:p w14:paraId="433E1C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40D2761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650968E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095" w:type="dxa"/>
            <w:gridSpan w:val="3"/>
          </w:tcPr>
          <w:p w14:paraId="350A859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P185_se_termine_avant_la_fin_de (se_termine_après_la_fin_de) </w:t>
            </w:r>
            <w:r>
              <w:rPr>
                <w:color w:val="000000"/>
                <w:sz w:val="16"/>
                <w:szCs w:val="16"/>
              </w:rPr>
              <w:t> </w:t>
            </w:r>
          </w:p>
        </w:tc>
        <w:tc>
          <w:tcPr>
            <w:tcW w:w="1701" w:type="dxa"/>
          </w:tcPr>
          <w:p w14:paraId="6FB3CE9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600A584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107D309A" w14:textId="77777777" w:rsidTr="00BF18CF">
        <w:tc>
          <w:tcPr>
            <w:tcW w:w="699" w:type="dxa"/>
          </w:tcPr>
          <w:p w14:paraId="382C5DD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P182</w:t>
            </w:r>
          </w:p>
        </w:tc>
        <w:tc>
          <w:tcPr>
            <w:tcW w:w="236" w:type="dxa"/>
          </w:tcPr>
          <w:p w14:paraId="1919724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0042C25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1C26AA0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12556BE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5812" w:type="dxa"/>
            <w:gridSpan w:val="2"/>
          </w:tcPr>
          <w:p w14:paraId="7219E00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P182_se_termine_avant_ou_au_moment_du_début_de (commence_après_ou_au_moment_de_la_fin_de)</w:t>
            </w:r>
            <w:r>
              <w:rPr>
                <w:color w:val="000000"/>
                <w:sz w:val="16"/>
                <w:szCs w:val="16"/>
              </w:rPr>
              <w:t> </w:t>
            </w:r>
          </w:p>
        </w:tc>
        <w:tc>
          <w:tcPr>
            <w:tcW w:w="1701" w:type="dxa"/>
          </w:tcPr>
          <w:p w14:paraId="65B4353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4D6AAD0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11537F5A" w14:textId="77777777" w:rsidTr="00BF18CF">
        <w:tc>
          <w:tcPr>
            <w:tcW w:w="699" w:type="dxa"/>
          </w:tcPr>
          <w:p w14:paraId="2DBE40D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P175</w:t>
            </w:r>
          </w:p>
        </w:tc>
        <w:tc>
          <w:tcPr>
            <w:tcW w:w="236" w:type="dxa"/>
          </w:tcPr>
          <w:p w14:paraId="76CB2B9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6B54EAE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332" w:type="dxa"/>
            <w:gridSpan w:val="4"/>
          </w:tcPr>
          <w:p w14:paraId="33C42A5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P175_commence_avant_ou_au_moment_du_début_de (commence_après_ou_au_moment_du_début_de)</w:t>
            </w:r>
            <w:r>
              <w:rPr>
                <w:color w:val="000000"/>
                <w:sz w:val="16"/>
                <w:szCs w:val="16"/>
              </w:rPr>
              <w:t> </w:t>
            </w:r>
          </w:p>
        </w:tc>
        <w:tc>
          <w:tcPr>
            <w:tcW w:w="1701" w:type="dxa"/>
          </w:tcPr>
          <w:p w14:paraId="0798E25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0F2ECBF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5EF7657A" w14:textId="77777777" w:rsidTr="00BF18CF">
        <w:tc>
          <w:tcPr>
            <w:tcW w:w="699" w:type="dxa"/>
          </w:tcPr>
          <w:p w14:paraId="4B49512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P176</w:t>
            </w:r>
          </w:p>
        </w:tc>
        <w:tc>
          <w:tcPr>
            <w:tcW w:w="236" w:type="dxa"/>
          </w:tcPr>
          <w:p w14:paraId="56BAF42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5D352B5F"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5BCDC5F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6095" w:type="dxa"/>
            <w:gridSpan w:val="3"/>
          </w:tcPr>
          <w:p w14:paraId="003132A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P176_commence_avant_le_début_de (commence_après_le_début_de)</w:t>
            </w:r>
            <w:r>
              <w:rPr>
                <w:color w:val="000000"/>
                <w:sz w:val="16"/>
                <w:szCs w:val="16"/>
              </w:rPr>
              <w:t> </w:t>
            </w:r>
          </w:p>
        </w:tc>
        <w:tc>
          <w:tcPr>
            <w:tcW w:w="1701" w:type="dxa"/>
          </w:tcPr>
          <w:p w14:paraId="7A71364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643BA35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5DA1BAC7" w14:textId="77777777" w:rsidTr="00BF18CF">
        <w:tc>
          <w:tcPr>
            <w:tcW w:w="699" w:type="dxa"/>
          </w:tcPr>
          <w:p w14:paraId="53FCDDB9"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P182</w:t>
            </w:r>
          </w:p>
        </w:tc>
        <w:tc>
          <w:tcPr>
            <w:tcW w:w="236" w:type="dxa"/>
          </w:tcPr>
          <w:p w14:paraId="26D2EB5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049AEFA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46E88FF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62E8D13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5812" w:type="dxa"/>
            <w:gridSpan w:val="2"/>
          </w:tcPr>
          <w:p w14:paraId="18AE67C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P182_se_termine_avant_ou_au_moment_du_début_de (commence_après_ou_au_moment_de_la_fin_de)</w:t>
            </w:r>
            <w:r>
              <w:rPr>
                <w:color w:val="000000"/>
                <w:sz w:val="16"/>
                <w:szCs w:val="16"/>
              </w:rPr>
              <w:t> </w:t>
            </w:r>
          </w:p>
        </w:tc>
        <w:tc>
          <w:tcPr>
            <w:tcW w:w="1701" w:type="dxa"/>
          </w:tcPr>
          <w:p w14:paraId="75CFCD0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3FF964E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5DF19F7F" w14:textId="77777777" w:rsidTr="00BF18CF">
        <w:tc>
          <w:tcPr>
            <w:tcW w:w="699" w:type="dxa"/>
          </w:tcPr>
          <w:p w14:paraId="2087469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P183</w:t>
            </w:r>
          </w:p>
        </w:tc>
        <w:tc>
          <w:tcPr>
            <w:tcW w:w="236" w:type="dxa"/>
          </w:tcPr>
          <w:p w14:paraId="00AC416A"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6" w:type="dxa"/>
          </w:tcPr>
          <w:p w14:paraId="6B562D36"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37" w:type="dxa"/>
          </w:tcPr>
          <w:p w14:paraId="6411692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3" w:type="dxa"/>
          </w:tcPr>
          <w:p w14:paraId="0AFCD2C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284" w:type="dxa"/>
          </w:tcPr>
          <w:p w14:paraId="202E86D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w:t>
            </w:r>
          </w:p>
        </w:tc>
        <w:tc>
          <w:tcPr>
            <w:tcW w:w="5528" w:type="dxa"/>
          </w:tcPr>
          <w:p w14:paraId="33F8A81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P183_se_termine_avant_le_début_de (commence_après_la_fin_de)</w:t>
            </w:r>
          </w:p>
        </w:tc>
        <w:tc>
          <w:tcPr>
            <w:tcW w:w="1701" w:type="dxa"/>
          </w:tcPr>
          <w:p w14:paraId="6554A7E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c>
          <w:tcPr>
            <w:tcW w:w="1559" w:type="dxa"/>
          </w:tcPr>
          <w:p w14:paraId="7BBB5D2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E2_Entité_temporelle</w:t>
            </w:r>
          </w:p>
        </w:tc>
      </w:tr>
      <w:tr w:rsidR="00BF18CF" w14:paraId="116A23FB" w14:textId="77777777" w:rsidTr="00BF18CF">
        <w:tc>
          <w:tcPr>
            <w:tcW w:w="699" w:type="dxa"/>
          </w:tcPr>
          <w:p w14:paraId="1980AE92"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P179</w:t>
            </w:r>
          </w:p>
        </w:tc>
        <w:tc>
          <w:tcPr>
            <w:tcW w:w="6804" w:type="dxa"/>
            <w:gridSpan w:val="6"/>
          </w:tcPr>
          <w:p w14:paraId="78B5CBE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P179_a_eu_pour_prix_de_vente (a_été_le_prix_de_vente_de)</w:t>
            </w:r>
            <w:r>
              <w:rPr>
                <w:color w:val="000000"/>
                <w:sz w:val="16"/>
                <w:szCs w:val="16"/>
              </w:rPr>
              <w:t> </w:t>
            </w:r>
          </w:p>
        </w:tc>
        <w:tc>
          <w:tcPr>
            <w:tcW w:w="1701" w:type="dxa"/>
          </w:tcPr>
          <w:p w14:paraId="715D992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E96_Achat</w:t>
            </w:r>
          </w:p>
        </w:tc>
        <w:tc>
          <w:tcPr>
            <w:tcW w:w="1559" w:type="dxa"/>
          </w:tcPr>
          <w:p w14:paraId="2EC9DE8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E97_Valeur_monétaire</w:t>
            </w:r>
          </w:p>
        </w:tc>
      </w:tr>
      <w:tr w:rsidR="00BF18CF" w14:paraId="318292A9" w14:textId="77777777" w:rsidTr="00BF18CF">
        <w:tc>
          <w:tcPr>
            <w:tcW w:w="699" w:type="dxa"/>
          </w:tcPr>
          <w:p w14:paraId="2FF3063D"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P186</w:t>
            </w:r>
          </w:p>
        </w:tc>
        <w:tc>
          <w:tcPr>
            <w:tcW w:w="6804" w:type="dxa"/>
            <w:gridSpan w:val="6"/>
          </w:tcPr>
          <w:p w14:paraId="1943128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P186_a_produit_la_chose_du_type (est_produit_par)</w:t>
            </w:r>
            <w:r>
              <w:rPr>
                <w:color w:val="000000"/>
                <w:sz w:val="16"/>
                <w:szCs w:val="16"/>
              </w:rPr>
              <w:t> </w:t>
            </w:r>
          </w:p>
        </w:tc>
        <w:tc>
          <w:tcPr>
            <w:tcW w:w="1701" w:type="dxa"/>
          </w:tcPr>
          <w:p w14:paraId="3D2A79A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E12_Production</w:t>
            </w:r>
          </w:p>
        </w:tc>
        <w:tc>
          <w:tcPr>
            <w:tcW w:w="1559" w:type="dxa"/>
          </w:tcPr>
          <w:p w14:paraId="2189760D"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E99_Modèle_de_produit</w:t>
            </w:r>
          </w:p>
        </w:tc>
      </w:tr>
      <w:tr w:rsidR="00BF18CF" w14:paraId="4B9510F2" w14:textId="77777777" w:rsidTr="00BF18CF">
        <w:tc>
          <w:tcPr>
            <w:tcW w:w="699" w:type="dxa"/>
          </w:tcPr>
          <w:p w14:paraId="7941313C"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lastRenderedPageBreak/>
              <w:t>P187</w:t>
            </w:r>
          </w:p>
        </w:tc>
        <w:tc>
          <w:tcPr>
            <w:tcW w:w="6804" w:type="dxa"/>
            <w:gridSpan w:val="6"/>
          </w:tcPr>
          <w:p w14:paraId="550AD4D0"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P187_a_pour_plan_de_production (est_le_plan_de_production_de)</w:t>
            </w:r>
            <w:r>
              <w:rPr>
                <w:color w:val="000000"/>
                <w:sz w:val="16"/>
                <w:szCs w:val="16"/>
              </w:rPr>
              <w:t> </w:t>
            </w:r>
          </w:p>
        </w:tc>
        <w:tc>
          <w:tcPr>
            <w:tcW w:w="1701" w:type="dxa"/>
          </w:tcPr>
          <w:p w14:paraId="1B931FE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E99_Modèle_de_produit</w:t>
            </w:r>
          </w:p>
        </w:tc>
        <w:tc>
          <w:tcPr>
            <w:tcW w:w="1559" w:type="dxa"/>
          </w:tcPr>
          <w:p w14:paraId="763ADF4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E29_Conceptualisation_ou_procédure</w:t>
            </w:r>
          </w:p>
        </w:tc>
      </w:tr>
      <w:tr w:rsidR="00BF18CF" w14:paraId="2C663828" w14:textId="77777777" w:rsidTr="00BF18CF">
        <w:tc>
          <w:tcPr>
            <w:tcW w:w="699" w:type="dxa"/>
          </w:tcPr>
          <w:p w14:paraId="30B7DF85"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P188</w:t>
            </w:r>
          </w:p>
        </w:tc>
        <w:tc>
          <w:tcPr>
            <w:tcW w:w="6804" w:type="dxa"/>
            <w:gridSpan w:val="6"/>
          </w:tcPr>
          <w:p w14:paraId="1906AF5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P188_nécessite_l’outil (est_l’outil_de_production_de) </w:t>
            </w:r>
            <w:r>
              <w:rPr>
                <w:color w:val="000000"/>
                <w:sz w:val="16"/>
                <w:szCs w:val="16"/>
              </w:rPr>
              <w:t> </w:t>
            </w:r>
          </w:p>
        </w:tc>
        <w:tc>
          <w:tcPr>
            <w:tcW w:w="1701" w:type="dxa"/>
          </w:tcPr>
          <w:p w14:paraId="30821F2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E99_Modèle_de_produit</w:t>
            </w:r>
          </w:p>
        </w:tc>
        <w:tc>
          <w:tcPr>
            <w:tcW w:w="1559" w:type="dxa"/>
          </w:tcPr>
          <w:p w14:paraId="0AF321D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E19_Objet_matériel</w:t>
            </w:r>
          </w:p>
        </w:tc>
      </w:tr>
      <w:tr w:rsidR="00BF18CF" w14:paraId="11014197" w14:textId="77777777" w:rsidTr="00BF18CF">
        <w:tc>
          <w:tcPr>
            <w:tcW w:w="699" w:type="dxa"/>
          </w:tcPr>
          <w:p w14:paraId="6885247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P189</w:t>
            </w:r>
          </w:p>
        </w:tc>
        <w:tc>
          <w:tcPr>
            <w:tcW w:w="6804" w:type="dxa"/>
            <w:gridSpan w:val="6"/>
          </w:tcPr>
          <w:p w14:paraId="56D472BF"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P189_approxime (est_approximé_par)</w:t>
            </w:r>
            <w:r>
              <w:rPr>
                <w:color w:val="000000"/>
                <w:sz w:val="16"/>
                <w:szCs w:val="16"/>
              </w:rPr>
              <w:t> </w:t>
            </w:r>
          </w:p>
        </w:tc>
        <w:tc>
          <w:tcPr>
            <w:tcW w:w="1701" w:type="dxa"/>
          </w:tcPr>
          <w:p w14:paraId="2F42E5D9"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c>
          <w:tcPr>
            <w:tcW w:w="1559" w:type="dxa"/>
          </w:tcPr>
          <w:p w14:paraId="3478953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65400F1F" w14:textId="77777777" w:rsidTr="00BF18CF">
        <w:tc>
          <w:tcPr>
            <w:tcW w:w="699" w:type="dxa"/>
          </w:tcPr>
          <w:p w14:paraId="783DF2D4"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P191</w:t>
            </w:r>
          </w:p>
        </w:tc>
        <w:tc>
          <w:tcPr>
            <w:tcW w:w="6804" w:type="dxa"/>
            <w:gridSpan w:val="6"/>
          </w:tcPr>
          <w:p w14:paraId="7B9998F6"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P191_a_eu_pour_durée (était_la_durée_de)</w:t>
            </w:r>
          </w:p>
        </w:tc>
        <w:tc>
          <w:tcPr>
            <w:tcW w:w="1701" w:type="dxa"/>
          </w:tcPr>
          <w:p w14:paraId="4E8E0F9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E52_Intervalle_temporel </w:t>
            </w:r>
          </w:p>
        </w:tc>
        <w:tc>
          <w:tcPr>
            <w:tcW w:w="1559" w:type="dxa"/>
          </w:tcPr>
          <w:p w14:paraId="3AF85E22"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E54_Dimension</w:t>
            </w:r>
          </w:p>
        </w:tc>
      </w:tr>
      <w:tr w:rsidR="00BF18CF" w14:paraId="556EB6B0" w14:textId="77777777" w:rsidTr="00BF18CF">
        <w:tc>
          <w:tcPr>
            <w:tcW w:w="699" w:type="dxa"/>
          </w:tcPr>
          <w:p w14:paraId="6591111E"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P195</w:t>
            </w:r>
          </w:p>
        </w:tc>
        <w:tc>
          <w:tcPr>
            <w:tcW w:w="6804" w:type="dxa"/>
            <w:gridSpan w:val="6"/>
          </w:tcPr>
          <w:p w14:paraId="094AAB9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 xml:space="preserve">P195_a_été_une_présence_de (a_eu_pour_présence) </w:t>
            </w:r>
            <w:r>
              <w:rPr>
                <w:color w:val="000000"/>
                <w:sz w:val="16"/>
                <w:szCs w:val="16"/>
              </w:rPr>
              <w:t> </w:t>
            </w:r>
          </w:p>
        </w:tc>
        <w:tc>
          <w:tcPr>
            <w:tcW w:w="1701" w:type="dxa"/>
          </w:tcPr>
          <w:p w14:paraId="10A5140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E93_Présence</w:t>
            </w:r>
          </w:p>
        </w:tc>
        <w:tc>
          <w:tcPr>
            <w:tcW w:w="1559" w:type="dxa"/>
          </w:tcPr>
          <w:p w14:paraId="27FDFA0E"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r w:rsidR="00BF18CF" w14:paraId="17B6A832" w14:textId="77777777" w:rsidTr="00BF18CF">
        <w:tc>
          <w:tcPr>
            <w:tcW w:w="699" w:type="dxa"/>
          </w:tcPr>
          <w:p w14:paraId="13636258"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P196</w:t>
            </w:r>
          </w:p>
        </w:tc>
        <w:tc>
          <w:tcPr>
            <w:tcW w:w="6804" w:type="dxa"/>
            <w:gridSpan w:val="6"/>
          </w:tcPr>
          <w:p w14:paraId="66C08CBA"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P196_définit (est_défini_par)</w:t>
            </w:r>
            <w:r>
              <w:rPr>
                <w:color w:val="000000"/>
                <w:sz w:val="16"/>
                <w:szCs w:val="16"/>
              </w:rPr>
              <w:t> </w:t>
            </w:r>
          </w:p>
        </w:tc>
        <w:tc>
          <w:tcPr>
            <w:tcW w:w="1701" w:type="dxa"/>
          </w:tcPr>
          <w:p w14:paraId="03E3B5B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51BE9713"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E92_Volume_spatio-temporel</w:t>
            </w:r>
          </w:p>
        </w:tc>
      </w:tr>
      <w:tr w:rsidR="00BF18CF" w14:paraId="4B9AF7E0" w14:textId="77777777" w:rsidTr="00BF18CF">
        <w:tc>
          <w:tcPr>
            <w:tcW w:w="699" w:type="dxa"/>
          </w:tcPr>
          <w:p w14:paraId="555F360B"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P197</w:t>
            </w:r>
          </w:p>
        </w:tc>
        <w:tc>
          <w:tcPr>
            <w:tcW w:w="6804" w:type="dxa"/>
            <w:gridSpan w:val="6"/>
          </w:tcPr>
          <w:p w14:paraId="40A92075"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197_a_couvert_des_parties_de (a_été_partiellement_couvert_par)</w:t>
            </w:r>
            <w:r>
              <w:rPr>
                <w:color w:val="000000"/>
                <w:sz w:val="16"/>
                <w:szCs w:val="16"/>
              </w:rPr>
              <w:t> </w:t>
            </w:r>
          </w:p>
        </w:tc>
        <w:tc>
          <w:tcPr>
            <w:tcW w:w="1701" w:type="dxa"/>
          </w:tcPr>
          <w:p w14:paraId="334F07E4"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E93_Présence</w:t>
            </w:r>
          </w:p>
        </w:tc>
        <w:tc>
          <w:tcPr>
            <w:tcW w:w="1559" w:type="dxa"/>
          </w:tcPr>
          <w:p w14:paraId="79EE721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E53_Lieu</w:t>
            </w:r>
          </w:p>
        </w:tc>
      </w:tr>
      <w:tr w:rsidR="00BF18CF" w14:paraId="6E503A2C" w14:textId="77777777" w:rsidTr="00BF18CF">
        <w:tc>
          <w:tcPr>
            <w:tcW w:w="699" w:type="dxa"/>
          </w:tcPr>
          <w:p w14:paraId="13243667" w14:textId="77777777" w:rsidR="00BF18CF" w:rsidRDefault="00E51347">
            <w:pPr>
              <w:pBdr>
                <w:top w:val="nil"/>
                <w:left w:val="nil"/>
                <w:bottom w:val="nil"/>
                <w:right w:val="nil"/>
                <w:between w:val="nil"/>
              </w:pBdr>
              <w:spacing w:before="36" w:after="36"/>
              <w:rPr>
                <w:color w:val="000000"/>
                <w:sz w:val="16"/>
                <w:szCs w:val="16"/>
              </w:rPr>
            </w:pPr>
            <w:r>
              <w:rPr>
                <w:color w:val="000000"/>
                <w:sz w:val="16"/>
                <w:szCs w:val="16"/>
              </w:rPr>
              <w:t>P198</w:t>
            </w:r>
          </w:p>
        </w:tc>
        <w:tc>
          <w:tcPr>
            <w:tcW w:w="6804" w:type="dxa"/>
            <w:gridSpan w:val="6"/>
          </w:tcPr>
          <w:p w14:paraId="6F47C1B7"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P198_contient_ou_soutient (est_contenu_ou_soutenu_par)</w:t>
            </w:r>
            <w:r>
              <w:rPr>
                <w:color w:val="000000"/>
                <w:sz w:val="16"/>
                <w:szCs w:val="16"/>
              </w:rPr>
              <w:t> </w:t>
            </w:r>
          </w:p>
        </w:tc>
        <w:tc>
          <w:tcPr>
            <w:tcW w:w="1701" w:type="dxa"/>
          </w:tcPr>
          <w:p w14:paraId="2EDF8171"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c>
          <w:tcPr>
            <w:tcW w:w="1559" w:type="dxa"/>
          </w:tcPr>
          <w:p w14:paraId="4F759E8C" w14:textId="77777777" w:rsidR="00BF18CF" w:rsidRDefault="00E51347">
            <w:pPr>
              <w:pBdr>
                <w:top w:val="nil"/>
                <w:left w:val="nil"/>
                <w:bottom w:val="nil"/>
                <w:right w:val="nil"/>
                <w:between w:val="nil"/>
              </w:pBdr>
              <w:spacing w:before="36" w:after="36"/>
              <w:rPr>
                <w:color w:val="000000"/>
                <w:sz w:val="16"/>
                <w:szCs w:val="16"/>
              </w:rPr>
            </w:pPr>
            <w:r>
              <w:rPr>
                <w:rFonts w:ascii="Consolas" w:eastAsia="Consolas" w:hAnsi="Consolas" w:cs="Consolas"/>
                <w:color w:val="000000"/>
                <w:sz w:val="16"/>
                <w:szCs w:val="16"/>
                <w:shd w:val="clear" w:color="auto" w:fill="EAEEF3"/>
              </w:rPr>
              <w:t>E18_Chose_matérielle</w:t>
            </w:r>
          </w:p>
        </w:tc>
      </w:tr>
    </w:tbl>
    <w:p w14:paraId="16D4979B" w14:textId="77777777" w:rsidR="00BF18CF" w:rsidRDefault="00BF18CF">
      <w:pPr>
        <w:pStyle w:val="Heading1"/>
        <w:sectPr w:rsidR="00BF18CF" w:rsidSect="008D5424">
          <w:pgSz w:w="12240" w:h="15840"/>
          <w:pgMar w:top="765" w:right="765" w:bottom="765" w:left="765" w:header="284" w:footer="284" w:gutter="0"/>
          <w:pgNumType w:start="1"/>
          <w:cols w:space="720"/>
          <w:docGrid w:linePitch="326"/>
        </w:sectPr>
      </w:pPr>
      <w:bookmarkStart w:id="101" w:name="bookmark=id.3q5sasy" w:colFirst="0" w:colLast="0"/>
      <w:bookmarkEnd w:id="101"/>
    </w:p>
    <w:p w14:paraId="74C8E541" w14:textId="77777777" w:rsidR="00BF18CF" w:rsidRDefault="00E51347">
      <w:pPr>
        <w:pStyle w:val="Heading1"/>
      </w:pPr>
      <w:bookmarkStart w:id="102" w:name="_Toc144360793"/>
      <w:r>
        <w:lastRenderedPageBreak/>
        <w:t>Déclaration des classes du CIDOC CRM</w:t>
      </w:r>
      <w:bookmarkEnd w:id="102"/>
    </w:p>
    <w:tbl>
      <w:tblPr>
        <w:tblStyle w:val="a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63841778" w14:textId="77777777" w:rsidTr="00BF18CF">
        <w:tc>
          <w:tcPr>
            <w:tcW w:w="10690" w:type="dxa"/>
          </w:tcPr>
          <w:p w14:paraId="5A0FE78C" w14:textId="77777777" w:rsidR="00BF18CF" w:rsidRDefault="00E51347">
            <w:r>
              <w:t>Les classes du CIDOC CRM sont déclarées ici selon la forme suivante :</w:t>
            </w:r>
          </w:p>
          <w:p w14:paraId="2F32C64B" w14:textId="77777777" w:rsidR="00BF18CF" w:rsidRDefault="00E51347">
            <w:pPr>
              <w:numPr>
                <w:ilvl w:val="0"/>
                <w:numId w:val="36"/>
              </w:numPr>
            </w:pPr>
            <w:r>
              <w:t>Les noms de classe sont présentés comme des titres en gras précédés de l’identifiant unique de la classe;</w:t>
            </w:r>
          </w:p>
          <w:p w14:paraId="49EDFC51" w14:textId="77777777" w:rsidR="00BF18CF" w:rsidRDefault="00E51347">
            <w:pPr>
              <w:numPr>
                <w:ilvl w:val="0"/>
                <w:numId w:val="36"/>
              </w:numPr>
            </w:pPr>
            <w:r>
              <w:t>La ligne « Sous-classe de : » déclare la super-classe dont la classe hérite les propriétés;</w:t>
            </w:r>
          </w:p>
          <w:p w14:paraId="49F59DCB" w14:textId="77777777" w:rsidR="00BF18CF" w:rsidRDefault="00E51347">
            <w:pPr>
              <w:numPr>
                <w:ilvl w:val="0"/>
                <w:numId w:val="36"/>
              </w:numPr>
            </w:pPr>
            <w:r>
              <w:t>La ligne « Sous-classe de : » est un co-référencement des sous-classes de la classe;</w:t>
            </w:r>
          </w:p>
          <w:p w14:paraId="6EB363F0" w14:textId="77777777" w:rsidR="00BF18CF" w:rsidRDefault="00E51347">
            <w:pPr>
              <w:numPr>
                <w:ilvl w:val="0"/>
                <w:numId w:val="36"/>
              </w:numPr>
            </w:pPr>
            <w:r>
              <w:t>La ligne « Domaine d’application : » contient la définition textuelle du concept que représente la classe;</w:t>
            </w:r>
          </w:p>
          <w:p w14:paraId="730DDD4E" w14:textId="77777777" w:rsidR="00BF18CF" w:rsidRDefault="00E51347">
            <w:pPr>
              <w:numPr>
                <w:ilvl w:val="0"/>
                <w:numId w:val="36"/>
              </w:numPr>
            </w:pPr>
            <w:r>
              <w:t>La ligne « Exemples : » contient une liste d’exemples d’instances de la classe :</w:t>
            </w:r>
          </w:p>
          <w:p w14:paraId="75EFE18F" w14:textId="77777777" w:rsidR="00BF18CF" w:rsidRDefault="00E51347">
            <w:pPr>
              <w:numPr>
                <w:ilvl w:val="0"/>
                <w:numId w:val="36"/>
              </w:numPr>
            </w:pPr>
            <w:r>
              <w:t>Si l’exemple illustre aussi l’instance d’une sous-classe de la classe, l’identifiant unique de cette sous-classe [n.d.t. ainsi que sa dénomination] sont indiqués entre parenthèses.</w:t>
            </w:r>
          </w:p>
          <w:p w14:paraId="0EAD1E44" w14:textId="77777777" w:rsidR="00BF18CF" w:rsidRDefault="00E51347">
            <w:pPr>
              <w:numPr>
                <w:ilvl w:val="0"/>
                <w:numId w:val="36"/>
              </w:numPr>
            </w:pPr>
            <w:r>
              <w:t>Si l’exemple illustre l’instanciation de deux classes, l’identifiant unique de chacune est indiqué entre parenthèses.</w:t>
            </w:r>
          </w:p>
          <w:p w14:paraId="226EDF29" w14:textId="77777777" w:rsidR="00BF18CF" w:rsidRDefault="00E51347">
            <w:pPr>
              <w:numPr>
                <w:ilvl w:val="0"/>
                <w:numId w:val="36"/>
              </w:numPr>
            </w:pPr>
            <w:r>
              <w:t>Des exemples qui ne sont pas de nature fictionnelle sont parfois suivis d’une explication entre crochets.</w:t>
            </w:r>
          </w:p>
          <w:p w14:paraId="1273F42D" w14:textId="77777777" w:rsidR="00BF18CF" w:rsidRDefault="00E51347">
            <w:pPr>
              <w:numPr>
                <w:ilvl w:val="0"/>
                <w:numId w:val="36"/>
              </w:numPr>
            </w:pPr>
            <w:r>
              <w:t>La ligne « Propriétés : » liste les propriétés de la classe;</w:t>
            </w:r>
          </w:p>
          <w:p w14:paraId="056B1261" w14:textId="77777777" w:rsidR="00BF18CF" w:rsidRDefault="00E51347">
            <w:pPr>
              <w:numPr>
                <w:ilvl w:val="0"/>
                <w:numId w:val="36"/>
              </w:numPr>
            </w:pPr>
            <w:r>
              <w:t xml:space="preserve">Chaque propriété est représentée par son identifiant unique, son nom suivi de son nom « inverse », ainsi que la classe de portée vers laquelle pointe la propriété (tous séparés de </w:t>
            </w:r>
            <w:proofErr w:type="gramStart"/>
            <w:r>
              <w:t>: )</w:t>
            </w:r>
            <w:proofErr w:type="gramEnd"/>
            <w:r>
              <w:t>;</w:t>
            </w:r>
          </w:p>
          <w:p w14:paraId="77ACD745" w14:textId="77777777" w:rsidR="00BF18CF" w:rsidRDefault="00E51347">
            <w:pPr>
              <w:numPr>
                <w:ilvl w:val="0"/>
                <w:numId w:val="36"/>
              </w:numPr>
            </w:pPr>
            <w:r>
              <w:t>Les propriétés héritées ne sont pas représentées;</w:t>
            </w:r>
          </w:p>
          <w:p w14:paraId="3CCB6F92" w14:textId="77777777" w:rsidR="00BF18CF" w:rsidRDefault="00E51347">
            <w:pPr>
              <w:numPr>
                <w:ilvl w:val="0"/>
                <w:numId w:val="36"/>
              </w:numPr>
            </w:pPr>
            <w:r>
              <w:t>Les propriétés de propriétés sont entre parenthèses et mises en retrait sous leur propriété de domaine respective.</w:t>
            </w:r>
          </w:p>
        </w:tc>
      </w:tr>
    </w:tbl>
    <w:p w14:paraId="5D8531DB" w14:textId="77777777" w:rsidR="00BF18CF" w:rsidRDefault="00BF18CF"/>
    <w:tbl>
      <w:tblPr>
        <w:tblStyle w:val="affff2"/>
        <w:tblW w:w="1070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33"/>
        <w:gridCol w:w="8867"/>
      </w:tblGrid>
      <w:tr w:rsidR="00BF18CF" w14:paraId="15C4D9A0" w14:textId="77777777" w:rsidTr="00BF18CF">
        <w:tc>
          <w:tcPr>
            <w:tcW w:w="1833" w:type="dxa"/>
          </w:tcPr>
          <w:p w14:paraId="59D6818A" w14:textId="001AC2C1" w:rsidR="00BF18CF" w:rsidRDefault="00F27208">
            <w:r>
              <w:rPr>
                <w:i/>
              </w:rPr>
              <w:t>Note de traduction</w:t>
            </w:r>
          </w:p>
        </w:tc>
        <w:tc>
          <w:tcPr>
            <w:tcW w:w="8867" w:type="dxa"/>
          </w:tcPr>
          <w:p w14:paraId="153462F4" w14:textId="77777777" w:rsidR="00BF18CF" w:rsidRDefault="00BF18CF">
            <w:pPr>
              <w:pBdr>
                <w:top w:val="nil"/>
                <w:left w:val="nil"/>
                <w:bottom w:val="nil"/>
                <w:right w:val="nil"/>
                <w:between w:val="nil"/>
              </w:pBdr>
              <w:spacing w:before="36" w:after="36"/>
              <w:rPr>
                <w:color w:val="000000"/>
              </w:rPr>
            </w:pPr>
          </w:p>
        </w:tc>
      </w:tr>
      <w:tr w:rsidR="00BF18CF" w14:paraId="45643605" w14:textId="77777777" w:rsidTr="00BF18CF">
        <w:tc>
          <w:tcPr>
            <w:tcW w:w="1833" w:type="dxa"/>
          </w:tcPr>
          <w:p w14:paraId="3BDD7E55" w14:textId="77777777" w:rsidR="00BF18CF" w:rsidRDefault="00E51347">
            <w:r>
              <w:rPr>
                <w:i/>
              </w:rPr>
              <w:t>Références</w:t>
            </w:r>
          </w:p>
        </w:tc>
        <w:tc>
          <w:tcPr>
            <w:tcW w:w="8867" w:type="dxa"/>
          </w:tcPr>
          <w:p w14:paraId="3B4446FD" w14:textId="77777777" w:rsidR="00BF18CF" w:rsidRDefault="00BF18CF">
            <w:pPr>
              <w:pBdr>
                <w:top w:val="nil"/>
                <w:left w:val="nil"/>
                <w:bottom w:val="nil"/>
                <w:right w:val="nil"/>
                <w:between w:val="nil"/>
              </w:pBdr>
              <w:spacing w:before="36" w:after="36"/>
              <w:rPr>
                <w:color w:val="000000"/>
              </w:rPr>
            </w:pPr>
          </w:p>
        </w:tc>
      </w:tr>
    </w:tbl>
    <w:p w14:paraId="30793D0D" w14:textId="77777777" w:rsidR="00BF18CF" w:rsidRDefault="00E51347">
      <w:pPr>
        <w:pStyle w:val="Heading3"/>
      </w:pPr>
      <w:bookmarkStart w:id="103" w:name="bookmark=id.25b2l0r" w:colFirst="0" w:colLast="0"/>
      <w:bookmarkStart w:id="104" w:name="_Toc144360794"/>
      <w:bookmarkEnd w:id="103"/>
      <w:r>
        <w:t>E1 Entité CRM</w:t>
      </w:r>
      <w:bookmarkEnd w:id="104"/>
    </w:p>
    <w:tbl>
      <w:tblPr>
        <w:tblStyle w:val="a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36"/>
        <w:gridCol w:w="8854"/>
      </w:tblGrid>
      <w:tr w:rsidR="00BF18CF" w14:paraId="28F5207B" w14:textId="77777777" w:rsidTr="00BF18CF">
        <w:tc>
          <w:tcPr>
            <w:tcW w:w="1836" w:type="dxa"/>
          </w:tcPr>
          <w:p w14:paraId="3627F064"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854" w:type="dxa"/>
          </w:tcPr>
          <w:p w14:paraId="353E0FE9" w14:textId="77777777" w:rsidR="00BF18CF" w:rsidRDefault="00BF18CF">
            <w:pPr>
              <w:pBdr>
                <w:top w:val="nil"/>
                <w:left w:val="nil"/>
                <w:bottom w:val="nil"/>
                <w:right w:val="nil"/>
                <w:between w:val="nil"/>
              </w:pBdr>
              <w:spacing w:before="36" w:after="36"/>
              <w:rPr>
                <w:color w:val="000000"/>
              </w:rPr>
            </w:pPr>
          </w:p>
        </w:tc>
      </w:tr>
      <w:tr w:rsidR="00BF18CF" w14:paraId="618CB637" w14:textId="77777777" w:rsidTr="00BF18CF">
        <w:tc>
          <w:tcPr>
            <w:tcW w:w="1836" w:type="dxa"/>
          </w:tcPr>
          <w:p w14:paraId="5EEBE96C"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854" w:type="dxa"/>
          </w:tcPr>
          <w:p w14:paraId="1B66ACCD" w14:textId="77777777" w:rsidR="00BF18CF" w:rsidRDefault="00E51347">
            <w:r>
              <w:rPr>
                <w:rFonts w:ascii="Consolas" w:eastAsia="Consolas" w:hAnsi="Consolas" w:cs="Consolas"/>
                <w:sz w:val="22"/>
                <w:szCs w:val="22"/>
                <w:shd w:val="clear" w:color="auto" w:fill="EAEEF3"/>
              </w:rPr>
              <w:t>E2_Entité_temporelle</w:t>
            </w:r>
          </w:p>
          <w:p w14:paraId="4D0002C6" w14:textId="77777777" w:rsidR="00BF18CF" w:rsidRDefault="00E51347">
            <w:r>
              <w:rPr>
                <w:rFonts w:ascii="Consolas" w:eastAsia="Consolas" w:hAnsi="Consolas" w:cs="Consolas"/>
                <w:sz w:val="22"/>
                <w:szCs w:val="22"/>
                <w:shd w:val="clear" w:color="auto" w:fill="EAEEF3"/>
              </w:rPr>
              <w:t>E52_Intervalle_temporel</w:t>
            </w:r>
          </w:p>
          <w:p w14:paraId="147738A7" w14:textId="77777777" w:rsidR="00BF18CF" w:rsidRDefault="00E51347">
            <w:r>
              <w:rPr>
                <w:rFonts w:ascii="Consolas" w:eastAsia="Consolas" w:hAnsi="Consolas" w:cs="Consolas"/>
                <w:sz w:val="22"/>
                <w:szCs w:val="22"/>
                <w:shd w:val="clear" w:color="auto" w:fill="EAEEF3"/>
              </w:rPr>
              <w:t>E53_Lieu</w:t>
            </w:r>
          </w:p>
          <w:p w14:paraId="3CC52686" w14:textId="77777777" w:rsidR="00BF18CF" w:rsidRDefault="00E51347">
            <w:r>
              <w:rPr>
                <w:rFonts w:ascii="Consolas" w:eastAsia="Consolas" w:hAnsi="Consolas" w:cs="Consolas"/>
                <w:sz w:val="22"/>
                <w:szCs w:val="22"/>
                <w:shd w:val="clear" w:color="auto" w:fill="EAEEF3"/>
              </w:rPr>
              <w:t>E54_Dimension</w:t>
            </w:r>
          </w:p>
          <w:p w14:paraId="7263C3EF" w14:textId="77777777" w:rsidR="00BF18CF" w:rsidRDefault="00E51347">
            <w:r>
              <w:rPr>
                <w:rFonts w:ascii="Consolas" w:eastAsia="Consolas" w:hAnsi="Consolas" w:cs="Consolas"/>
                <w:sz w:val="22"/>
                <w:szCs w:val="22"/>
                <w:shd w:val="clear" w:color="auto" w:fill="EAEEF3"/>
              </w:rPr>
              <w:lastRenderedPageBreak/>
              <w:t>E59_Valeur_primitive</w:t>
            </w:r>
          </w:p>
          <w:p w14:paraId="78609F2F" w14:textId="77777777" w:rsidR="00BF18CF" w:rsidRDefault="00E51347">
            <w:r>
              <w:rPr>
                <w:rFonts w:ascii="Consolas" w:eastAsia="Consolas" w:hAnsi="Consolas" w:cs="Consolas"/>
                <w:sz w:val="22"/>
                <w:szCs w:val="22"/>
                <w:shd w:val="clear" w:color="auto" w:fill="EAEEF3"/>
              </w:rPr>
              <w:t>E77_Entité_persistante</w:t>
            </w:r>
          </w:p>
          <w:p w14:paraId="2DC7B58D" w14:textId="77777777" w:rsidR="00BF18CF" w:rsidRDefault="00E51347">
            <w:r>
              <w:rPr>
                <w:rFonts w:ascii="Consolas" w:eastAsia="Consolas" w:hAnsi="Consolas" w:cs="Consolas"/>
                <w:sz w:val="22"/>
                <w:szCs w:val="22"/>
                <w:shd w:val="clear" w:color="auto" w:fill="EAEEF3"/>
              </w:rPr>
              <w:t>E92_Volume_spatio-temporel</w:t>
            </w:r>
          </w:p>
        </w:tc>
      </w:tr>
      <w:tr w:rsidR="00BF18CF" w14:paraId="3A7B6992" w14:textId="77777777" w:rsidTr="00BF18CF">
        <w:tc>
          <w:tcPr>
            <w:tcW w:w="1836" w:type="dxa"/>
          </w:tcPr>
          <w:p w14:paraId="6E374D92"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854" w:type="dxa"/>
          </w:tcPr>
          <w:p w14:paraId="5AA7C1F7" w14:textId="77777777" w:rsidR="00BF18CF" w:rsidRDefault="00E51347">
            <w:r>
              <w:t>Cette classe comprend toutes les choses de l’univers du discours du CIDOC CRM.</w:t>
            </w:r>
          </w:p>
          <w:p w14:paraId="70C8F82B" w14:textId="77777777" w:rsidR="00BF18CF" w:rsidRDefault="00E51347">
            <w:r>
              <w:t>Il s’agit d’un concept abstrait prévoyant trois propriétés générales :</w:t>
            </w:r>
          </w:p>
          <w:p w14:paraId="68E588D9" w14:textId="77777777" w:rsidR="00BF18CF" w:rsidRDefault="00E51347">
            <w:pPr>
              <w:numPr>
                <w:ilvl w:val="0"/>
                <w:numId w:val="19"/>
              </w:numPr>
            </w:pPr>
            <w:r>
              <w:t>L’identification par nom ou par appellation, en particulier par un identifiant préférentiel;</w:t>
            </w:r>
          </w:p>
          <w:p w14:paraId="48BFD728" w14:textId="77777777" w:rsidR="00BF18CF" w:rsidRDefault="00E51347">
            <w:pPr>
              <w:numPr>
                <w:ilvl w:val="0"/>
                <w:numId w:val="19"/>
              </w:numPr>
            </w:pPr>
            <w:r>
              <w:t>La classification par type qui permet d’affiner la sous-classe spécifique à laquelle une instance appartient;</w:t>
            </w:r>
          </w:p>
          <w:p w14:paraId="02ADE9B5" w14:textId="77777777" w:rsidR="00BF18CF" w:rsidRDefault="00E51347">
            <w:pPr>
              <w:numPr>
                <w:ilvl w:val="0"/>
                <w:numId w:val="19"/>
              </w:numPr>
            </w:pPr>
            <w:r>
              <w:t>L’association de texte libre ou de toute autre donnée non structurée pour exprimer tout ce qui ne peut l’être au moyen des propriétés formelles déclarées.</w:t>
            </w:r>
          </w:p>
          <w:p w14:paraId="64EB85DD" w14:textId="77777777" w:rsidR="00BF18CF" w:rsidRDefault="00E51347">
            <w:r>
              <w:t xml:space="preserve">Toutes les autres classes comprises dans le CIDOC CRM sont directement ou indirectement des sous-classes de </w:t>
            </w:r>
            <w:r>
              <w:rPr>
                <w:rFonts w:ascii="Consolas" w:eastAsia="Consolas" w:hAnsi="Consolas" w:cs="Consolas"/>
                <w:sz w:val="22"/>
                <w:szCs w:val="22"/>
                <w:shd w:val="clear" w:color="auto" w:fill="EAEEF3"/>
              </w:rPr>
              <w:t>E1_Entité_CRM</w:t>
            </w:r>
            <w:r>
              <w:t>.</w:t>
            </w:r>
          </w:p>
        </w:tc>
      </w:tr>
      <w:tr w:rsidR="00BF18CF" w14:paraId="639B4D74" w14:textId="77777777" w:rsidTr="00BF18CF">
        <w:tc>
          <w:tcPr>
            <w:tcW w:w="1836" w:type="dxa"/>
          </w:tcPr>
          <w:p w14:paraId="2B8DE14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54" w:type="dxa"/>
          </w:tcPr>
          <w:p w14:paraId="7D0929F3" w14:textId="77777777" w:rsidR="00BF18CF" w:rsidRDefault="00E51347">
            <w:pPr>
              <w:numPr>
                <w:ilvl w:val="0"/>
                <w:numId w:val="19"/>
              </w:numPr>
            </w:pPr>
            <w:r>
              <w:t>Le tremblement de terre de Lisbonne en 1755 (</w:t>
            </w:r>
            <w:r>
              <w:rPr>
                <w:rFonts w:ascii="Consolas" w:eastAsia="Consolas" w:hAnsi="Consolas" w:cs="Consolas"/>
                <w:sz w:val="22"/>
                <w:szCs w:val="22"/>
                <w:shd w:val="clear" w:color="auto" w:fill="EAEEF3"/>
              </w:rPr>
              <w:t>E5_Évènement</w:t>
            </w:r>
            <w:r>
              <w:t>) (Chester, 2001)</w:t>
            </w:r>
          </w:p>
        </w:tc>
      </w:tr>
      <w:tr w:rsidR="00BF18CF" w14:paraId="0BA26B88" w14:textId="77777777" w:rsidTr="00BF18CF">
        <w:tc>
          <w:tcPr>
            <w:tcW w:w="1836" w:type="dxa"/>
          </w:tcPr>
          <w:p w14:paraId="57F756D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54" w:type="dxa"/>
          </w:tcPr>
          <w:p w14:paraId="46CB9866" w14:textId="77777777" w:rsidR="00BF18CF" w:rsidRDefault="00E51347">
            <w:r>
              <w:t>E1(x)</w:t>
            </w:r>
          </w:p>
        </w:tc>
      </w:tr>
      <w:tr w:rsidR="00BF18CF" w14:paraId="2609F95D" w14:textId="77777777" w:rsidTr="00BF18CF">
        <w:tc>
          <w:tcPr>
            <w:tcW w:w="1836" w:type="dxa"/>
          </w:tcPr>
          <w:p w14:paraId="7103F82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54" w:type="dxa"/>
          </w:tcPr>
          <w:p w14:paraId="4053CF67" w14:textId="77777777" w:rsidR="00BF18CF" w:rsidRDefault="00E51347">
            <w:r>
              <w:rPr>
                <w:rFonts w:ascii="Consolas" w:eastAsia="Consolas" w:hAnsi="Consolas" w:cs="Consolas"/>
                <w:sz w:val="22"/>
                <w:szCs w:val="22"/>
                <w:shd w:val="clear" w:color="auto" w:fill="EAEEF3"/>
              </w:rPr>
              <w:t>P1_est_identifié_par (identifie)</w:t>
            </w:r>
            <w:r>
              <w:t xml:space="preserve"> : </w:t>
            </w:r>
            <w:r>
              <w:rPr>
                <w:rFonts w:ascii="Consolas" w:eastAsia="Consolas" w:hAnsi="Consolas" w:cs="Consolas"/>
                <w:sz w:val="22"/>
                <w:szCs w:val="22"/>
                <w:shd w:val="clear" w:color="auto" w:fill="EAEEF3"/>
              </w:rPr>
              <w:t>E41_Appellation</w:t>
            </w:r>
          </w:p>
          <w:p w14:paraId="6A487729" w14:textId="77777777" w:rsidR="00BF18CF" w:rsidRDefault="00E51347">
            <w:r>
              <w:rPr>
                <w:rFonts w:ascii="Consolas" w:eastAsia="Consolas" w:hAnsi="Consolas" w:cs="Consolas"/>
                <w:sz w:val="22"/>
                <w:szCs w:val="22"/>
                <w:shd w:val="clear" w:color="auto" w:fill="EAEEF3"/>
              </w:rPr>
              <w:t>P2_a_pour_type (est_le_type_de)</w:t>
            </w:r>
            <w:r>
              <w:t xml:space="preserve"> : </w:t>
            </w:r>
            <w:r>
              <w:rPr>
                <w:rFonts w:ascii="Consolas" w:eastAsia="Consolas" w:hAnsi="Consolas" w:cs="Consolas"/>
                <w:sz w:val="22"/>
                <w:szCs w:val="22"/>
                <w:shd w:val="clear" w:color="auto" w:fill="EAEEF3"/>
              </w:rPr>
              <w:t>E55_Type</w:t>
            </w:r>
          </w:p>
          <w:p w14:paraId="2F10BD19" w14:textId="77777777" w:rsidR="007C10F0"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P3_a_pour_note</w:t>
            </w:r>
            <w:r>
              <w:t xml:space="preserve"> : </w:t>
            </w:r>
            <w:r>
              <w:rPr>
                <w:rFonts w:ascii="Consolas" w:eastAsia="Consolas" w:hAnsi="Consolas" w:cs="Consolas"/>
                <w:sz w:val="22"/>
                <w:szCs w:val="22"/>
                <w:shd w:val="clear" w:color="auto" w:fill="EAEEF3"/>
              </w:rPr>
              <w:t xml:space="preserve">E62_Chaîne_de_caractères </w:t>
            </w:r>
          </w:p>
          <w:p w14:paraId="79104A70" w14:textId="207E79BB" w:rsidR="00BF18CF" w:rsidRDefault="00E51347">
            <w:r>
              <w:t>(</w:t>
            </w:r>
            <w:r>
              <w:rPr>
                <w:rFonts w:ascii="Consolas" w:eastAsia="Consolas" w:hAnsi="Consolas" w:cs="Consolas"/>
                <w:sz w:val="22"/>
                <w:szCs w:val="22"/>
                <w:shd w:val="clear" w:color="auto" w:fill="EAEEF3"/>
              </w:rPr>
              <w:t>P3.1_a_pour_type</w:t>
            </w:r>
            <w:r>
              <w:t xml:space="preserve"> : </w:t>
            </w:r>
            <w:r>
              <w:rPr>
                <w:rFonts w:ascii="Consolas" w:eastAsia="Consolas" w:hAnsi="Consolas" w:cs="Consolas"/>
                <w:sz w:val="22"/>
                <w:szCs w:val="22"/>
                <w:shd w:val="clear" w:color="auto" w:fill="EAEEF3"/>
              </w:rPr>
              <w:t>E55_Type</w:t>
            </w:r>
            <w:r>
              <w:t>)</w:t>
            </w:r>
          </w:p>
          <w:p w14:paraId="0104B622" w14:textId="77777777" w:rsidR="00BF18CF" w:rsidRDefault="00E51347">
            <w:r>
              <w:rPr>
                <w:rFonts w:ascii="Consolas" w:eastAsia="Consolas" w:hAnsi="Consolas" w:cs="Consolas"/>
                <w:sz w:val="22"/>
                <w:szCs w:val="22"/>
                <w:shd w:val="clear" w:color="auto" w:fill="EAEEF3"/>
              </w:rPr>
              <w:t>P48_a_pour_identifiant_préférentiel (est_l'identifiant_préférentiel_de)</w:t>
            </w:r>
            <w:r>
              <w:t xml:space="preserve"> : </w:t>
            </w:r>
            <w:r>
              <w:rPr>
                <w:rFonts w:ascii="Consolas" w:eastAsia="Consolas" w:hAnsi="Consolas" w:cs="Consolas"/>
                <w:sz w:val="22"/>
                <w:szCs w:val="22"/>
                <w:shd w:val="clear" w:color="auto" w:fill="EAEEF3"/>
              </w:rPr>
              <w:t>E42_Identifiant</w:t>
            </w:r>
          </w:p>
          <w:p w14:paraId="2CCBEB2D" w14:textId="77777777" w:rsidR="00BF18CF" w:rsidRDefault="00E51347">
            <w:r>
              <w:rPr>
                <w:rFonts w:ascii="Consolas" w:eastAsia="Consolas" w:hAnsi="Consolas" w:cs="Consolas"/>
                <w:sz w:val="22"/>
                <w:szCs w:val="22"/>
                <w:shd w:val="clear" w:color="auto" w:fill="EAEEF3"/>
              </w:rPr>
              <w:t>P137_exemplifie (est_exemplifié_par)</w:t>
            </w:r>
            <w:r>
              <w:t xml:space="preserve"> : </w:t>
            </w:r>
            <w:r>
              <w:rPr>
                <w:rFonts w:ascii="Consolas" w:eastAsia="Consolas" w:hAnsi="Consolas" w:cs="Consolas"/>
                <w:sz w:val="22"/>
                <w:szCs w:val="22"/>
                <w:shd w:val="clear" w:color="auto" w:fill="EAEEF3"/>
              </w:rPr>
              <w:t>E55_Type</w:t>
            </w:r>
            <w:r>
              <w:t xml:space="preserve"> (</w:t>
            </w:r>
            <w:r>
              <w:rPr>
                <w:rFonts w:ascii="Consolas" w:eastAsia="Consolas" w:hAnsi="Consolas" w:cs="Consolas"/>
                <w:sz w:val="22"/>
                <w:szCs w:val="22"/>
                <w:shd w:val="clear" w:color="auto" w:fill="EAEEF3"/>
              </w:rPr>
              <w:t>P137.1_dans_le_rôle_taxonomique_de</w:t>
            </w:r>
            <w:r>
              <w:t xml:space="preserve"> : </w:t>
            </w:r>
            <w:r>
              <w:rPr>
                <w:rFonts w:ascii="Consolas" w:eastAsia="Consolas" w:hAnsi="Consolas" w:cs="Consolas"/>
                <w:sz w:val="22"/>
                <w:szCs w:val="22"/>
                <w:shd w:val="clear" w:color="auto" w:fill="EAEEF3"/>
              </w:rPr>
              <w:t>E55_Type</w:t>
            </w:r>
            <w:r>
              <w:t>)</w:t>
            </w:r>
          </w:p>
        </w:tc>
      </w:tr>
      <w:tr w:rsidR="00BF18CF" w14:paraId="58EA2399" w14:textId="77777777" w:rsidTr="00BF18CF">
        <w:tc>
          <w:tcPr>
            <w:tcW w:w="1836" w:type="dxa"/>
          </w:tcPr>
          <w:p w14:paraId="67B025DC" w14:textId="37CB6D8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54" w:type="dxa"/>
          </w:tcPr>
          <w:p w14:paraId="6BA94C89" w14:textId="77777777" w:rsidR="00BF18CF" w:rsidRDefault="00E51347">
            <w:r>
              <w:t>« Universe of discourse » fait probablement référence à l’univers du discours du domaine de la logique.</w:t>
            </w:r>
          </w:p>
        </w:tc>
      </w:tr>
      <w:tr w:rsidR="00BF18CF" w14:paraId="1D24BA3C" w14:textId="77777777" w:rsidTr="00BF18CF">
        <w:tc>
          <w:tcPr>
            <w:tcW w:w="1836" w:type="dxa"/>
          </w:tcPr>
          <w:p w14:paraId="296479E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54" w:type="dxa"/>
          </w:tcPr>
          <w:p w14:paraId="0EA64EAB" w14:textId="77777777" w:rsidR="00BF18CF" w:rsidRDefault="00E51347">
            <w:r>
              <w:t xml:space="preserve">Wikipédia. « Univers du discours ». Dans </w:t>
            </w:r>
            <w:r>
              <w:rPr>
                <w:i/>
              </w:rPr>
              <w:t>Wikipedia</w:t>
            </w:r>
            <w:r>
              <w:t xml:space="preserve">. </w:t>
            </w:r>
            <w:r w:rsidRPr="00EE61A5">
              <w:rPr>
                <w:lang w:val="en-CA"/>
              </w:rPr>
              <w:t>San Francisco, US-CA: Wikipédia, 28 janvier 2021.</w:t>
            </w:r>
            <w:hyperlink r:id="rId367">
              <w:r w:rsidRPr="00EE61A5">
                <w:rPr>
                  <w:color w:val="4F81BD"/>
                  <w:lang w:val="en-CA"/>
                </w:rPr>
                <w:t xml:space="preserve"> </w:t>
              </w:r>
              <w:r>
                <w:rPr>
                  <w:color w:val="4F81BD"/>
                </w:rPr>
                <w:t>https://fr.wikipedia.org/wiki/Univers_du_discours</w:t>
              </w:r>
            </w:hyperlink>
            <w:r>
              <w:t>.</w:t>
            </w:r>
          </w:p>
        </w:tc>
      </w:tr>
    </w:tbl>
    <w:p w14:paraId="2509478C" w14:textId="77777777" w:rsidR="00BF18CF" w:rsidRDefault="00E51347">
      <w:pPr>
        <w:pStyle w:val="Heading3"/>
      </w:pPr>
      <w:bookmarkStart w:id="105" w:name="bookmark=id.kgcv8k" w:colFirst="0" w:colLast="0"/>
      <w:bookmarkStart w:id="106" w:name="_Toc144360795"/>
      <w:bookmarkEnd w:id="105"/>
      <w:r>
        <w:t>E2 Entité temporelle</w:t>
      </w:r>
      <w:bookmarkEnd w:id="106"/>
    </w:p>
    <w:tbl>
      <w:tblPr>
        <w:tblStyle w:val="a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33"/>
        <w:gridCol w:w="8957"/>
      </w:tblGrid>
      <w:tr w:rsidR="00BF18CF" w14:paraId="429A17AD" w14:textId="77777777" w:rsidTr="00BF18CF">
        <w:tc>
          <w:tcPr>
            <w:tcW w:w="1733" w:type="dxa"/>
          </w:tcPr>
          <w:p w14:paraId="700A7EBA"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57" w:type="dxa"/>
          </w:tcPr>
          <w:p w14:paraId="5DACA09A" w14:textId="77777777" w:rsidR="00BF18CF" w:rsidRDefault="00E51347">
            <w:r>
              <w:rPr>
                <w:rFonts w:ascii="Consolas" w:eastAsia="Consolas" w:hAnsi="Consolas" w:cs="Consolas"/>
                <w:sz w:val="22"/>
                <w:szCs w:val="22"/>
                <w:shd w:val="clear" w:color="auto" w:fill="EAEEF3"/>
              </w:rPr>
              <w:t>E1_Entité_CRM</w:t>
            </w:r>
          </w:p>
        </w:tc>
      </w:tr>
      <w:tr w:rsidR="00BF18CF" w14:paraId="5C347B80" w14:textId="77777777" w:rsidTr="00BF18CF">
        <w:tc>
          <w:tcPr>
            <w:tcW w:w="1733" w:type="dxa"/>
          </w:tcPr>
          <w:p w14:paraId="2C8B189F"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57" w:type="dxa"/>
          </w:tcPr>
          <w:p w14:paraId="6F3C5E41" w14:textId="77777777" w:rsidR="00BF18CF" w:rsidRDefault="00E51347">
            <w:r>
              <w:rPr>
                <w:rFonts w:ascii="Consolas" w:eastAsia="Consolas" w:hAnsi="Consolas" w:cs="Consolas"/>
                <w:sz w:val="22"/>
                <w:szCs w:val="22"/>
                <w:shd w:val="clear" w:color="auto" w:fill="EAEEF3"/>
              </w:rPr>
              <w:t>E3_État_matériel</w:t>
            </w:r>
          </w:p>
          <w:p w14:paraId="79F8E34A" w14:textId="77777777" w:rsidR="00BF18CF" w:rsidRDefault="00E51347">
            <w:r>
              <w:rPr>
                <w:rFonts w:ascii="Consolas" w:eastAsia="Consolas" w:hAnsi="Consolas" w:cs="Consolas"/>
                <w:sz w:val="22"/>
                <w:szCs w:val="22"/>
                <w:shd w:val="clear" w:color="auto" w:fill="EAEEF3"/>
              </w:rPr>
              <w:lastRenderedPageBreak/>
              <w:t>E4_Période</w:t>
            </w:r>
          </w:p>
        </w:tc>
      </w:tr>
      <w:tr w:rsidR="00BF18CF" w14:paraId="76FDE5E5" w14:textId="77777777" w:rsidTr="00BF18CF">
        <w:tc>
          <w:tcPr>
            <w:tcW w:w="1733" w:type="dxa"/>
          </w:tcPr>
          <w:p w14:paraId="6472D3CF"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957" w:type="dxa"/>
          </w:tcPr>
          <w:p w14:paraId="2434A523" w14:textId="77777777" w:rsidR="00BF18CF" w:rsidRDefault="00E51347">
            <w:r>
              <w:t xml:space="preserve">Cette classe comprend tous les phénomènes, tels que les instances de </w:t>
            </w:r>
            <w:r>
              <w:rPr>
                <w:rFonts w:ascii="Consolas" w:eastAsia="Consolas" w:hAnsi="Consolas" w:cs="Consolas"/>
                <w:sz w:val="22"/>
                <w:szCs w:val="22"/>
                <w:shd w:val="clear" w:color="auto" w:fill="EAEEF3"/>
              </w:rPr>
              <w:t>E4_Période</w:t>
            </w:r>
            <w:r>
              <w:t xml:space="preserve"> et de </w:t>
            </w:r>
            <w:r>
              <w:rPr>
                <w:rFonts w:ascii="Consolas" w:eastAsia="Consolas" w:hAnsi="Consolas" w:cs="Consolas"/>
                <w:sz w:val="22"/>
                <w:szCs w:val="22"/>
                <w:shd w:val="clear" w:color="auto" w:fill="EAEEF3"/>
              </w:rPr>
              <w:t>E5_Évènement</w:t>
            </w:r>
            <w:r>
              <w:t>, qui se produisent sur une étendue de temps limitée.</w:t>
            </w:r>
          </w:p>
          <w:p w14:paraId="12AFE9A3" w14:textId="77777777" w:rsidR="00BF18CF" w:rsidRDefault="00E51347">
            <w:r>
              <w:t xml:space="preserve">Cette étendue de temps doit être continue, c.-à-d. sans interruption. Dans le cas où les types de phénomènes qui définissent une instance de </w:t>
            </w:r>
            <w:r>
              <w:rPr>
                <w:rFonts w:ascii="Consolas" w:eastAsia="Consolas" w:hAnsi="Consolas" w:cs="Consolas"/>
                <w:sz w:val="22"/>
                <w:szCs w:val="22"/>
                <w:shd w:val="clear" w:color="auto" w:fill="EAEEF3"/>
              </w:rPr>
              <w:t>E2_Entité_temporelle</w:t>
            </w:r>
            <w:r>
              <w:t xml:space="preserve"> cessent de se produire, puis se produisent de nouveau à un autre moment, il est considéré que l’instance initiale de </w:t>
            </w:r>
            <w:r>
              <w:rPr>
                <w:rFonts w:ascii="Consolas" w:eastAsia="Consolas" w:hAnsi="Consolas" w:cs="Consolas"/>
                <w:sz w:val="22"/>
                <w:szCs w:val="22"/>
                <w:shd w:val="clear" w:color="auto" w:fill="EAEEF3"/>
              </w:rPr>
              <w:t>E2_Entité_temporelle</w:t>
            </w:r>
            <w:r>
              <w:t xml:space="preserve"> est terminée et qu’une nouvelle instance a vu le jour. En des termes plus intuitifs, le même évènement ne peut se produire deux fois. Dans certains contextes, de tels phénomènes sont aussi appelés « perdurants » [n.d.t. en philosophie].</w:t>
            </w:r>
          </w:p>
          <w:p w14:paraId="01A2D55B" w14:textId="77777777" w:rsidR="00BF18CF" w:rsidRDefault="00E51347">
            <w:r>
              <w:t xml:space="preserve">Cette classe est disjointe de la classe </w:t>
            </w:r>
            <w:r>
              <w:rPr>
                <w:rFonts w:ascii="Consolas" w:eastAsia="Consolas" w:hAnsi="Consolas" w:cs="Consolas"/>
                <w:sz w:val="22"/>
                <w:szCs w:val="22"/>
                <w:shd w:val="clear" w:color="auto" w:fill="EAEEF3"/>
              </w:rPr>
              <w:t>E77_Entité_persistante</w:t>
            </w:r>
            <w:r>
              <w:t xml:space="preserve"> et elle est une classe abstraite qui, typiquement, ne contient pas d’instances directes. La classe </w:t>
            </w:r>
            <w:r>
              <w:rPr>
                <w:rFonts w:ascii="Consolas" w:eastAsia="Consolas" w:hAnsi="Consolas" w:cs="Consolas"/>
                <w:sz w:val="22"/>
                <w:szCs w:val="22"/>
                <w:shd w:val="clear" w:color="auto" w:fill="EAEEF3"/>
              </w:rPr>
              <w:t>E2_Entité_temporelle</w:t>
            </w:r>
            <w:r>
              <w:t xml:space="preserve"> est précisée dans les classes</w:t>
            </w:r>
          </w:p>
          <w:p w14:paraId="5EDFADF1" w14:textId="77777777" w:rsidR="00BF18CF" w:rsidRDefault="00E51347">
            <w:pPr>
              <w:numPr>
                <w:ilvl w:val="0"/>
                <w:numId w:val="19"/>
              </w:numPr>
            </w:pPr>
            <w:r>
              <w:rPr>
                <w:rFonts w:ascii="Consolas" w:eastAsia="Consolas" w:hAnsi="Consolas" w:cs="Consolas"/>
                <w:sz w:val="22"/>
                <w:szCs w:val="22"/>
                <w:shd w:val="clear" w:color="auto" w:fill="EAEEF3"/>
              </w:rPr>
              <w:t>E4_Période</w:t>
            </w:r>
            <w:r>
              <w:t>, qui s’applique à une zone géographique spécifique (définie avec un degré de précision plus ou moins grand);</w:t>
            </w:r>
          </w:p>
          <w:p w14:paraId="4620E4FF" w14:textId="77777777" w:rsidR="00BF18CF" w:rsidRDefault="00E51347">
            <w:pPr>
              <w:numPr>
                <w:ilvl w:val="0"/>
                <w:numId w:val="19"/>
              </w:numPr>
            </w:pPr>
            <w:r>
              <w:rPr>
                <w:rFonts w:ascii="Consolas" w:eastAsia="Consolas" w:hAnsi="Consolas" w:cs="Consolas"/>
                <w:sz w:val="22"/>
                <w:szCs w:val="22"/>
                <w:shd w:val="clear" w:color="auto" w:fill="EAEEF3"/>
              </w:rPr>
              <w:t>E3_État_matériel</w:t>
            </w:r>
            <w:r>
              <w:t xml:space="preserve">, qui s’applique aux instances de </w:t>
            </w:r>
            <w:r>
              <w:rPr>
                <w:rFonts w:ascii="Consolas" w:eastAsia="Consolas" w:hAnsi="Consolas" w:cs="Consolas"/>
                <w:sz w:val="22"/>
                <w:szCs w:val="22"/>
                <w:shd w:val="clear" w:color="auto" w:fill="EAEEF3"/>
              </w:rPr>
              <w:t>E18_Chose_matérielle</w:t>
            </w:r>
            <w:r>
              <w:t>.</w:t>
            </w:r>
          </w:p>
        </w:tc>
      </w:tr>
      <w:tr w:rsidR="00BF18CF" w14:paraId="22015961" w14:textId="77777777" w:rsidTr="00BF18CF">
        <w:tc>
          <w:tcPr>
            <w:tcW w:w="1733" w:type="dxa"/>
          </w:tcPr>
          <w:p w14:paraId="05698B8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57" w:type="dxa"/>
          </w:tcPr>
          <w:p w14:paraId="3D1ADEA9" w14:textId="77777777" w:rsidR="00BF18CF" w:rsidRDefault="00E51347">
            <w:pPr>
              <w:numPr>
                <w:ilvl w:val="0"/>
                <w:numId w:val="19"/>
              </w:numPr>
            </w:pPr>
            <w:r>
              <w:t>L’Âge du bronze (</w:t>
            </w:r>
            <w:r>
              <w:rPr>
                <w:rFonts w:ascii="Consolas" w:eastAsia="Consolas" w:hAnsi="Consolas" w:cs="Consolas"/>
                <w:sz w:val="22"/>
                <w:szCs w:val="22"/>
                <w:shd w:val="clear" w:color="auto" w:fill="EAEEF3"/>
              </w:rPr>
              <w:t>E4_Période</w:t>
            </w:r>
            <w:r>
              <w:t>) (Childe, 1963)</w:t>
            </w:r>
          </w:p>
          <w:p w14:paraId="4ADCD5B5" w14:textId="77777777" w:rsidR="00BF18CF" w:rsidRDefault="00E51347">
            <w:pPr>
              <w:numPr>
                <w:ilvl w:val="0"/>
                <w:numId w:val="19"/>
              </w:numPr>
            </w:pPr>
            <w:r>
              <w:t>Le tremblement de terre de 1755 à Lisbonne (</w:t>
            </w:r>
            <w:r>
              <w:rPr>
                <w:rFonts w:ascii="Consolas" w:eastAsia="Consolas" w:hAnsi="Consolas" w:cs="Consolas"/>
                <w:sz w:val="22"/>
                <w:szCs w:val="22"/>
                <w:shd w:val="clear" w:color="auto" w:fill="EAEEF3"/>
              </w:rPr>
              <w:t>E5_Évènement</w:t>
            </w:r>
            <w:r>
              <w:t>) (Chester, 2001)</w:t>
            </w:r>
          </w:p>
          <w:p w14:paraId="14FF5234" w14:textId="77777777" w:rsidR="00BF18CF" w:rsidRDefault="00E51347">
            <w:pPr>
              <w:numPr>
                <w:ilvl w:val="0"/>
                <w:numId w:val="19"/>
              </w:numPr>
            </w:pPr>
            <w:r>
              <w:t>Le Palais de Peterhof près de Saint-Pétersbourg, en ruines de 1944 à 1946 (</w:t>
            </w:r>
            <w:r>
              <w:rPr>
                <w:rFonts w:ascii="Consolas" w:eastAsia="Consolas" w:hAnsi="Consolas" w:cs="Consolas"/>
                <w:sz w:val="22"/>
                <w:szCs w:val="22"/>
                <w:shd w:val="clear" w:color="auto" w:fill="EAEEF3"/>
              </w:rPr>
              <w:t>E3_État_matériel</w:t>
            </w:r>
            <w:r>
              <w:t>) (Maddox, 2015)</w:t>
            </w:r>
          </w:p>
        </w:tc>
      </w:tr>
      <w:tr w:rsidR="00BF18CF" w14:paraId="7AE23376" w14:textId="77777777" w:rsidTr="00BF18CF">
        <w:tc>
          <w:tcPr>
            <w:tcW w:w="1733" w:type="dxa"/>
          </w:tcPr>
          <w:p w14:paraId="28CE927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57" w:type="dxa"/>
          </w:tcPr>
          <w:p w14:paraId="17D5A9DD" w14:textId="77777777" w:rsidR="00BF18CF" w:rsidRDefault="00E51347">
            <w:r>
              <w:t>E2(x) ⇒ E1(x)</w:t>
            </w:r>
          </w:p>
        </w:tc>
      </w:tr>
      <w:tr w:rsidR="00BF18CF" w14:paraId="0ED7BDDE" w14:textId="77777777" w:rsidTr="00BF18CF">
        <w:tc>
          <w:tcPr>
            <w:tcW w:w="1733" w:type="dxa"/>
          </w:tcPr>
          <w:p w14:paraId="52DD2E3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57" w:type="dxa"/>
          </w:tcPr>
          <w:p w14:paraId="0A424FF2" w14:textId="77777777" w:rsidR="00BF18CF" w:rsidRDefault="00E51347">
            <w:r>
              <w:rPr>
                <w:rFonts w:ascii="Consolas" w:eastAsia="Consolas" w:hAnsi="Consolas" w:cs="Consolas"/>
                <w:sz w:val="22"/>
                <w:szCs w:val="22"/>
                <w:shd w:val="clear" w:color="auto" w:fill="EAEEF3"/>
              </w:rPr>
              <w:t>P4_a_pour_intervalle_temporel (est_l’intervalle_temporel_de)</w:t>
            </w:r>
            <w:r>
              <w:t xml:space="preserve"> : </w:t>
            </w:r>
            <w:r>
              <w:rPr>
                <w:rFonts w:ascii="Consolas" w:eastAsia="Consolas" w:hAnsi="Consolas" w:cs="Consolas"/>
                <w:sz w:val="22"/>
                <w:szCs w:val="22"/>
                <w:shd w:val="clear" w:color="auto" w:fill="EAEEF3"/>
              </w:rPr>
              <w:t>E52_Intervalle_temporel</w:t>
            </w:r>
          </w:p>
          <w:p w14:paraId="2D019C3B" w14:textId="77777777" w:rsidR="00BF18CF" w:rsidRDefault="00E51347">
            <w:r>
              <w:rPr>
                <w:rFonts w:ascii="Consolas" w:eastAsia="Consolas" w:hAnsi="Consolas" w:cs="Consolas"/>
                <w:sz w:val="22"/>
                <w:szCs w:val="22"/>
                <w:shd w:val="clear" w:color="auto" w:fill="EAEEF3"/>
              </w:rPr>
              <w:t>P173_commence_avant_ou_au_moment_de_la_fin_de (se_termine_après_ou_au_moment_du_début_de)</w:t>
            </w:r>
            <w:r>
              <w:t xml:space="preserve"> :</w:t>
            </w:r>
          </w:p>
          <w:p w14:paraId="31D34872" w14:textId="77777777" w:rsidR="00BF18CF" w:rsidRDefault="00E51347">
            <w:r>
              <w:t xml:space="preserve">: </w:t>
            </w:r>
            <w:r>
              <w:rPr>
                <w:rFonts w:ascii="Consolas" w:eastAsia="Consolas" w:hAnsi="Consolas" w:cs="Consolas"/>
                <w:sz w:val="22"/>
                <w:szCs w:val="22"/>
                <w:shd w:val="clear" w:color="auto" w:fill="EAEEF3"/>
              </w:rPr>
              <w:t>E2_Entité_temporelle</w:t>
            </w:r>
          </w:p>
          <w:p w14:paraId="118EFC0F" w14:textId="77777777" w:rsidR="00BF18CF" w:rsidRDefault="00E51347">
            <w:r>
              <w:rPr>
                <w:rFonts w:ascii="Consolas" w:eastAsia="Consolas" w:hAnsi="Consolas" w:cs="Consolas"/>
                <w:sz w:val="22"/>
                <w:szCs w:val="22"/>
                <w:shd w:val="clear" w:color="auto" w:fill="EAEEF3"/>
              </w:rPr>
              <w:t>P174_commence_avant_la_fin_de (se_termine_après_le_début_de)</w:t>
            </w:r>
            <w:r>
              <w:t xml:space="preserve"> : </w:t>
            </w:r>
            <w:r>
              <w:rPr>
                <w:rFonts w:ascii="Consolas" w:eastAsia="Consolas" w:hAnsi="Consolas" w:cs="Consolas"/>
                <w:sz w:val="22"/>
                <w:szCs w:val="22"/>
                <w:shd w:val="clear" w:color="auto" w:fill="EAEEF3"/>
              </w:rPr>
              <w:t>E2_Entité_temporelle</w:t>
            </w:r>
          </w:p>
          <w:p w14:paraId="3568793B" w14:textId="77777777" w:rsidR="00BF18CF" w:rsidRDefault="00E51347">
            <w:r>
              <w:rPr>
                <w:rFonts w:ascii="Consolas" w:eastAsia="Consolas" w:hAnsi="Consolas" w:cs="Consolas"/>
                <w:sz w:val="22"/>
                <w:szCs w:val="22"/>
                <w:shd w:val="clear" w:color="auto" w:fill="EAEEF3"/>
              </w:rPr>
              <w:t>P175_commence_avant_ou_au_moment_du_début_de (commence_après_ou_au_moment_du_début_de)</w:t>
            </w:r>
            <w:r>
              <w:t xml:space="preserve"> : </w:t>
            </w:r>
            <w:r>
              <w:rPr>
                <w:rFonts w:ascii="Consolas" w:eastAsia="Consolas" w:hAnsi="Consolas" w:cs="Consolas"/>
                <w:sz w:val="22"/>
                <w:szCs w:val="22"/>
                <w:shd w:val="clear" w:color="auto" w:fill="EAEEF3"/>
              </w:rPr>
              <w:t>E2_Entité_temporelle</w:t>
            </w:r>
          </w:p>
          <w:p w14:paraId="03FFA59A" w14:textId="77777777" w:rsidR="00BF18CF" w:rsidRDefault="00E51347">
            <w:r>
              <w:rPr>
                <w:rFonts w:ascii="Consolas" w:eastAsia="Consolas" w:hAnsi="Consolas" w:cs="Consolas"/>
                <w:sz w:val="22"/>
                <w:szCs w:val="22"/>
                <w:shd w:val="clear" w:color="auto" w:fill="EAEEF3"/>
              </w:rPr>
              <w:t>P176_commence_avant_le_début_de (commence_après_le_début_de)</w:t>
            </w:r>
            <w:r>
              <w:t xml:space="preserve"> : </w:t>
            </w:r>
            <w:r>
              <w:rPr>
                <w:rFonts w:ascii="Consolas" w:eastAsia="Consolas" w:hAnsi="Consolas" w:cs="Consolas"/>
                <w:sz w:val="22"/>
                <w:szCs w:val="22"/>
                <w:shd w:val="clear" w:color="auto" w:fill="EAEEF3"/>
              </w:rPr>
              <w:t>E2_Entité_temporelle</w:t>
            </w:r>
          </w:p>
          <w:p w14:paraId="0180BE45" w14:textId="77777777" w:rsidR="00BF18CF" w:rsidRDefault="00E51347">
            <w:r>
              <w:rPr>
                <w:rFonts w:ascii="Consolas" w:eastAsia="Consolas" w:hAnsi="Consolas" w:cs="Consolas"/>
                <w:sz w:val="22"/>
                <w:szCs w:val="22"/>
                <w:shd w:val="clear" w:color="auto" w:fill="EAEEF3"/>
              </w:rPr>
              <w:t>P182_se_termine_avant_ou_au_moment_du_début_de (commence_après_ou_au_moment_de_la_fin_de)</w:t>
            </w:r>
            <w:r>
              <w:t xml:space="preserve"> : </w:t>
            </w:r>
            <w:r>
              <w:rPr>
                <w:rFonts w:ascii="Consolas" w:eastAsia="Consolas" w:hAnsi="Consolas" w:cs="Consolas"/>
                <w:sz w:val="22"/>
                <w:szCs w:val="22"/>
                <w:shd w:val="clear" w:color="auto" w:fill="EAEEF3"/>
              </w:rPr>
              <w:t>E2_Entité_temporelle</w:t>
            </w:r>
          </w:p>
          <w:p w14:paraId="43100ED2" w14:textId="77777777" w:rsidR="00BF18CF" w:rsidRDefault="00E51347">
            <w:r>
              <w:rPr>
                <w:rFonts w:ascii="Consolas" w:eastAsia="Consolas" w:hAnsi="Consolas" w:cs="Consolas"/>
                <w:sz w:val="22"/>
                <w:szCs w:val="22"/>
                <w:shd w:val="clear" w:color="auto" w:fill="EAEEF3"/>
              </w:rPr>
              <w:t>P183_se_termine_avant_le_début_de (commence_après_la_fin_de)</w:t>
            </w:r>
            <w:r>
              <w:t xml:space="preserve"> : </w:t>
            </w:r>
            <w:r>
              <w:rPr>
                <w:rFonts w:ascii="Consolas" w:eastAsia="Consolas" w:hAnsi="Consolas" w:cs="Consolas"/>
                <w:sz w:val="22"/>
                <w:szCs w:val="22"/>
                <w:shd w:val="clear" w:color="auto" w:fill="EAEEF3"/>
              </w:rPr>
              <w:t>E2_Entité_temporelle</w:t>
            </w:r>
          </w:p>
          <w:p w14:paraId="5A155924" w14:textId="77777777" w:rsidR="00BF18CF" w:rsidRDefault="00E51347">
            <w:r>
              <w:rPr>
                <w:rFonts w:ascii="Consolas" w:eastAsia="Consolas" w:hAnsi="Consolas" w:cs="Consolas"/>
                <w:sz w:val="22"/>
                <w:szCs w:val="22"/>
                <w:shd w:val="clear" w:color="auto" w:fill="EAEEF3"/>
              </w:rPr>
              <w:lastRenderedPageBreak/>
              <w:t>P184_se_termine_avant_ou_au_moment_de_la_fin_de (se_termine_au_moment_ou_après_la_fin_de)</w:t>
            </w:r>
            <w:r>
              <w:t xml:space="preserve"> : </w:t>
            </w:r>
            <w:r>
              <w:rPr>
                <w:rFonts w:ascii="Consolas" w:eastAsia="Consolas" w:hAnsi="Consolas" w:cs="Consolas"/>
                <w:sz w:val="22"/>
                <w:szCs w:val="22"/>
                <w:shd w:val="clear" w:color="auto" w:fill="EAEEF3"/>
              </w:rPr>
              <w:t>E2_Entité_temporelle</w:t>
            </w:r>
          </w:p>
          <w:p w14:paraId="0009B0FE" w14:textId="77777777" w:rsidR="00BF18CF" w:rsidRDefault="00E51347">
            <w:r>
              <w:rPr>
                <w:rFonts w:ascii="Consolas" w:eastAsia="Consolas" w:hAnsi="Consolas" w:cs="Consolas"/>
                <w:sz w:val="22"/>
                <w:szCs w:val="22"/>
                <w:shd w:val="clear" w:color="auto" w:fill="EAEEF3"/>
              </w:rPr>
              <w:t>P185_se_termine_avant_la_fin_de (se_termine_après_la_fin_de)</w:t>
            </w:r>
            <w:r>
              <w:t xml:space="preserve"> : </w:t>
            </w:r>
            <w:r>
              <w:rPr>
                <w:rFonts w:ascii="Consolas" w:eastAsia="Consolas" w:hAnsi="Consolas" w:cs="Consolas"/>
                <w:sz w:val="22"/>
                <w:szCs w:val="22"/>
                <w:shd w:val="clear" w:color="auto" w:fill="EAEEF3"/>
              </w:rPr>
              <w:t>E2_Entité_temporelle</w:t>
            </w:r>
          </w:p>
        </w:tc>
      </w:tr>
      <w:tr w:rsidR="00BF18CF" w14:paraId="6032C3D1" w14:textId="77777777" w:rsidTr="00BF18CF">
        <w:tc>
          <w:tcPr>
            <w:tcW w:w="1733" w:type="dxa"/>
          </w:tcPr>
          <w:p w14:paraId="059BACF8" w14:textId="528A7F1B"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957" w:type="dxa"/>
          </w:tcPr>
          <w:p w14:paraId="40475385" w14:textId="77777777" w:rsidR="00BF18CF" w:rsidRDefault="00E51347">
            <w:r>
              <w:t xml:space="preserve">Le terme « continue » plutôt que « contiguë » a été retenu pour référer à la </w:t>
            </w:r>
            <w:proofErr w:type="gramStart"/>
            <w:r>
              <w:t>période de temps</w:t>
            </w:r>
            <w:proofErr w:type="gramEnd"/>
            <w:r>
              <w:t>, car le terme « contigu » doit plutôt être utilisé pour parler de deux choses distinctes qui sont rapprochées par le sens ou par le temps.</w:t>
            </w:r>
          </w:p>
          <w:p w14:paraId="0B5BEA28" w14:textId="77777777" w:rsidR="00BF18CF" w:rsidRDefault="00E51347">
            <w:r>
              <w:t xml:space="preserve">La précision par rapport au domaine d’utilisation du terme « perdurant » (la philosophie) vise à le clarifier et est déduite de la description du terme « endurant » à la classe </w:t>
            </w:r>
            <w:r>
              <w:rPr>
                <w:rFonts w:ascii="Consolas" w:eastAsia="Consolas" w:hAnsi="Consolas" w:cs="Consolas"/>
                <w:sz w:val="22"/>
                <w:szCs w:val="22"/>
                <w:shd w:val="clear" w:color="auto" w:fill="EAEEF3"/>
              </w:rPr>
              <w:t>E77_Entité_persistante</w:t>
            </w:r>
            <w:r>
              <w:t>.</w:t>
            </w:r>
          </w:p>
        </w:tc>
      </w:tr>
      <w:tr w:rsidR="00BF18CF" w14:paraId="01586A6D" w14:textId="77777777" w:rsidTr="00BF18CF">
        <w:tc>
          <w:tcPr>
            <w:tcW w:w="1733" w:type="dxa"/>
          </w:tcPr>
          <w:p w14:paraId="168F071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57" w:type="dxa"/>
          </w:tcPr>
          <w:p w14:paraId="0810A361" w14:textId="77777777" w:rsidR="00BF18CF" w:rsidRDefault="00BF18CF">
            <w:pPr>
              <w:pBdr>
                <w:top w:val="nil"/>
                <w:left w:val="nil"/>
                <w:bottom w:val="nil"/>
                <w:right w:val="nil"/>
                <w:between w:val="nil"/>
              </w:pBdr>
              <w:spacing w:before="36" w:after="36"/>
              <w:rPr>
                <w:color w:val="000000"/>
              </w:rPr>
            </w:pPr>
          </w:p>
        </w:tc>
      </w:tr>
    </w:tbl>
    <w:p w14:paraId="37F79531" w14:textId="77777777" w:rsidR="00BF18CF" w:rsidRDefault="00E51347">
      <w:pPr>
        <w:pStyle w:val="Heading3"/>
      </w:pPr>
      <w:bookmarkStart w:id="107" w:name="bookmark=id.34g0dwd" w:colFirst="0" w:colLast="0"/>
      <w:bookmarkStart w:id="108" w:name="_Toc144360796"/>
      <w:bookmarkEnd w:id="107"/>
      <w:r>
        <w:t>E3 État matériel</w:t>
      </w:r>
      <w:bookmarkEnd w:id="108"/>
    </w:p>
    <w:tbl>
      <w:tblPr>
        <w:tblStyle w:val="a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2"/>
        <w:gridCol w:w="8908"/>
      </w:tblGrid>
      <w:tr w:rsidR="00BF18CF" w14:paraId="1648E290" w14:textId="77777777" w:rsidTr="00BF18CF">
        <w:tc>
          <w:tcPr>
            <w:tcW w:w="1782" w:type="dxa"/>
          </w:tcPr>
          <w:p w14:paraId="3023381E"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8" w:type="dxa"/>
          </w:tcPr>
          <w:p w14:paraId="522CA87F" w14:textId="77777777" w:rsidR="00BF18CF" w:rsidRDefault="00E51347">
            <w:r>
              <w:rPr>
                <w:rFonts w:ascii="Consolas" w:eastAsia="Consolas" w:hAnsi="Consolas" w:cs="Consolas"/>
                <w:sz w:val="22"/>
                <w:szCs w:val="22"/>
                <w:shd w:val="clear" w:color="auto" w:fill="EAEEF3"/>
              </w:rPr>
              <w:t>E2_Entité_temporelle</w:t>
            </w:r>
          </w:p>
        </w:tc>
      </w:tr>
      <w:tr w:rsidR="00BF18CF" w14:paraId="06F0196A" w14:textId="77777777" w:rsidTr="00BF18CF">
        <w:tc>
          <w:tcPr>
            <w:tcW w:w="1782" w:type="dxa"/>
          </w:tcPr>
          <w:p w14:paraId="05285A4D"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8" w:type="dxa"/>
          </w:tcPr>
          <w:p w14:paraId="781CE0FC" w14:textId="77777777" w:rsidR="00BF18CF" w:rsidRDefault="00BF18CF">
            <w:pPr>
              <w:pBdr>
                <w:top w:val="nil"/>
                <w:left w:val="nil"/>
                <w:bottom w:val="nil"/>
                <w:right w:val="nil"/>
                <w:between w:val="nil"/>
              </w:pBdr>
              <w:spacing w:before="36" w:after="36"/>
              <w:rPr>
                <w:color w:val="000000"/>
              </w:rPr>
            </w:pPr>
          </w:p>
        </w:tc>
      </w:tr>
      <w:tr w:rsidR="00BF18CF" w14:paraId="2FEED409" w14:textId="77777777" w:rsidTr="00BF18CF">
        <w:tc>
          <w:tcPr>
            <w:tcW w:w="1782" w:type="dxa"/>
          </w:tcPr>
          <w:p w14:paraId="440BA05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8" w:type="dxa"/>
          </w:tcPr>
          <w:p w14:paraId="0D132996" w14:textId="77777777" w:rsidR="00BF18CF" w:rsidRDefault="00E51347">
            <w:r>
              <w:t>Cette classe comprend les états d'objets caractérisés par une condition donnée sur un intervalle de temps.</w:t>
            </w:r>
          </w:p>
          <w:p w14:paraId="332F1C43" w14:textId="77777777" w:rsidR="00BF18CF" w:rsidRDefault="00E51347">
            <w:r>
              <w:t xml:space="preserve">Une instance de </w:t>
            </w:r>
            <w:r>
              <w:rPr>
                <w:rFonts w:ascii="Consolas" w:eastAsia="Consolas" w:hAnsi="Consolas" w:cs="Consolas"/>
                <w:sz w:val="22"/>
                <w:szCs w:val="22"/>
                <w:shd w:val="clear" w:color="auto" w:fill="EAEEF3"/>
              </w:rPr>
              <w:t>E3_État_matériel</w:t>
            </w:r>
            <w:r>
              <w:t xml:space="preserve"> décrit l'état physique dominant de tout objet matériel ou caractéristique au cours d'une instance spécifique de </w:t>
            </w:r>
            <w:r>
              <w:rPr>
                <w:rFonts w:ascii="Consolas" w:eastAsia="Consolas" w:hAnsi="Consolas" w:cs="Consolas"/>
                <w:sz w:val="22"/>
                <w:szCs w:val="22"/>
                <w:shd w:val="clear" w:color="auto" w:fill="EAEEF3"/>
              </w:rPr>
              <w:t>E52_Intervalle_temporel</w:t>
            </w:r>
            <w:r>
              <w:t xml:space="preserve">. En général, l'intervalle temporel pour lequel une condition donnée peut être affirmée </w:t>
            </w:r>
            <w:proofErr w:type="gramStart"/>
            <w:r>
              <w:t>peut être</w:t>
            </w:r>
            <w:proofErr w:type="gramEnd"/>
            <w:r>
              <w:t xml:space="preserve"> plus court que l'intervalle temporel réel pour lequel cette condition a été valide.</w:t>
            </w:r>
          </w:p>
          <w:p w14:paraId="315BF5BB" w14:textId="77777777" w:rsidR="00BF18CF" w:rsidRDefault="00E51347">
            <w:r>
              <w:t xml:space="preserve">La nature de cette condition peut être décrite en utilisant </w:t>
            </w:r>
            <w:r>
              <w:rPr>
                <w:rFonts w:ascii="Consolas" w:eastAsia="Consolas" w:hAnsi="Consolas" w:cs="Consolas"/>
                <w:sz w:val="22"/>
                <w:szCs w:val="22"/>
                <w:shd w:val="clear" w:color="auto" w:fill="EAEEF3"/>
              </w:rPr>
              <w:t>P2_a_pour_type</w:t>
            </w:r>
            <w:r>
              <w:t xml:space="preserve">. Par exemple, l'instance de </w:t>
            </w:r>
            <w:r>
              <w:rPr>
                <w:rFonts w:ascii="Consolas" w:eastAsia="Consolas" w:hAnsi="Consolas" w:cs="Consolas"/>
                <w:sz w:val="22"/>
                <w:szCs w:val="22"/>
                <w:shd w:val="clear" w:color="auto" w:fill="EAEEF3"/>
              </w:rPr>
              <w:t>E3_État_matériel</w:t>
            </w:r>
            <w:r>
              <w:t xml:space="preserve"> « état du SS Great Britain entre le 22 septembre 1846 et le 27 août 1847 » peut être caractérisée comme une instance de </w:t>
            </w:r>
            <w:r>
              <w:rPr>
                <w:rFonts w:ascii="Consolas" w:eastAsia="Consolas" w:hAnsi="Consolas" w:cs="Consolas"/>
                <w:sz w:val="22"/>
                <w:szCs w:val="22"/>
                <w:shd w:val="clear" w:color="auto" w:fill="EAEEF3"/>
              </w:rPr>
              <w:t>E55_Type</w:t>
            </w:r>
            <w:r>
              <w:t xml:space="preserve"> « épave ».</w:t>
            </w:r>
          </w:p>
        </w:tc>
      </w:tr>
      <w:tr w:rsidR="00BF18CF" w14:paraId="472A9187" w14:textId="77777777" w:rsidTr="00BF18CF">
        <w:tc>
          <w:tcPr>
            <w:tcW w:w="1782" w:type="dxa"/>
          </w:tcPr>
          <w:p w14:paraId="78493395"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08" w:type="dxa"/>
          </w:tcPr>
          <w:p w14:paraId="2B4CE4EC" w14:textId="77777777" w:rsidR="00BF18CF" w:rsidRDefault="00E51347">
            <w:pPr>
              <w:numPr>
                <w:ilvl w:val="0"/>
                <w:numId w:val="19"/>
              </w:numPr>
            </w:pPr>
            <w:r>
              <w:t>L'état « reconstruit » de la Chambre d'ambre à Tsarskoïe Selo de l'été 2003 à aujourd'hui (Owen, 2009)</w:t>
            </w:r>
          </w:p>
          <w:p w14:paraId="3FF70D13" w14:textId="77777777" w:rsidR="00BF18CF" w:rsidRDefault="00E51347">
            <w:pPr>
              <w:numPr>
                <w:ilvl w:val="0"/>
                <w:numId w:val="19"/>
              </w:numPr>
            </w:pPr>
            <w:r>
              <w:t>L'état « en ruine » du palais de Peterhof près de Saint-Pétersbourg de 1944 à 1946 (Maddox, 2015)</w:t>
            </w:r>
          </w:p>
          <w:p w14:paraId="03BD557E" w14:textId="77777777" w:rsidR="00BF18CF" w:rsidRDefault="00E51347">
            <w:pPr>
              <w:numPr>
                <w:ilvl w:val="0"/>
                <w:numId w:val="19"/>
              </w:numPr>
            </w:pPr>
            <w:r>
              <w:t>L'état de ma dinde au four à 14h30 le 25 décembre 2002 (</w:t>
            </w:r>
            <w:r>
              <w:rPr>
                <w:rFonts w:ascii="Consolas" w:eastAsia="Consolas" w:hAnsi="Consolas" w:cs="Consolas"/>
                <w:sz w:val="22"/>
                <w:szCs w:val="22"/>
                <w:shd w:val="clear" w:color="auto" w:fill="EAEEF3"/>
              </w:rPr>
              <w:t>P2_a_pour_type</w:t>
            </w:r>
            <w:r>
              <w:t xml:space="preserve"> : </w:t>
            </w:r>
            <w:r>
              <w:rPr>
                <w:rFonts w:ascii="Consolas" w:eastAsia="Consolas" w:hAnsi="Consolas" w:cs="Consolas"/>
                <w:sz w:val="22"/>
                <w:szCs w:val="22"/>
                <w:shd w:val="clear" w:color="auto" w:fill="EAEEF3"/>
              </w:rPr>
              <w:t>E55_Type</w:t>
            </w:r>
            <w:r>
              <w:t xml:space="preserve"> « pas encore cuite ») (fictif)</w:t>
            </w:r>
          </w:p>
          <w:p w14:paraId="1185701C" w14:textId="77777777" w:rsidR="00BF18CF" w:rsidRDefault="00E51347">
            <w:pPr>
              <w:numPr>
                <w:ilvl w:val="0"/>
                <w:numId w:val="19"/>
              </w:numPr>
            </w:pPr>
            <w:r>
              <w:t>La topographie des feuilles du livre imprimé du Mont Sinaï 3234.2361 le 10 juillet 2007 (</w:t>
            </w:r>
            <w:r>
              <w:rPr>
                <w:rFonts w:ascii="Consolas" w:eastAsia="Consolas" w:hAnsi="Consolas" w:cs="Consolas"/>
                <w:sz w:val="22"/>
                <w:szCs w:val="22"/>
                <w:shd w:val="clear" w:color="auto" w:fill="EAEEF3"/>
              </w:rPr>
              <w:t>P2_a_pour_type</w:t>
            </w:r>
            <w:r>
              <w:t xml:space="preserve"> : </w:t>
            </w:r>
            <w:r>
              <w:rPr>
                <w:rFonts w:ascii="Consolas" w:eastAsia="Consolas" w:hAnsi="Consolas" w:cs="Consolas"/>
                <w:sz w:val="22"/>
                <w:szCs w:val="22"/>
                <w:shd w:val="clear" w:color="auto" w:fill="EAEEF3"/>
              </w:rPr>
              <w:t>E55_Type</w:t>
            </w:r>
            <w:r>
              <w:t xml:space="preserve"> « gondolé ») (fictif)</w:t>
            </w:r>
          </w:p>
        </w:tc>
      </w:tr>
      <w:tr w:rsidR="00BF18CF" w14:paraId="69589CB0" w14:textId="77777777" w:rsidTr="00BF18CF">
        <w:tc>
          <w:tcPr>
            <w:tcW w:w="1782" w:type="dxa"/>
          </w:tcPr>
          <w:p w14:paraId="471DBA1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8" w:type="dxa"/>
          </w:tcPr>
          <w:p w14:paraId="5A78DA39" w14:textId="77777777" w:rsidR="00BF18CF" w:rsidRDefault="00E51347">
            <w:r>
              <w:t>E3(x) ⇒ E2(x)</w:t>
            </w:r>
          </w:p>
        </w:tc>
      </w:tr>
      <w:tr w:rsidR="00BF18CF" w14:paraId="4E5B3CF6" w14:textId="77777777" w:rsidTr="00BF18CF">
        <w:tc>
          <w:tcPr>
            <w:tcW w:w="1782" w:type="dxa"/>
          </w:tcPr>
          <w:p w14:paraId="077FFFE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8" w:type="dxa"/>
          </w:tcPr>
          <w:p w14:paraId="548A07D4" w14:textId="77777777" w:rsidR="00BF18CF" w:rsidRDefault="00E51347">
            <w:r>
              <w:rPr>
                <w:rFonts w:ascii="Consolas" w:eastAsia="Consolas" w:hAnsi="Consolas" w:cs="Consolas"/>
                <w:sz w:val="22"/>
                <w:szCs w:val="22"/>
                <w:shd w:val="clear" w:color="auto" w:fill="EAEEF3"/>
              </w:rPr>
              <w:t>P5_comprend (fait_partie_de)</w:t>
            </w:r>
            <w:r>
              <w:t xml:space="preserve"> : </w:t>
            </w:r>
            <w:r>
              <w:rPr>
                <w:rFonts w:ascii="Consolas" w:eastAsia="Consolas" w:hAnsi="Consolas" w:cs="Consolas"/>
                <w:sz w:val="22"/>
                <w:szCs w:val="22"/>
                <w:shd w:val="clear" w:color="auto" w:fill="EAEEF3"/>
              </w:rPr>
              <w:t>E3_État_matériel</w:t>
            </w:r>
          </w:p>
        </w:tc>
      </w:tr>
      <w:tr w:rsidR="00BF18CF" w14:paraId="232D0896" w14:textId="77777777" w:rsidTr="00BF18CF">
        <w:tc>
          <w:tcPr>
            <w:tcW w:w="1782" w:type="dxa"/>
          </w:tcPr>
          <w:p w14:paraId="1D3E8741" w14:textId="41C1DA3C"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908" w:type="dxa"/>
          </w:tcPr>
          <w:p w14:paraId="02D792F2" w14:textId="77777777" w:rsidR="00BF18CF" w:rsidRDefault="00BF18CF">
            <w:pPr>
              <w:pBdr>
                <w:top w:val="nil"/>
                <w:left w:val="nil"/>
                <w:bottom w:val="nil"/>
                <w:right w:val="nil"/>
                <w:between w:val="nil"/>
              </w:pBdr>
              <w:spacing w:before="36" w:after="36"/>
              <w:rPr>
                <w:color w:val="000000"/>
              </w:rPr>
            </w:pPr>
          </w:p>
        </w:tc>
      </w:tr>
      <w:tr w:rsidR="00BF18CF" w14:paraId="44A0EE51" w14:textId="77777777" w:rsidTr="00BF18CF">
        <w:tc>
          <w:tcPr>
            <w:tcW w:w="1782" w:type="dxa"/>
          </w:tcPr>
          <w:p w14:paraId="11AF1E9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8" w:type="dxa"/>
          </w:tcPr>
          <w:p w14:paraId="063544E6" w14:textId="77777777" w:rsidR="00BF18CF" w:rsidRDefault="00BF18CF">
            <w:pPr>
              <w:pBdr>
                <w:top w:val="nil"/>
                <w:left w:val="nil"/>
                <w:bottom w:val="nil"/>
                <w:right w:val="nil"/>
                <w:between w:val="nil"/>
              </w:pBdr>
              <w:spacing w:before="36" w:after="36"/>
              <w:rPr>
                <w:color w:val="000000"/>
              </w:rPr>
            </w:pPr>
          </w:p>
        </w:tc>
      </w:tr>
    </w:tbl>
    <w:p w14:paraId="6CE36D31" w14:textId="77777777" w:rsidR="00BF18CF" w:rsidRDefault="00E51347">
      <w:pPr>
        <w:pStyle w:val="Heading3"/>
      </w:pPr>
      <w:bookmarkStart w:id="109" w:name="bookmark=id.1jlao46" w:colFirst="0" w:colLast="0"/>
      <w:bookmarkStart w:id="110" w:name="_Toc144360797"/>
      <w:bookmarkEnd w:id="109"/>
      <w:r>
        <w:t>E4 Période</w:t>
      </w:r>
      <w:bookmarkEnd w:id="110"/>
    </w:p>
    <w:tbl>
      <w:tblPr>
        <w:tblStyle w:val="a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672"/>
        <w:gridCol w:w="9018"/>
      </w:tblGrid>
      <w:tr w:rsidR="00BF18CF" w14:paraId="494AEA16" w14:textId="77777777" w:rsidTr="00BF18CF">
        <w:tc>
          <w:tcPr>
            <w:tcW w:w="1672" w:type="dxa"/>
          </w:tcPr>
          <w:p w14:paraId="6BE0F3D9"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9018" w:type="dxa"/>
          </w:tcPr>
          <w:p w14:paraId="2FF7C032" w14:textId="77777777" w:rsidR="00BF18CF" w:rsidRDefault="00E51347">
            <w:r>
              <w:rPr>
                <w:rFonts w:ascii="Consolas" w:eastAsia="Consolas" w:hAnsi="Consolas" w:cs="Consolas"/>
                <w:sz w:val="22"/>
                <w:szCs w:val="22"/>
                <w:shd w:val="clear" w:color="auto" w:fill="EAEEF3"/>
              </w:rPr>
              <w:t>E2_Entité_temporelle</w:t>
            </w:r>
          </w:p>
          <w:p w14:paraId="4E951B73" w14:textId="77777777" w:rsidR="00BF18CF" w:rsidRDefault="00E51347">
            <w:r>
              <w:rPr>
                <w:rFonts w:ascii="Consolas" w:eastAsia="Consolas" w:hAnsi="Consolas" w:cs="Consolas"/>
                <w:sz w:val="22"/>
                <w:szCs w:val="22"/>
                <w:shd w:val="clear" w:color="auto" w:fill="EAEEF3"/>
              </w:rPr>
              <w:t>E92_Volume_spatio-temporel</w:t>
            </w:r>
          </w:p>
        </w:tc>
      </w:tr>
      <w:tr w:rsidR="00BF18CF" w14:paraId="0E3C017E" w14:textId="77777777" w:rsidTr="00BF18CF">
        <w:tc>
          <w:tcPr>
            <w:tcW w:w="1672" w:type="dxa"/>
          </w:tcPr>
          <w:p w14:paraId="5A0329A1"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9018" w:type="dxa"/>
          </w:tcPr>
          <w:p w14:paraId="4660E4F2" w14:textId="77777777" w:rsidR="00BF18CF" w:rsidRDefault="00E51347">
            <w:r>
              <w:rPr>
                <w:rFonts w:ascii="Consolas" w:eastAsia="Consolas" w:hAnsi="Consolas" w:cs="Consolas"/>
                <w:sz w:val="22"/>
                <w:szCs w:val="22"/>
                <w:shd w:val="clear" w:color="auto" w:fill="EAEEF3"/>
              </w:rPr>
              <w:t>E5_Évènement</w:t>
            </w:r>
          </w:p>
        </w:tc>
      </w:tr>
      <w:tr w:rsidR="00BF18CF" w14:paraId="36054E92" w14:textId="77777777" w:rsidTr="00BF18CF">
        <w:tc>
          <w:tcPr>
            <w:tcW w:w="1672" w:type="dxa"/>
          </w:tcPr>
          <w:p w14:paraId="2F11EFA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9018" w:type="dxa"/>
          </w:tcPr>
          <w:p w14:paraId="5E22B772" w14:textId="77777777" w:rsidR="00BF18CF" w:rsidRDefault="00E51347">
            <w:r>
              <w:t>Cette classe comprend des ensembles de phénomènes cohérents ou de manifestations culturelles se produisant dans l’espace et dans le temps.</w:t>
            </w:r>
          </w:p>
          <w:p w14:paraId="74E486F3" w14:textId="77777777" w:rsidR="00BF18CF" w:rsidRDefault="00E51347">
            <w:r>
              <w:t xml:space="preserve">C’est la cohérence sociale ou physique de [n.d.t. cet ensemble de] phénomènes qui établit l’identité d’une instance de </w:t>
            </w:r>
            <w:r>
              <w:rPr>
                <w:rFonts w:ascii="Consolas" w:eastAsia="Consolas" w:hAnsi="Consolas" w:cs="Consolas"/>
                <w:sz w:val="22"/>
                <w:szCs w:val="22"/>
                <w:shd w:val="clear" w:color="auto" w:fill="EAEEF3"/>
              </w:rPr>
              <w:t>E4_Période</w:t>
            </w:r>
            <w:r>
              <w:t xml:space="preserve">, et non son étendue spatio-temporelle. Cette dernière n’est que le « terreau » ou l’espace dans lequel, au sens physique abstrait, le processus de croissance, de déploiement ou de retrait [n.d.t. du phénomène qu’encapsule la </w:t>
            </w:r>
            <w:r>
              <w:rPr>
                <w:rFonts w:ascii="Consolas" w:eastAsia="Consolas" w:hAnsi="Consolas" w:cs="Consolas"/>
                <w:sz w:val="22"/>
                <w:szCs w:val="22"/>
                <w:shd w:val="clear" w:color="auto" w:fill="EAEEF3"/>
              </w:rPr>
              <w:t>E4_Période</w:t>
            </w:r>
            <w:r>
              <w:t>] a lieu. Plusieurs périodes peuvent donc se chevaucher et coexister dans le temps et dans l’espace, par exemple lorsqu’une culture nomade existe dans le même espace et en même temps qu’une culture sédentaire. Ceci implique que les droits d’utilisation relatifs à des terres qui se chevauchent — une situation fréquente chez les Premières Nations — équivalent à des périodes se chevauchant elles aussi.</w:t>
            </w:r>
          </w:p>
          <w:p w14:paraId="7E19FFC0" w14:textId="77777777" w:rsidR="00BF18CF" w:rsidRDefault="00E51347">
            <w:r>
              <w:t xml:space="preserve">Cette classe est fréquemment utilisée pour décrire des périodes préhistoriques ou historiques comme la « période néolithique », la « dynastie Ming » ou « l’ère McCarthy », mais aussi pour des éléments géopolitiques et des activités d’occupation considérés comme des cas spéciaux de </w:t>
            </w:r>
            <w:r>
              <w:rPr>
                <w:rFonts w:ascii="Consolas" w:eastAsia="Consolas" w:hAnsi="Consolas" w:cs="Consolas"/>
                <w:sz w:val="22"/>
                <w:szCs w:val="22"/>
                <w:shd w:val="clear" w:color="auto" w:fill="EAEEF3"/>
              </w:rPr>
              <w:t>E4_Période</w:t>
            </w:r>
            <w:r>
              <w:t>.</w:t>
            </w:r>
          </w:p>
          <w:p w14:paraId="4675631C" w14:textId="77777777" w:rsidR="00BF18CF" w:rsidRDefault="00E51347">
            <w:r>
              <w:t>[</w:t>
            </w:r>
            <w:proofErr w:type="gramStart"/>
            <w:r>
              <w:t>n.d.t.</w:t>
            </w:r>
            <w:proofErr w:type="gramEnd"/>
            <w:r>
              <w:t xml:space="preserve"> L’utilisation de cette classe pour décrire des phénomènes précis] n’implique pas de postulats quant à l’échelle des phénomènes en question : tous les évènements sont considérés comme des processus synthétiques composés de phénomènes cohérents [n.d.t. c.-à-d. des phénomènes qui peuvent raisonnablement être perçus comme dotés d’une complétude interne]. Ainsi, </w:t>
            </w:r>
            <w:r>
              <w:rPr>
                <w:rFonts w:ascii="Consolas" w:eastAsia="Consolas" w:hAnsi="Consolas" w:cs="Consolas"/>
                <w:sz w:val="22"/>
                <w:szCs w:val="22"/>
                <w:shd w:val="clear" w:color="auto" w:fill="EAEEF3"/>
              </w:rPr>
              <w:t>E4_Période</w:t>
            </w:r>
            <w:r>
              <w:t xml:space="preserve"> est une super-classe de </w:t>
            </w:r>
            <w:r>
              <w:rPr>
                <w:rFonts w:ascii="Consolas" w:eastAsia="Consolas" w:hAnsi="Consolas" w:cs="Consolas"/>
                <w:sz w:val="22"/>
                <w:szCs w:val="22"/>
                <w:shd w:val="clear" w:color="auto" w:fill="EAEEF3"/>
              </w:rPr>
              <w:t>E5_Évènement</w:t>
            </w:r>
            <w:r>
              <w:t xml:space="preserve">. Par exemple, une naissance ayant eu lieu dans un milieu clinique moderne — une instance de </w:t>
            </w:r>
            <w:r>
              <w:rPr>
                <w:rFonts w:ascii="Consolas" w:eastAsia="Consolas" w:hAnsi="Consolas" w:cs="Consolas"/>
                <w:sz w:val="22"/>
                <w:szCs w:val="22"/>
                <w:shd w:val="clear" w:color="auto" w:fill="EAEEF3"/>
              </w:rPr>
              <w:t>E67_Naissance</w:t>
            </w:r>
            <w:r>
              <w:t xml:space="preserve"> — peut être considérée à la fois comme un évènement unique (c.-à-d. une instance de </w:t>
            </w:r>
            <w:r>
              <w:rPr>
                <w:rFonts w:ascii="Consolas" w:eastAsia="Consolas" w:hAnsi="Consolas" w:cs="Consolas"/>
                <w:sz w:val="22"/>
                <w:szCs w:val="22"/>
                <w:shd w:val="clear" w:color="auto" w:fill="EAEEF3"/>
              </w:rPr>
              <w:t>E5_Évènement</w:t>
            </w:r>
            <w:r>
              <w:t xml:space="preserve">) et comme une période étendue (c.-à-d. une instance de </w:t>
            </w:r>
            <w:r>
              <w:rPr>
                <w:rFonts w:ascii="Consolas" w:eastAsia="Consolas" w:hAnsi="Consolas" w:cs="Consolas"/>
                <w:sz w:val="22"/>
                <w:szCs w:val="22"/>
                <w:shd w:val="clear" w:color="auto" w:fill="EAEEF3"/>
              </w:rPr>
              <w:t>E4_Période</w:t>
            </w:r>
            <w:r>
              <w:t xml:space="preserve">) qui consiste en de multiples processus physiques et activités complémentaires accomplies par diverses instances de </w:t>
            </w:r>
            <w:r>
              <w:rPr>
                <w:rFonts w:ascii="Consolas" w:eastAsia="Consolas" w:hAnsi="Consolas" w:cs="Consolas"/>
                <w:sz w:val="22"/>
                <w:szCs w:val="22"/>
                <w:shd w:val="clear" w:color="auto" w:fill="EAEEF3"/>
              </w:rPr>
              <w:t>E39_Actant</w:t>
            </w:r>
            <w:r>
              <w:t>.</w:t>
            </w:r>
          </w:p>
          <w:p w14:paraId="2067F47A" w14:textId="77777777" w:rsidR="00BF18CF" w:rsidRDefault="00E51347">
            <w:r>
              <w:t xml:space="preserve">L’étendue spatio-temporelle d’une instance de </w:t>
            </w:r>
            <w:r>
              <w:rPr>
                <w:rFonts w:ascii="Consolas" w:eastAsia="Consolas" w:hAnsi="Consolas" w:cs="Consolas"/>
                <w:sz w:val="22"/>
                <w:szCs w:val="22"/>
                <w:shd w:val="clear" w:color="auto" w:fill="EAEEF3"/>
              </w:rPr>
              <w:t>E4_Période</w:t>
            </w:r>
            <w:r>
              <w:t xml:space="preserve"> dans le CIDOC CRM correspond aux trajectoires des choses physiques lorsqu’elles participent à une instance de </w:t>
            </w:r>
            <w:r>
              <w:rPr>
                <w:rFonts w:ascii="Consolas" w:eastAsia="Consolas" w:hAnsi="Consolas" w:cs="Consolas"/>
                <w:sz w:val="22"/>
                <w:szCs w:val="22"/>
                <w:shd w:val="clear" w:color="auto" w:fill="EAEEF3"/>
              </w:rPr>
              <w:t>E4_Période</w:t>
            </w:r>
            <w:r>
              <w:t>. Ceci inclut les espaces ouverts par l’intermédiaire desquels les choses ont ou auraient pu interagir au cours de la période ou de l’évènement, et ce, d’une manière cohérente avec [n.d.t. les principes qui définissent] le type de cette période ou de cet évènement. Un exemple de tels espaces serait l’air présent dans une salle de réunion et qui transmet les voix des participants.</w:t>
            </w:r>
          </w:p>
          <w:p w14:paraId="4F1AB4DA" w14:textId="77777777" w:rsidR="00BF18CF" w:rsidRDefault="00E51347">
            <w:r>
              <w:lastRenderedPageBreak/>
              <w:t>Ces phénomènes étant de nature floue, leur étendue spatio-temporelle est [n.d.t. de facto] considérée comme continue, à l’exception de phénomènes se déployant sur plusieurs îles ou territoires distincts, ce qui inclut des éléments géopolitiques distribués sur des territoires distincts tels que des îles ou des colonies. Le fait de considérer les trajectoires nécessaires au voyage des participants entre de tels territoires comme des étendues spatio-temporelles en elles-mêmes doit être déterminé au cas par cas en se fondant sur une analyse concrète qui prend en compte, notamment, l’usage de la mer à d’autres fins que la pêche. L’idée que les activités de gouvernance de territoires atomisés impliquent aussi des déplacements dans les espaces qui les lient de manière que ces territoires demeurent, en quelque sorte, connectés pourrait en outre être défendue. Il semble néanmoins contre-intuitif de considérer des itinéraires servant au transport dans des eaux internationales comme des extensions [n.d.t. légitimes] d’éléments géopolitiques.</w:t>
            </w:r>
          </w:p>
          <w:p w14:paraId="4E98E271" w14:textId="77777777" w:rsidR="00BF18CF" w:rsidRDefault="00E51347">
            <w:r>
              <w:t xml:space="preserve">Une instance de </w:t>
            </w:r>
            <w:r>
              <w:rPr>
                <w:rFonts w:ascii="Consolas" w:eastAsia="Consolas" w:hAnsi="Consolas" w:cs="Consolas"/>
                <w:sz w:val="22"/>
                <w:szCs w:val="22"/>
                <w:shd w:val="clear" w:color="auto" w:fill="EAEEF3"/>
              </w:rPr>
              <w:t>E4_Période</w:t>
            </w:r>
            <w:r>
              <w:t xml:space="preserve"> peut donc occuper de nombreux volumes spatio-temporels disjoints tant qu’il n’y a pas de discontinuité dans l’intervalle temporel couvert par ces mêmes volumes spatio-temporels. Cela signifie qu’une instance de </w:t>
            </w:r>
            <w:r>
              <w:rPr>
                <w:rFonts w:ascii="Consolas" w:eastAsia="Consolas" w:hAnsi="Consolas" w:cs="Consolas"/>
                <w:sz w:val="22"/>
                <w:szCs w:val="22"/>
                <w:shd w:val="clear" w:color="auto" w:fill="EAEEF3"/>
              </w:rPr>
              <w:t>E4_Période</w:t>
            </w:r>
            <w:r>
              <w:t xml:space="preserve"> doit être continue dans le temps : si une </w:t>
            </w:r>
            <w:r>
              <w:rPr>
                <w:rFonts w:ascii="Consolas" w:eastAsia="Consolas" w:hAnsi="Consolas" w:cs="Consolas"/>
                <w:sz w:val="22"/>
                <w:szCs w:val="22"/>
                <w:shd w:val="clear" w:color="auto" w:fill="EAEEF3"/>
              </w:rPr>
              <w:t>E4_Période</w:t>
            </w:r>
            <w:r>
              <w:t xml:space="preserve"> est terminée dans tous les espaces [n.d.t. qu’elle convoque], elle est terminée définitivement en tant que tout. Ceci n’empêche cependant pas qu’une </w:t>
            </w:r>
            <w:r>
              <w:rPr>
                <w:rFonts w:ascii="Consolas" w:eastAsia="Consolas" w:hAnsi="Consolas" w:cs="Consolas"/>
                <w:sz w:val="22"/>
                <w:szCs w:val="22"/>
                <w:shd w:val="clear" w:color="auto" w:fill="EAEEF3"/>
              </w:rPr>
              <w:t>E4_Période</w:t>
            </w:r>
            <w:r>
              <w:t xml:space="preserve"> soit terminée dans un espace avant de l’être dans un autre (comme ce fut le cas de la migration polynésienne), et que cette même </w:t>
            </w:r>
            <w:r>
              <w:rPr>
                <w:rFonts w:ascii="Consolas" w:eastAsia="Consolas" w:hAnsi="Consolas" w:cs="Consolas"/>
                <w:sz w:val="22"/>
                <w:szCs w:val="22"/>
                <w:shd w:val="clear" w:color="auto" w:fill="EAEEF3"/>
              </w:rPr>
              <w:t>E4_Période</w:t>
            </w:r>
            <w:r>
              <w:t xml:space="preserve"> perdure aussi longtemps qu’elle s’incarne dans au moins un espace.</w:t>
            </w:r>
          </w:p>
          <w:p w14:paraId="5A33DB52" w14:textId="77777777" w:rsidR="00BF18CF" w:rsidRDefault="00E51347">
            <w:r>
              <w:t xml:space="preserve">Le CIDOC CRM définit </w:t>
            </w:r>
            <w:r>
              <w:rPr>
                <w:rFonts w:ascii="Consolas" w:eastAsia="Consolas" w:hAnsi="Consolas" w:cs="Consolas"/>
                <w:sz w:val="22"/>
                <w:szCs w:val="22"/>
                <w:shd w:val="clear" w:color="auto" w:fill="EAEEF3"/>
              </w:rPr>
              <w:t>E4_Période</w:t>
            </w:r>
            <w:r>
              <w:t xml:space="preserve"> comme une sous-classe de </w:t>
            </w:r>
            <w:r>
              <w:rPr>
                <w:rFonts w:ascii="Consolas" w:eastAsia="Consolas" w:hAnsi="Consolas" w:cs="Consolas"/>
                <w:sz w:val="22"/>
                <w:szCs w:val="22"/>
                <w:shd w:val="clear" w:color="auto" w:fill="EAEEF3"/>
              </w:rPr>
              <w:t>E2_Entité_temporelle</w:t>
            </w:r>
            <w:r>
              <w:t xml:space="preserve"> ainsi que de </w:t>
            </w:r>
            <w:r>
              <w:rPr>
                <w:rFonts w:ascii="Consolas" w:eastAsia="Consolas" w:hAnsi="Consolas" w:cs="Consolas"/>
                <w:sz w:val="22"/>
                <w:szCs w:val="22"/>
                <w:shd w:val="clear" w:color="auto" w:fill="EAEEF3"/>
              </w:rPr>
              <w:t>E92_Volume_spatio-temporel</w:t>
            </w:r>
            <w:r>
              <w:t xml:space="preserve"> — considéré comme un volume spatio-temporel tel que défini dans </w:t>
            </w:r>
            <w:hyperlink r:id="rId368">
              <w:r>
                <w:rPr>
                  <w:color w:val="4F81BD"/>
                </w:rPr>
                <w:t>CIDOC CRMgeo</w:t>
              </w:r>
            </w:hyperlink>
            <w:r>
              <w:t xml:space="preserve"> (Doerr et Hiebel, 2013). Du fait de cet héritage multiple, l’étendue physique d’une instance de </w:t>
            </w:r>
            <w:r>
              <w:rPr>
                <w:rFonts w:ascii="Consolas" w:eastAsia="Consolas" w:hAnsi="Consolas" w:cs="Consolas"/>
                <w:sz w:val="22"/>
                <w:szCs w:val="22"/>
                <w:shd w:val="clear" w:color="auto" w:fill="EAEEF3"/>
              </w:rPr>
              <w:t>E4_Période</w:t>
            </w:r>
            <w:r>
              <w:t xml:space="preserve"> peut être discutée sans la représenter à chaque fois avec une instance de son volume spatio-temporel. Ce modèle [n.d.t. le CIDOC CRM] comprend deux types de choses bien différentes : une instance de </w:t>
            </w:r>
            <w:r>
              <w:rPr>
                <w:rFonts w:ascii="Consolas" w:eastAsia="Consolas" w:hAnsi="Consolas" w:cs="Consolas"/>
                <w:sz w:val="22"/>
                <w:szCs w:val="22"/>
                <w:shd w:val="clear" w:color="auto" w:fill="EAEEF3"/>
              </w:rPr>
              <w:t>E4_Période</w:t>
            </w:r>
            <w:r>
              <w:t xml:space="preserve"> est un phénomène alors qu’une instance de </w:t>
            </w:r>
            <w:r>
              <w:rPr>
                <w:rFonts w:ascii="Consolas" w:eastAsia="Consolas" w:hAnsi="Consolas" w:cs="Consolas"/>
                <w:sz w:val="22"/>
                <w:szCs w:val="22"/>
                <w:shd w:val="clear" w:color="auto" w:fill="EAEEF3"/>
              </w:rPr>
              <w:t>E92_Volume_spatio-temporel</w:t>
            </w:r>
            <w:r>
              <w:t xml:space="preserve"> est une agrégation de points dans un espace-temps. Cependant, la réelle étendue spatio-temporelle d’une instance de </w:t>
            </w:r>
            <w:r>
              <w:rPr>
                <w:rFonts w:ascii="Consolas" w:eastAsia="Consolas" w:hAnsi="Consolas" w:cs="Consolas"/>
                <w:sz w:val="22"/>
                <w:szCs w:val="22"/>
                <w:shd w:val="clear" w:color="auto" w:fill="EAEEF3"/>
              </w:rPr>
              <w:t>E4_Période</w:t>
            </w:r>
            <w:r>
              <w:t xml:space="preserve"> est considérée comme unique en raison du flou et des nombreux détails qui la caractérisent; l’identité et l’existence de cette étendue spatio-temporelle se reposent donc uniquement sur l’identité de l’instance de </w:t>
            </w:r>
            <w:r>
              <w:rPr>
                <w:rFonts w:ascii="Consolas" w:eastAsia="Consolas" w:hAnsi="Consolas" w:cs="Consolas"/>
                <w:sz w:val="22"/>
                <w:szCs w:val="22"/>
                <w:shd w:val="clear" w:color="auto" w:fill="EAEEF3"/>
              </w:rPr>
              <w:t>E4_Période</w:t>
            </w:r>
            <w:r>
              <w:t xml:space="preserve">. Cet héritage multiple est donc effectif, dénué d'ambiguïté et correspond aux intuitions du langage naturel [n.d.t. c.-à-d. que, au quotidien, il n’est généralement pas question du volume spatio-temporel à des fins de simplification et de compréhension intuitive du monde; d’encapsuler </w:t>
            </w:r>
            <w:r>
              <w:rPr>
                <w:rFonts w:ascii="Consolas" w:eastAsia="Consolas" w:hAnsi="Consolas" w:cs="Consolas"/>
                <w:sz w:val="22"/>
                <w:szCs w:val="22"/>
                <w:shd w:val="clear" w:color="auto" w:fill="EAEEF3"/>
              </w:rPr>
              <w:t>E92_Volume_spatio-temporel</w:t>
            </w:r>
            <w:r>
              <w:t xml:space="preserve"> dans </w:t>
            </w:r>
            <w:r>
              <w:rPr>
                <w:rFonts w:ascii="Consolas" w:eastAsia="Consolas" w:hAnsi="Consolas" w:cs="Consolas"/>
                <w:sz w:val="22"/>
                <w:szCs w:val="22"/>
                <w:shd w:val="clear" w:color="auto" w:fill="EAEEF3"/>
              </w:rPr>
              <w:t>E4_Période</w:t>
            </w:r>
            <w:r>
              <w:t xml:space="preserve"> se rapproche de l’utilisation courante de ces concepts et en simplifie de ce fait l’utilisation].</w:t>
            </w:r>
          </w:p>
          <w:p w14:paraId="1271C391" w14:textId="77777777" w:rsidR="00BF18CF" w:rsidRDefault="00E51347">
            <w:r>
              <w:t xml:space="preserve">Un usage typique de cette classe dans le milieu patrimonial est celui de la documentation des périodes culturelles et artistiques. Le style artistique peut être conceptualisé de deux manières : selon un contexte historique ou selon des caractéristiques physiques. Par exemple, « l’Impressionnisme » peut être vu comme une période de la sphère d’influence européenne s’étendant approximativement de 1870 à 1905 durant laquelle des peintures ayant des caractéristiques spécifiques ont été produites par des artistes tels que Monet, Renoir, Pissarro, Sisley et Degas. Mais l’impressionnisme peut être considéré aussi comme un style désignant toute peinture </w:t>
            </w:r>
            <w:r>
              <w:lastRenderedPageBreak/>
              <w:t xml:space="preserve">qui partage les caractéristiques des œuvres produites par les peintres impressionnistes, indépendamment de tout contexte historique. La première interprétation [n.d.t. selon un contexte historique] est une instance de </w:t>
            </w:r>
            <w:r>
              <w:rPr>
                <w:rFonts w:ascii="Consolas" w:eastAsia="Consolas" w:hAnsi="Consolas" w:cs="Consolas"/>
                <w:sz w:val="22"/>
                <w:szCs w:val="22"/>
                <w:shd w:val="clear" w:color="auto" w:fill="EAEEF3"/>
              </w:rPr>
              <w:t>E4_Période</w:t>
            </w:r>
            <w:r>
              <w:t xml:space="preserve"> alors que la seconde [n.d.t. selon des caractéristiques physiques] définit une catégorie morphologique d’objet qui relève de la classe </w:t>
            </w:r>
            <w:r>
              <w:rPr>
                <w:rFonts w:ascii="Consolas" w:eastAsia="Consolas" w:hAnsi="Consolas" w:cs="Consolas"/>
                <w:sz w:val="22"/>
                <w:szCs w:val="22"/>
                <w:shd w:val="clear" w:color="auto" w:fill="EAEEF3"/>
              </w:rPr>
              <w:t>E55_Type</w:t>
            </w:r>
            <w:r>
              <w:t>.</w:t>
            </w:r>
          </w:p>
          <w:p w14:paraId="31683EEF" w14:textId="77777777" w:rsidR="00BF18CF" w:rsidRDefault="00E51347">
            <w:r>
              <w:t xml:space="preserve">Un élément géopolitique en tant que cas spécial d’une instance de </w:t>
            </w:r>
            <w:r>
              <w:rPr>
                <w:rFonts w:ascii="Consolas" w:eastAsia="Consolas" w:hAnsi="Consolas" w:cs="Consolas"/>
                <w:sz w:val="22"/>
                <w:szCs w:val="22"/>
                <w:shd w:val="clear" w:color="auto" w:fill="EAEEF3"/>
              </w:rPr>
              <w:t>E4_Période</w:t>
            </w:r>
            <w:r>
              <w:t xml:space="preserve"> est un ensemble d’activités et de phénomènes concernant une revendication du pouvoir, des conséquences de l’appartenance à une région juridique et un système administratif établissant un élément géopolitique. Des exemples modernes d’éléments géopolitiques étant des instances possibles de </w:t>
            </w:r>
            <w:r>
              <w:rPr>
                <w:rFonts w:ascii="Consolas" w:eastAsia="Consolas" w:hAnsi="Consolas" w:cs="Consolas"/>
                <w:sz w:val="22"/>
                <w:szCs w:val="22"/>
                <w:shd w:val="clear" w:color="auto" w:fill="EAEEF3"/>
              </w:rPr>
              <w:t>E4_Période</w:t>
            </w:r>
            <w:r>
              <w:t xml:space="preserve"> sont des pays ou des régions administratives de pays tels que des districts, dont les structures et les actions définissent des activités et des phénomènes sur le territoire dont la gouvernance leur revient. Les frontières d’éléments géopolitiques sont souvent définies par des ententes contractuelles ou des traités qui peuvent néanmoins différer de l’usage réel qui est fait du territoire. Les propriétés spatio-temporelles d’éléments géopolitiques peuvent être modélisées grâce aux propriétés héritées de </w:t>
            </w:r>
            <w:r>
              <w:rPr>
                <w:rFonts w:ascii="Consolas" w:eastAsia="Consolas" w:hAnsi="Consolas" w:cs="Consolas"/>
                <w:sz w:val="22"/>
                <w:szCs w:val="22"/>
                <w:shd w:val="clear" w:color="auto" w:fill="EAEEF3"/>
              </w:rPr>
              <w:t>E92_Volume_spatio-temporel</w:t>
            </w:r>
            <w:r>
              <w:t>.</w:t>
            </w:r>
          </w:p>
          <w:p w14:paraId="07432594" w14:textId="77777777" w:rsidR="00BF18CF" w:rsidRDefault="00E51347">
            <w:r>
              <w:t xml:space="preserve">Un autre cas spécial d’une instance de </w:t>
            </w:r>
            <w:r>
              <w:rPr>
                <w:rFonts w:ascii="Consolas" w:eastAsia="Consolas" w:hAnsi="Consolas" w:cs="Consolas"/>
                <w:sz w:val="22"/>
                <w:szCs w:val="22"/>
                <w:shd w:val="clear" w:color="auto" w:fill="EAEEF3"/>
              </w:rPr>
              <w:t>E4_Période</w:t>
            </w:r>
            <w:r>
              <w:t xml:space="preserve"> est l’étendue réelle d’un ensemble d’activités et de phénomènes telle qu’elle est avérée par des traces physiques caractérisant l’occupation [n.d.t. sur un territoire], comme dans le cas de la période où la ville de Ninive était peuplée.</w:t>
            </w:r>
          </w:p>
        </w:tc>
      </w:tr>
      <w:tr w:rsidR="00BF18CF" w14:paraId="37DED6F7" w14:textId="77777777" w:rsidTr="00BF18CF">
        <w:tc>
          <w:tcPr>
            <w:tcW w:w="1672" w:type="dxa"/>
          </w:tcPr>
          <w:p w14:paraId="04A40C89"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9018" w:type="dxa"/>
          </w:tcPr>
          <w:p w14:paraId="2481A0EA" w14:textId="77777777" w:rsidR="00BF18CF" w:rsidRDefault="00E51347">
            <w:pPr>
              <w:numPr>
                <w:ilvl w:val="0"/>
                <w:numId w:val="19"/>
              </w:numPr>
            </w:pPr>
            <w:r>
              <w:t>Le Jurassique (Hallam, 1975)</w:t>
            </w:r>
          </w:p>
          <w:p w14:paraId="1C06ECE1" w14:textId="77777777" w:rsidR="00BF18CF" w:rsidRDefault="00E51347">
            <w:pPr>
              <w:numPr>
                <w:ilvl w:val="0"/>
                <w:numId w:val="19"/>
              </w:numPr>
            </w:pPr>
            <w:r>
              <w:t>La période où Ninive était peuplée</w:t>
            </w:r>
          </w:p>
          <w:p w14:paraId="50BA2C3C" w14:textId="77777777" w:rsidR="00BF18CF" w:rsidRDefault="00E51347">
            <w:pPr>
              <w:numPr>
                <w:ilvl w:val="0"/>
                <w:numId w:val="19"/>
              </w:numPr>
            </w:pPr>
            <w:r>
              <w:t>L’Empire romain sous Marc Aurèle</w:t>
            </w:r>
          </w:p>
          <w:p w14:paraId="113FD1FE" w14:textId="77777777" w:rsidR="00BF18CF" w:rsidRDefault="00E51347">
            <w:pPr>
              <w:numPr>
                <w:ilvl w:val="0"/>
                <w:numId w:val="19"/>
              </w:numPr>
            </w:pPr>
            <w:r>
              <w:t>L’Âge du bronze en Europe (Harrison, 2004)</w:t>
            </w:r>
          </w:p>
          <w:p w14:paraId="5867A8BB" w14:textId="77777777" w:rsidR="00BF18CF" w:rsidRDefault="00E51347">
            <w:pPr>
              <w:numPr>
                <w:ilvl w:val="0"/>
                <w:numId w:val="19"/>
              </w:numPr>
            </w:pPr>
            <w:r>
              <w:t>La Renaissance italienne (Macdonald, 1992)</w:t>
            </w:r>
          </w:p>
          <w:p w14:paraId="1BC0F543" w14:textId="77777777" w:rsidR="00BF18CF" w:rsidRDefault="00E51347">
            <w:pPr>
              <w:numPr>
                <w:ilvl w:val="0"/>
                <w:numId w:val="19"/>
              </w:numPr>
            </w:pPr>
            <w:r>
              <w:t>La guerre de Trente ans (Lee, 1991)</w:t>
            </w:r>
          </w:p>
          <w:p w14:paraId="548DD152" w14:textId="77777777" w:rsidR="00BF18CF" w:rsidRDefault="00E51347">
            <w:pPr>
              <w:numPr>
                <w:ilvl w:val="0"/>
                <w:numId w:val="19"/>
              </w:numPr>
            </w:pPr>
            <w:r>
              <w:t xml:space="preserve">Le mouvement </w:t>
            </w:r>
            <w:r>
              <w:rPr>
                <w:i/>
              </w:rPr>
              <w:t>Sturm und Drang</w:t>
            </w:r>
            <w:r>
              <w:t xml:space="preserve"> (Berkoff, 2013)</w:t>
            </w:r>
          </w:p>
          <w:p w14:paraId="5FA429A7" w14:textId="77777777" w:rsidR="00BF18CF" w:rsidRDefault="00E51347">
            <w:pPr>
              <w:numPr>
                <w:ilvl w:val="0"/>
                <w:numId w:val="19"/>
              </w:numPr>
            </w:pPr>
            <w:r>
              <w:t>Le Cubisme (Cox, 2000)</w:t>
            </w:r>
          </w:p>
        </w:tc>
      </w:tr>
      <w:tr w:rsidR="00BF18CF" w14:paraId="0854A0A0" w14:textId="77777777" w:rsidTr="00BF18CF">
        <w:tc>
          <w:tcPr>
            <w:tcW w:w="1672" w:type="dxa"/>
          </w:tcPr>
          <w:p w14:paraId="7AE99FC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9018" w:type="dxa"/>
          </w:tcPr>
          <w:p w14:paraId="6FA2FA77" w14:textId="77777777" w:rsidR="00BF18CF" w:rsidRDefault="00E51347">
            <w:r>
              <w:t>E4(x) ⇒ E2(x)</w:t>
            </w:r>
          </w:p>
          <w:p w14:paraId="5A6FA688" w14:textId="77777777" w:rsidR="00BF18CF" w:rsidRDefault="00E51347">
            <w:r>
              <w:t>E4(x) ⇒ E92(x)</w:t>
            </w:r>
          </w:p>
        </w:tc>
      </w:tr>
      <w:tr w:rsidR="00BF18CF" w14:paraId="2CDCD324" w14:textId="77777777" w:rsidTr="00BF18CF">
        <w:tc>
          <w:tcPr>
            <w:tcW w:w="1672" w:type="dxa"/>
          </w:tcPr>
          <w:p w14:paraId="31A2DF3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9018" w:type="dxa"/>
          </w:tcPr>
          <w:p w14:paraId="5059E03A" w14:textId="77777777" w:rsidR="00BF18CF" w:rsidRDefault="00E51347">
            <w:r>
              <w:rPr>
                <w:rFonts w:ascii="Consolas" w:eastAsia="Consolas" w:hAnsi="Consolas" w:cs="Consolas"/>
                <w:sz w:val="22"/>
                <w:szCs w:val="22"/>
                <w:shd w:val="clear" w:color="auto" w:fill="EAEEF3"/>
              </w:rPr>
              <w:t>P7_a_eu_lieu_dans (a_été_témoin_de)</w:t>
            </w:r>
            <w:r>
              <w:t xml:space="preserve"> : </w:t>
            </w:r>
            <w:r>
              <w:rPr>
                <w:rFonts w:ascii="Consolas" w:eastAsia="Consolas" w:hAnsi="Consolas" w:cs="Consolas"/>
                <w:sz w:val="22"/>
                <w:szCs w:val="22"/>
                <w:shd w:val="clear" w:color="auto" w:fill="EAEEF3"/>
              </w:rPr>
              <w:t>E53_Lieu</w:t>
            </w:r>
          </w:p>
          <w:p w14:paraId="22FBE119" w14:textId="77777777" w:rsidR="00BF18CF" w:rsidRDefault="00E51347">
            <w:r>
              <w:rPr>
                <w:rFonts w:ascii="Consolas" w:eastAsia="Consolas" w:hAnsi="Consolas" w:cs="Consolas"/>
                <w:sz w:val="22"/>
                <w:szCs w:val="22"/>
                <w:shd w:val="clear" w:color="auto" w:fill="EAEEF3"/>
              </w:rPr>
              <w:t>P8_a_eu_lieu (a_été_témoin_de)</w:t>
            </w:r>
            <w:r>
              <w:t xml:space="preserve"> : </w:t>
            </w:r>
            <w:r>
              <w:rPr>
                <w:rFonts w:ascii="Consolas" w:eastAsia="Consolas" w:hAnsi="Consolas" w:cs="Consolas"/>
                <w:sz w:val="22"/>
                <w:szCs w:val="22"/>
                <w:shd w:val="clear" w:color="auto" w:fill="EAEEF3"/>
              </w:rPr>
              <w:t>E18_Chose_matérielle</w:t>
            </w:r>
          </w:p>
          <w:p w14:paraId="33F72F42" w14:textId="77777777" w:rsidR="00BF18CF" w:rsidRDefault="00E51347">
            <w:r>
              <w:rPr>
                <w:rFonts w:ascii="Consolas" w:eastAsia="Consolas" w:hAnsi="Consolas" w:cs="Consolas"/>
                <w:sz w:val="22"/>
                <w:szCs w:val="22"/>
                <w:shd w:val="clear" w:color="auto" w:fill="EAEEF3"/>
              </w:rPr>
              <w:t>P9_comprend (fait partie de)</w:t>
            </w:r>
            <w:r>
              <w:t xml:space="preserve"> : </w:t>
            </w:r>
            <w:r>
              <w:rPr>
                <w:rFonts w:ascii="Consolas" w:eastAsia="Consolas" w:hAnsi="Consolas" w:cs="Consolas"/>
                <w:sz w:val="22"/>
                <w:szCs w:val="22"/>
                <w:shd w:val="clear" w:color="auto" w:fill="EAEEF3"/>
              </w:rPr>
              <w:t>E4_Période</w:t>
            </w:r>
          </w:p>
        </w:tc>
      </w:tr>
      <w:tr w:rsidR="00BF18CF" w14:paraId="105A6EBD" w14:textId="77777777" w:rsidTr="00BF18CF">
        <w:tc>
          <w:tcPr>
            <w:tcW w:w="1672" w:type="dxa"/>
          </w:tcPr>
          <w:p w14:paraId="2E9CCF97" w14:textId="164F7671" w:rsidR="00BF18CF" w:rsidRDefault="00F27208">
            <w:pPr>
              <w:pBdr>
                <w:top w:val="nil"/>
                <w:left w:val="nil"/>
                <w:bottom w:val="nil"/>
                <w:right w:val="nil"/>
                <w:between w:val="nil"/>
              </w:pBdr>
              <w:spacing w:before="36" w:after="36"/>
              <w:rPr>
                <w:color w:val="000000"/>
              </w:rPr>
            </w:pPr>
            <w:r>
              <w:rPr>
                <w:b/>
                <w:i/>
                <w:color w:val="000000"/>
              </w:rPr>
              <w:t>Note de traduction</w:t>
            </w:r>
          </w:p>
        </w:tc>
        <w:tc>
          <w:tcPr>
            <w:tcW w:w="9018" w:type="dxa"/>
          </w:tcPr>
          <w:p w14:paraId="50D4A095" w14:textId="77777777" w:rsidR="00BF18CF" w:rsidRDefault="00E51347">
            <w:r>
              <w:t xml:space="preserve">Le terme « unit » a été traduit par « élément » car il est fait référence à une chose qui est complète en soi mais fait aussi partie d’un tout (ce qui est plus près de la définition d’élément) alors qu’unité en français signale davantage une nature indivisible et unique. C’est aussi cohérent avec les choix qui ont été faits lors de la </w:t>
            </w:r>
            <w:r>
              <w:lastRenderedPageBreak/>
              <w:t xml:space="preserve">traduction du nom des entités de CIDOC CRM (p. ex. </w:t>
            </w:r>
            <w:r>
              <w:rPr>
                <w:rFonts w:ascii="Consolas" w:eastAsia="Consolas" w:hAnsi="Consolas" w:cs="Consolas"/>
                <w:sz w:val="22"/>
                <w:szCs w:val="22"/>
                <w:shd w:val="clear" w:color="auto" w:fill="EAEEF3"/>
              </w:rPr>
              <w:t>E79_Ajout_d’élément</w:t>
            </w:r>
            <w:r>
              <w:t xml:space="preserve">, </w:t>
            </w:r>
            <w:r>
              <w:rPr>
                <w:rFonts w:ascii="Consolas" w:eastAsia="Consolas" w:hAnsi="Consolas" w:cs="Consolas"/>
                <w:sz w:val="22"/>
                <w:szCs w:val="22"/>
                <w:shd w:val="clear" w:color="auto" w:fill="EAEEF3"/>
              </w:rPr>
              <w:t>E80_Retrait_d’Élément</w:t>
            </w:r>
            <w:r>
              <w:t>).</w:t>
            </w:r>
          </w:p>
          <w:p w14:paraId="08214DF9" w14:textId="77777777" w:rsidR="00BF18CF" w:rsidRDefault="00E51347">
            <w:r>
              <w:t>Le terme « extent » a été traduit par « étendue » après une brève revue des traductions les plus fréquentes dans le contexte d’une qualification spatio-temporelle.</w:t>
            </w:r>
          </w:p>
          <w:p w14:paraId="00B8F4C5" w14:textId="77777777" w:rsidR="00BF18CF" w:rsidRDefault="00E51347">
            <w:r>
              <w:t>Le terme « spread[ing] » a été traduit par « déploiement » d’une part car il est plus près du sens phénoménal associé à l’original (le fait qu’un phénomène prenne de l’ampleur) et d’autre part afin de ne pas créer de confusion par l’usage répété du terme « étendue » pour refléter des sens différents.</w:t>
            </w:r>
          </w:p>
          <w:p w14:paraId="5292DC97" w14:textId="77777777" w:rsidR="00BF18CF" w:rsidRDefault="00E51347">
            <w:r>
              <w:t>Le terme « land use » a été traduit conformément à la traduction qu’en fait le gouvernement du Canada dans les textes se rapportant au droit autochtone.</w:t>
            </w:r>
          </w:p>
          <w:p w14:paraId="67258171" w14:textId="77777777" w:rsidR="00BF18CF" w:rsidRDefault="00E51347">
            <w:r>
              <w:t>Le terme « disconnected » a été traduit par « distinct » puisqu’il reflète davantage la nature désunifiée que « déconnecté » qui est davantage utilisé pour parler de communication.</w:t>
            </w:r>
          </w:p>
          <w:p w14:paraId="24E3C9A2" w14:textId="77777777" w:rsidR="00BF18CF" w:rsidRDefault="00E51347">
            <w:r>
              <w:t>Dans la phrase « Le style artistique peut être conceptualisé de deux manières : selon un contexte historique ou selon des caractéristiques physiques. » l’ordre de présentation des conceptualisations a été inversé afin de refléter la structure du texte.</w:t>
            </w:r>
          </w:p>
          <w:p w14:paraId="51BB0FD0" w14:textId="77777777" w:rsidR="00BF18CF" w:rsidRDefault="00E51347">
            <w:r>
              <w:t xml:space="preserve">Dans la phrase « La première interprétation [n.d.t. selon des caractéristiques physiques] est une instance de </w:t>
            </w:r>
            <w:r>
              <w:rPr>
                <w:rFonts w:ascii="Consolas" w:eastAsia="Consolas" w:hAnsi="Consolas" w:cs="Consolas"/>
                <w:sz w:val="22"/>
                <w:szCs w:val="22"/>
                <w:shd w:val="clear" w:color="auto" w:fill="EAEEF3"/>
              </w:rPr>
              <w:t>E4_Période</w:t>
            </w:r>
            <w:r>
              <w:t xml:space="preserve"> alors que la seconde [n.d.t. selon un contexte historique] définit une catégorie morphologique d’objet, une instance de </w:t>
            </w:r>
            <w:r>
              <w:rPr>
                <w:rFonts w:ascii="Consolas" w:eastAsia="Consolas" w:hAnsi="Consolas" w:cs="Consolas"/>
                <w:sz w:val="22"/>
                <w:szCs w:val="22"/>
                <w:shd w:val="clear" w:color="auto" w:fill="EAEEF3"/>
              </w:rPr>
              <w:t>E55_Type</w:t>
            </w:r>
            <w:r>
              <w:t>. » le terme « type » a été remplacé par « catégorie » à des fins de clarification puisque c’est le sens entendu du terme dans la phrase originale.</w:t>
            </w:r>
          </w:p>
        </w:tc>
      </w:tr>
      <w:tr w:rsidR="00BF18CF" w14:paraId="71F5852F" w14:textId="77777777" w:rsidTr="00BF18CF">
        <w:tc>
          <w:tcPr>
            <w:tcW w:w="1672" w:type="dxa"/>
          </w:tcPr>
          <w:p w14:paraId="785709C5"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9018" w:type="dxa"/>
          </w:tcPr>
          <w:p w14:paraId="3E1EC4DA" w14:textId="77777777" w:rsidR="00BF18CF" w:rsidRDefault="00E51347">
            <w:r>
              <w:t>CIDOC CRM. « CRMgeo ». Modèle, 2021.</w:t>
            </w:r>
            <w:hyperlink r:id="rId369">
              <w:r>
                <w:rPr>
                  <w:color w:val="4F81BD"/>
                </w:rPr>
                <w:t xml:space="preserve"> http://www.cidoc-crm.org/crmgeo/home-5</w:t>
              </w:r>
            </w:hyperlink>
            <w:r>
              <w:t>.</w:t>
            </w:r>
          </w:p>
          <w:p w14:paraId="3D72A375" w14:textId="77777777" w:rsidR="00BF18CF" w:rsidRDefault="00E51347">
            <w:r w:rsidRPr="00EE61A5">
              <w:rPr>
                <w:lang w:val="en-CA"/>
              </w:rPr>
              <w:t xml:space="preserve">Termium. « Land Use ». Dans </w:t>
            </w:r>
            <w:r w:rsidRPr="00EE61A5">
              <w:rPr>
                <w:i/>
                <w:lang w:val="en-CA"/>
              </w:rPr>
              <w:t>Termium Plus</w:t>
            </w:r>
            <w:r w:rsidRPr="00EE61A5">
              <w:rPr>
                <w:lang w:val="en-CA"/>
              </w:rPr>
              <w:t xml:space="preserve">. </w:t>
            </w:r>
            <w:r>
              <w:t>Ottawa, CA-ON: Gouvernement du Canada, 2022.</w:t>
            </w:r>
            <w:hyperlink r:id="rId370" w:anchor="resultrecs">
              <w:r>
                <w:rPr>
                  <w:color w:val="4F81BD"/>
                </w:rPr>
                <w:t xml:space="preserve"> https://www.btb.termiumplus.gc.ca/tpv2alpha/alpha-fra.html?lang=fra&amp;i=1&amp;srchtxt=land+use&amp;index=alt&amp;codom2nd_wet=1#resultrecs</w:t>
              </w:r>
            </w:hyperlink>
            <w:r>
              <w:t>.</w:t>
            </w:r>
          </w:p>
        </w:tc>
      </w:tr>
    </w:tbl>
    <w:p w14:paraId="7303596D" w14:textId="77777777" w:rsidR="00BF18CF" w:rsidRDefault="00E51347">
      <w:pPr>
        <w:pStyle w:val="Heading3"/>
      </w:pPr>
      <w:bookmarkStart w:id="111" w:name="bookmark=id.43ky6rz" w:colFirst="0" w:colLast="0"/>
      <w:bookmarkStart w:id="112" w:name="_Toc144360798"/>
      <w:bookmarkEnd w:id="111"/>
      <w:r>
        <w:t>E5 Évènement</w:t>
      </w:r>
      <w:bookmarkEnd w:id="112"/>
    </w:p>
    <w:tbl>
      <w:tblPr>
        <w:tblStyle w:val="a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38"/>
        <w:gridCol w:w="8952"/>
      </w:tblGrid>
      <w:tr w:rsidR="00BF18CF" w14:paraId="08CFE30C" w14:textId="77777777" w:rsidTr="00BF18CF">
        <w:tc>
          <w:tcPr>
            <w:tcW w:w="1738" w:type="dxa"/>
          </w:tcPr>
          <w:p w14:paraId="628AA674"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52" w:type="dxa"/>
          </w:tcPr>
          <w:p w14:paraId="7C2093B8" w14:textId="77777777" w:rsidR="00BF18CF" w:rsidRDefault="00E51347">
            <w:r>
              <w:rPr>
                <w:rFonts w:ascii="Consolas" w:eastAsia="Consolas" w:hAnsi="Consolas" w:cs="Consolas"/>
                <w:sz w:val="22"/>
                <w:szCs w:val="22"/>
                <w:shd w:val="clear" w:color="auto" w:fill="EAEEF3"/>
              </w:rPr>
              <w:t>E4_Période</w:t>
            </w:r>
          </w:p>
        </w:tc>
      </w:tr>
      <w:tr w:rsidR="00BF18CF" w14:paraId="6F0D05D6" w14:textId="77777777" w:rsidTr="00BF18CF">
        <w:tc>
          <w:tcPr>
            <w:tcW w:w="1738" w:type="dxa"/>
          </w:tcPr>
          <w:p w14:paraId="2A45F7BC"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52" w:type="dxa"/>
          </w:tcPr>
          <w:p w14:paraId="593DBFDC" w14:textId="77777777" w:rsidR="00BF18CF" w:rsidRDefault="00E51347">
            <w:r>
              <w:rPr>
                <w:rFonts w:ascii="Consolas" w:eastAsia="Consolas" w:hAnsi="Consolas" w:cs="Consolas"/>
                <w:sz w:val="22"/>
                <w:szCs w:val="22"/>
                <w:shd w:val="clear" w:color="auto" w:fill="EAEEF3"/>
              </w:rPr>
              <w:t>E7_Activité</w:t>
            </w:r>
          </w:p>
          <w:p w14:paraId="30F64F96" w14:textId="77777777" w:rsidR="00BF18CF" w:rsidRDefault="00E51347">
            <w:r>
              <w:rPr>
                <w:rFonts w:ascii="Consolas" w:eastAsia="Consolas" w:hAnsi="Consolas" w:cs="Consolas"/>
                <w:sz w:val="22"/>
                <w:szCs w:val="22"/>
                <w:shd w:val="clear" w:color="auto" w:fill="EAEEF3"/>
              </w:rPr>
              <w:t>E63_Début_d’existence</w:t>
            </w:r>
          </w:p>
          <w:p w14:paraId="74580036" w14:textId="77777777" w:rsidR="00BF18CF" w:rsidRDefault="00E51347">
            <w:r>
              <w:rPr>
                <w:rFonts w:ascii="Consolas" w:eastAsia="Consolas" w:hAnsi="Consolas" w:cs="Consolas"/>
                <w:sz w:val="22"/>
                <w:szCs w:val="22"/>
                <w:shd w:val="clear" w:color="auto" w:fill="EAEEF3"/>
              </w:rPr>
              <w:t>E64_Fin_d’existence</w:t>
            </w:r>
          </w:p>
        </w:tc>
      </w:tr>
      <w:tr w:rsidR="00BF18CF" w14:paraId="4B21F0F5" w14:textId="77777777" w:rsidTr="00BF18CF">
        <w:tc>
          <w:tcPr>
            <w:tcW w:w="1738" w:type="dxa"/>
          </w:tcPr>
          <w:p w14:paraId="61A5C41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52" w:type="dxa"/>
          </w:tcPr>
          <w:p w14:paraId="2F5FE4F2" w14:textId="77777777" w:rsidR="00BF18CF" w:rsidRDefault="00E51347">
            <w:r>
              <w:t xml:space="preserve">Cette classe comprend les processus et interactions distincts, délimités, cohérents et de nature matérielle au sein de systèmes culturels, sociaux ou physiques, impliquant et affectant des instances de </w:t>
            </w:r>
            <w:r>
              <w:rPr>
                <w:rFonts w:ascii="Consolas" w:eastAsia="Consolas" w:hAnsi="Consolas" w:cs="Consolas"/>
                <w:sz w:val="22"/>
                <w:szCs w:val="22"/>
                <w:shd w:val="clear" w:color="auto" w:fill="EAEEF3"/>
              </w:rPr>
              <w:t>E77_Entité_persistante</w:t>
            </w:r>
            <w:r>
              <w:t xml:space="preserve"> d'une manière caractéristique du type de processus observé. Les réunions, les naissances, les décès, les actions menant à des prises de décision, la fabrication ou l'invention d'objets, mais aussi des évènements plus vastes et complexes tels que les conférences, les élections, les constructions de châteaux ou les batailles sont des exemples typiques d'évènements.</w:t>
            </w:r>
          </w:p>
          <w:p w14:paraId="0CDEDBCD" w14:textId="77777777" w:rsidR="00BF18CF" w:rsidRDefault="00E51347">
            <w:r>
              <w:lastRenderedPageBreak/>
              <w:t xml:space="preserve">Si la croissance continue d'un arbre est dépourvue des limites qui feraient d’elle un évènement, sa germination à partir d’une graine, elle, en est un. De la même façon, le souffle du vent n'est pas un évènement, car il n’en a ni le caractère distinct ni les délimitations, </w:t>
            </w:r>
            <w:proofErr w:type="gramStart"/>
            <w:r>
              <w:t>mais en revanche</w:t>
            </w:r>
            <w:proofErr w:type="gramEnd"/>
            <w:r>
              <w:t xml:space="preserve"> un ouragan, une inondation ou un tremblement de terre sont bien des évènements. Les processus mentaux sont considérés comme des évènements dans les cas où ils sont connectés à l'externalisation matérielle qui en résulte; par exemple, la création d'un poème ou d’une performance, ou bien le changement d’une intention devenu évident à la lumière d'actions ou de déclarations ultérieures.</w:t>
            </w:r>
          </w:p>
          <w:p w14:paraId="5CA310AD" w14:textId="77777777" w:rsidR="00BF18CF" w:rsidRDefault="00E51347">
            <w:r>
              <w:t xml:space="preserve">Les effets d'une instance de </w:t>
            </w:r>
            <w:r>
              <w:rPr>
                <w:rFonts w:ascii="Consolas" w:eastAsia="Consolas" w:hAnsi="Consolas" w:cs="Consolas"/>
                <w:sz w:val="22"/>
                <w:szCs w:val="22"/>
                <w:shd w:val="clear" w:color="auto" w:fill="EAEEF3"/>
              </w:rPr>
              <w:t>E5_Évènement</w:t>
            </w:r>
            <w:r>
              <w:t xml:space="preserve"> ne mènent pas nécessairement à des modifications permanentes significatives des propriétés ou des relations des entités impliquées, par exemple dans le cas d'une performance non enregistrée. Bien sûr, pour qu'un évènement puisse être documenté, une preuve de son existence est nécessaire, que ce soit par des témoins, des traces ou un produit résultant de cet évènement. Si les instances de </w:t>
            </w:r>
            <w:r>
              <w:rPr>
                <w:rFonts w:ascii="Consolas" w:eastAsia="Consolas" w:hAnsi="Consolas" w:cs="Consolas"/>
                <w:sz w:val="22"/>
                <w:szCs w:val="22"/>
                <w:shd w:val="clear" w:color="auto" w:fill="EAEEF3"/>
              </w:rPr>
              <w:t>E4_Période</w:t>
            </w:r>
            <w:r>
              <w:t xml:space="preserve"> requièrent toujours une certaine cohérence entre les phénomènes qui les constituent, les éléments constitutifs d'instances de </w:t>
            </w:r>
            <w:r>
              <w:rPr>
                <w:rFonts w:ascii="Consolas" w:eastAsia="Consolas" w:hAnsi="Consolas" w:cs="Consolas"/>
                <w:sz w:val="22"/>
                <w:szCs w:val="22"/>
                <w:shd w:val="clear" w:color="auto" w:fill="EAEEF3"/>
              </w:rPr>
              <w:t>E5_Évènement</w:t>
            </w:r>
            <w:r>
              <w:t xml:space="preserve"> doivent de plus contribuer à un effet global; par exemple, les déclarations faites lors d'une réunion et l'écoute du public.</w:t>
            </w:r>
          </w:p>
          <w:p w14:paraId="76C3A871" w14:textId="77777777" w:rsidR="00BF18CF" w:rsidRDefault="00E51347">
            <w:r>
              <w:t xml:space="preserve">À un niveau de détail grossier, une instance de </w:t>
            </w:r>
            <w:r>
              <w:rPr>
                <w:rFonts w:ascii="Consolas" w:eastAsia="Consolas" w:hAnsi="Consolas" w:cs="Consolas"/>
                <w:sz w:val="22"/>
                <w:szCs w:val="22"/>
                <w:shd w:val="clear" w:color="auto" w:fill="EAEEF3"/>
              </w:rPr>
              <w:t>E5_Évènement</w:t>
            </w:r>
            <w:r>
              <w:t xml:space="preserve"> peut paraître avoir un effet global « instantané », mais tout processus ou interaction de nature matérielle a en réalité une étendue spatio-temporelle. À un niveau plus fin, les instances de </w:t>
            </w:r>
            <w:r>
              <w:rPr>
                <w:rFonts w:ascii="Consolas" w:eastAsia="Consolas" w:hAnsi="Consolas" w:cs="Consolas"/>
                <w:sz w:val="22"/>
                <w:szCs w:val="22"/>
                <w:shd w:val="clear" w:color="auto" w:fill="EAEEF3"/>
              </w:rPr>
              <w:t>E5_Évènement</w:t>
            </w:r>
            <w:r>
              <w:t xml:space="preserve"> peuvent être détaillées en phénomènes constituants et en phases distinctes au sein d'un cadre spatio-temporel, et en tant que tels, peuvent être considérés comme une période, indépendamment de l'amplitude de ces phénomènes. L'inverse n'est pas nécessairement vrai : ce ne sont pas toutes les instances de </w:t>
            </w:r>
            <w:r>
              <w:rPr>
                <w:rFonts w:ascii="Consolas" w:eastAsia="Consolas" w:hAnsi="Consolas" w:cs="Consolas"/>
                <w:sz w:val="22"/>
                <w:szCs w:val="22"/>
                <w:shd w:val="clear" w:color="auto" w:fill="EAEEF3"/>
              </w:rPr>
              <w:t>E4_Période</w:t>
            </w:r>
            <w:r>
              <w:t xml:space="preserve"> qui génèrent un effet global significatif, et de ce fait, elles ne sont pas forcément des instances de </w:t>
            </w:r>
            <w:r>
              <w:rPr>
                <w:rFonts w:ascii="Consolas" w:eastAsia="Consolas" w:hAnsi="Consolas" w:cs="Consolas"/>
                <w:sz w:val="22"/>
                <w:szCs w:val="22"/>
                <w:shd w:val="clear" w:color="auto" w:fill="EAEEF3"/>
              </w:rPr>
              <w:t>E5_Évènement</w:t>
            </w:r>
            <w:r>
              <w:t>.</w:t>
            </w:r>
          </w:p>
        </w:tc>
      </w:tr>
      <w:tr w:rsidR="00BF18CF" w14:paraId="0915F955" w14:textId="77777777" w:rsidTr="00BF18CF">
        <w:tc>
          <w:tcPr>
            <w:tcW w:w="1738" w:type="dxa"/>
          </w:tcPr>
          <w:p w14:paraId="7025D539"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52" w:type="dxa"/>
          </w:tcPr>
          <w:p w14:paraId="7671CCF6" w14:textId="77777777" w:rsidR="00BF18CF" w:rsidRDefault="00E51347">
            <w:pPr>
              <w:numPr>
                <w:ilvl w:val="0"/>
                <w:numId w:val="19"/>
              </w:numPr>
            </w:pPr>
            <w:r>
              <w:t>La naissance de Cléopâtre (</w:t>
            </w:r>
            <w:r>
              <w:rPr>
                <w:rFonts w:ascii="Consolas" w:eastAsia="Consolas" w:hAnsi="Consolas" w:cs="Consolas"/>
                <w:sz w:val="22"/>
                <w:szCs w:val="22"/>
                <w:shd w:val="clear" w:color="auto" w:fill="EAEEF3"/>
              </w:rPr>
              <w:t>E67_Naissance</w:t>
            </w:r>
            <w:r>
              <w:t>) (Pomeroy, 1984)</w:t>
            </w:r>
          </w:p>
          <w:p w14:paraId="06D0F0E2" w14:textId="77777777" w:rsidR="00BF18CF" w:rsidRDefault="00E51347">
            <w:pPr>
              <w:numPr>
                <w:ilvl w:val="0"/>
                <w:numId w:val="19"/>
              </w:numPr>
            </w:pPr>
            <w:r>
              <w:t>La destruction d'Herculanum par une éruption volcanique en 79 EC (</w:t>
            </w:r>
            <w:r>
              <w:rPr>
                <w:rFonts w:ascii="Consolas" w:eastAsia="Consolas" w:hAnsi="Consolas" w:cs="Consolas"/>
                <w:sz w:val="22"/>
                <w:szCs w:val="22"/>
                <w:shd w:val="clear" w:color="auto" w:fill="EAEEF3"/>
              </w:rPr>
              <w:t>E6_Destruction</w:t>
            </w:r>
            <w:r>
              <w:t>) (Camardo, 2013)</w:t>
            </w:r>
          </w:p>
          <w:p w14:paraId="18B5B6CA" w14:textId="77777777" w:rsidR="00BF18CF" w:rsidRDefault="00E51347">
            <w:pPr>
              <w:numPr>
                <w:ilvl w:val="0"/>
                <w:numId w:val="19"/>
              </w:numPr>
            </w:pPr>
            <w:r>
              <w:t>La Seconde Guerre mondiale (</w:t>
            </w:r>
            <w:r>
              <w:rPr>
                <w:rFonts w:ascii="Consolas" w:eastAsia="Consolas" w:hAnsi="Consolas" w:cs="Consolas"/>
                <w:sz w:val="22"/>
                <w:szCs w:val="22"/>
                <w:shd w:val="clear" w:color="auto" w:fill="EAEEF3"/>
              </w:rPr>
              <w:t>E7_Activité</w:t>
            </w:r>
            <w:r>
              <w:t>) (Barber, 1994)</w:t>
            </w:r>
          </w:p>
          <w:p w14:paraId="0E322F10" w14:textId="77777777" w:rsidR="00BF18CF" w:rsidRDefault="00E51347">
            <w:pPr>
              <w:numPr>
                <w:ilvl w:val="0"/>
                <w:numId w:val="19"/>
              </w:numPr>
            </w:pPr>
            <w:r>
              <w:t>La bataille de Stalingrad (</w:t>
            </w:r>
            <w:r>
              <w:rPr>
                <w:rFonts w:ascii="Consolas" w:eastAsia="Consolas" w:hAnsi="Consolas" w:cs="Consolas"/>
                <w:sz w:val="22"/>
                <w:szCs w:val="22"/>
                <w:shd w:val="clear" w:color="auto" w:fill="EAEEF3"/>
              </w:rPr>
              <w:t>E7_Activité</w:t>
            </w:r>
            <w:r>
              <w:t>) (Hoyt, 1993)</w:t>
            </w:r>
          </w:p>
          <w:p w14:paraId="36443DD3" w14:textId="77777777" w:rsidR="00BF18CF" w:rsidRDefault="00E51347">
            <w:pPr>
              <w:numPr>
                <w:ilvl w:val="0"/>
                <w:numId w:val="19"/>
              </w:numPr>
            </w:pPr>
            <w:r>
              <w:t>La Conférence de Yalta (</w:t>
            </w:r>
            <w:r>
              <w:rPr>
                <w:rFonts w:ascii="Consolas" w:eastAsia="Consolas" w:hAnsi="Consolas" w:cs="Consolas"/>
                <w:sz w:val="22"/>
                <w:szCs w:val="22"/>
                <w:shd w:val="clear" w:color="auto" w:fill="EAEEF3"/>
              </w:rPr>
              <w:t>E7_Activité</w:t>
            </w:r>
            <w:r>
              <w:t>) (Harbutt, 2010)</w:t>
            </w:r>
          </w:p>
          <w:p w14:paraId="7304864A" w14:textId="77777777" w:rsidR="00BF18CF" w:rsidRDefault="00E51347">
            <w:pPr>
              <w:numPr>
                <w:ilvl w:val="0"/>
                <w:numId w:val="19"/>
              </w:numPr>
            </w:pPr>
            <w:r>
              <w:t>Ma fête d'anniversaire le 28/06/1995 (</w:t>
            </w:r>
            <w:r>
              <w:rPr>
                <w:rFonts w:ascii="Consolas" w:eastAsia="Consolas" w:hAnsi="Consolas" w:cs="Consolas"/>
                <w:sz w:val="22"/>
                <w:szCs w:val="22"/>
                <w:shd w:val="clear" w:color="auto" w:fill="EAEEF3"/>
              </w:rPr>
              <w:t>E7_Activité</w:t>
            </w:r>
            <w:r>
              <w:t>)</w:t>
            </w:r>
          </w:p>
          <w:p w14:paraId="0FA0BF65" w14:textId="77777777" w:rsidR="00BF18CF" w:rsidRDefault="00E51347">
            <w:pPr>
              <w:numPr>
                <w:ilvl w:val="0"/>
                <w:numId w:val="19"/>
              </w:numPr>
            </w:pPr>
            <w:r>
              <w:t>La chute d'une tuile de mon toit dimanche dernier</w:t>
            </w:r>
          </w:p>
          <w:p w14:paraId="24DB3892" w14:textId="77777777" w:rsidR="00BF18CF" w:rsidRDefault="00E51347">
            <w:pPr>
              <w:numPr>
                <w:ilvl w:val="0"/>
                <w:numId w:val="19"/>
              </w:numPr>
            </w:pPr>
            <w:r>
              <w:t>La Conférence CIDOC 2003 (</w:t>
            </w:r>
            <w:r>
              <w:rPr>
                <w:rFonts w:ascii="Consolas" w:eastAsia="Consolas" w:hAnsi="Consolas" w:cs="Consolas"/>
                <w:sz w:val="22"/>
                <w:szCs w:val="22"/>
                <w:shd w:val="clear" w:color="auto" w:fill="EAEEF3"/>
              </w:rPr>
              <w:t>E7_Activité</w:t>
            </w:r>
            <w:r>
              <w:t>)</w:t>
            </w:r>
          </w:p>
        </w:tc>
      </w:tr>
      <w:tr w:rsidR="00BF18CF" w14:paraId="79278CD9" w14:textId="77777777" w:rsidTr="00BF18CF">
        <w:tc>
          <w:tcPr>
            <w:tcW w:w="1738" w:type="dxa"/>
          </w:tcPr>
          <w:p w14:paraId="2B0ADF8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52" w:type="dxa"/>
          </w:tcPr>
          <w:p w14:paraId="5B2D6FD1" w14:textId="77777777" w:rsidR="00BF18CF" w:rsidRDefault="00E51347">
            <w:r>
              <w:t>E5(x) ⊃ E4(x)</w:t>
            </w:r>
          </w:p>
        </w:tc>
      </w:tr>
      <w:tr w:rsidR="00BF18CF" w14:paraId="42C185BD" w14:textId="77777777" w:rsidTr="00BF18CF">
        <w:tc>
          <w:tcPr>
            <w:tcW w:w="1738" w:type="dxa"/>
          </w:tcPr>
          <w:p w14:paraId="7D535E8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52" w:type="dxa"/>
          </w:tcPr>
          <w:p w14:paraId="025F8C5D" w14:textId="77777777" w:rsidR="00BF18CF" w:rsidRDefault="00E51347">
            <w:r>
              <w:rPr>
                <w:rFonts w:ascii="Consolas" w:eastAsia="Consolas" w:hAnsi="Consolas" w:cs="Consolas"/>
                <w:sz w:val="22"/>
                <w:szCs w:val="22"/>
                <w:shd w:val="clear" w:color="auto" w:fill="EAEEF3"/>
              </w:rPr>
              <w:t>P11_a eu_pour_actant_participant (a_participé_à)</w:t>
            </w:r>
            <w:r>
              <w:t xml:space="preserve"> : </w:t>
            </w:r>
            <w:r>
              <w:rPr>
                <w:rFonts w:ascii="Consolas" w:eastAsia="Consolas" w:hAnsi="Consolas" w:cs="Consolas"/>
                <w:sz w:val="22"/>
                <w:szCs w:val="22"/>
                <w:shd w:val="clear" w:color="auto" w:fill="EAEEF3"/>
              </w:rPr>
              <w:t>E39_Actant</w:t>
            </w:r>
          </w:p>
          <w:p w14:paraId="26987B5E" w14:textId="77777777" w:rsidR="00BF18CF" w:rsidRDefault="00E51347">
            <w:r>
              <w:rPr>
                <w:rFonts w:ascii="Consolas" w:eastAsia="Consolas" w:hAnsi="Consolas" w:cs="Consolas"/>
                <w:sz w:val="22"/>
                <w:szCs w:val="22"/>
                <w:shd w:val="clear" w:color="auto" w:fill="EAEEF3"/>
              </w:rPr>
              <w:t>P12_a_eu_lieu_en_présence_de (a_été_présent_à)</w:t>
            </w:r>
            <w:r>
              <w:t xml:space="preserve"> : </w:t>
            </w:r>
            <w:r>
              <w:rPr>
                <w:rFonts w:ascii="Consolas" w:eastAsia="Consolas" w:hAnsi="Consolas" w:cs="Consolas"/>
                <w:sz w:val="22"/>
                <w:szCs w:val="22"/>
                <w:shd w:val="clear" w:color="auto" w:fill="EAEEF3"/>
              </w:rPr>
              <w:t>E77_Entité_persistante</w:t>
            </w:r>
          </w:p>
        </w:tc>
      </w:tr>
      <w:tr w:rsidR="00BF18CF" w14:paraId="35AD66A5" w14:textId="77777777" w:rsidTr="00BF18CF">
        <w:tc>
          <w:tcPr>
            <w:tcW w:w="1738" w:type="dxa"/>
          </w:tcPr>
          <w:p w14:paraId="1534842C" w14:textId="126458E0"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952" w:type="dxa"/>
          </w:tcPr>
          <w:p w14:paraId="1ABF3DAA" w14:textId="77777777" w:rsidR="00BF18CF" w:rsidRDefault="00E51347">
            <w:r>
              <w:t>Le terme « processes » est traduit par « processus » de préférence à « procédé » : « En résumé, un procédé, c’est une méthode employée pour obtenir le résultat recherché, un processus, c’est une suite d’opérations, et une procédure, c’est un ensemble de règles qu’il convient d’observer pour obtenir un résultat donné. ».</w:t>
            </w:r>
          </w:p>
        </w:tc>
      </w:tr>
      <w:tr w:rsidR="00BF18CF" w14:paraId="03AB672F" w14:textId="77777777" w:rsidTr="00BF18CF">
        <w:tc>
          <w:tcPr>
            <w:tcW w:w="1738" w:type="dxa"/>
          </w:tcPr>
          <w:p w14:paraId="5847912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52" w:type="dxa"/>
          </w:tcPr>
          <w:p w14:paraId="4C98240A" w14:textId="77777777" w:rsidR="00BF18CF" w:rsidRDefault="00E51347">
            <w:r>
              <w:t xml:space="preserve">Office québécois de la langue française. « Différence entre procédé, processus et procédure ». Dans </w:t>
            </w:r>
            <w:r>
              <w:rPr>
                <w:i/>
              </w:rPr>
              <w:t>Banque de dépannage linguistique</w:t>
            </w:r>
            <w:r>
              <w:t>. Québec, CA-QC: Office québécois de la langue française, 2022.</w:t>
            </w:r>
            <w:hyperlink r:id="rId371">
              <w:r>
                <w:rPr>
                  <w:color w:val="4F81BD"/>
                </w:rPr>
                <w:t xml:space="preserve"> https://vitrinelinguistique.oqlf.gouv.qc.ca/22247/le-vocabulaire/nuances-semantiques/difference-entre-procede-processus-et-procedure</w:t>
              </w:r>
            </w:hyperlink>
            <w:r>
              <w:t>.</w:t>
            </w:r>
          </w:p>
        </w:tc>
      </w:tr>
    </w:tbl>
    <w:p w14:paraId="61A2177E" w14:textId="77777777" w:rsidR="00BF18CF" w:rsidRDefault="00E51347">
      <w:pPr>
        <w:pStyle w:val="Heading3"/>
      </w:pPr>
      <w:bookmarkStart w:id="113" w:name="bookmark=id.2iq8gzs" w:colFirst="0" w:colLast="0"/>
      <w:bookmarkStart w:id="114" w:name="_Toc144360799"/>
      <w:bookmarkEnd w:id="113"/>
      <w:r>
        <w:t>E6 Destruction</w:t>
      </w:r>
      <w:bookmarkEnd w:id="114"/>
    </w:p>
    <w:tbl>
      <w:tblPr>
        <w:tblStyle w:val="a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6"/>
        <w:gridCol w:w="8904"/>
      </w:tblGrid>
      <w:tr w:rsidR="00BF18CF" w14:paraId="2F2DB27D" w14:textId="77777777" w:rsidTr="00BF18CF">
        <w:tc>
          <w:tcPr>
            <w:tcW w:w="1786" w:type="dxa"/>
          </w:tcPr>
          <w:p w14:paraId="226C1710"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4" w:type="dxa"/>
          </w:tcPr>
          <w:p w14:paraId="27BD95EF" w14:textId="77777777" w:rsidR="00BF18CF" w:rsidRDefault="00E51347">
            <w:r>
              <w:rPr>
                <w:rFonts w:ascii="Consolas" w:eastAsia="Consolas" w:hAnsi="Consolas" w:cs="Consolas"/>
                <w:sz w:val="22"/>
                <w:szCs w:val="22"/>
                <w:shd w:val="clear" w:color="auto" w:fill="EAEEF3"/>
              </w:rPr>
              <w:t>E64_Fin_d’existence</w:t>
            </w:r>
          </w:p>
        </w:tc>
      </w:tr>
      <w:tr w:rsidR="00BF18CF" w14:paraId="0A23C1CB" w14:textId="77777777" w:rsidTr="00BF18CF">
        <w:tc>
          <w:tcPr>
            <w:tcW w:w="1786" w:type="dxa"/>
          </w:tcPr>
          <w:p w14:paraId="072535E3"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4" w:type="dxa"/>
          </w:tcPr>
          <w:p w14:paraId="3990FC17" w14:textId="77777777" w:rsidR="00BF18CF" w:rsidRDefault="00BF18CF">
            <w:pPr>
              <w:pBdr>
                <w:top w:val="nil"/>
                <w:left w:val="nil"/>
                <w:bottom w:val="nil"/>
                <w:right w:val="nil"/>
                <w:between w:val="nil"/>
              </w:pBdr>
              <w:spacing w:before="36" w:after="36"/>
              <w:rPr>
                <w:color w:val="000000"/>
              </w:rPr>
            </w:pPr>
          </w:p>
        </w:tc>
      </w:tr>
      <w:tr w:rsidR="00BF18CF" w14:paraId="4FE18651" w14:textId="77777777" w:rsidTr="00BF18CF">
        <w:tc>
          <w:tcPr>
            <w:tcW w:w="1786" w:type="dxa"/>
          </w:tcPr>
          <w:p w14:paraId="18CE4E8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4" w:type="dxa"/>
          </w:tcPr>
          <w:p w14:paraId="3DA688D3" w14:textId="77777777" w:rsidR="00BF18CF" w:rsidRDefault="00E51347">
            <w:r>
              <w:t xml:space="preserve">Cette classe comprend des évènements qui détruisent une ou plusieurs instances de </w:t>
            </w:r>
            <w:r>
              <w:rPr>
                <w:rFonts w:ascii="Consolas" w:eastAsia="Consolas" w:hAnsi="Consolas" w:cs="Consolas"/>
                <w:sz w:val="22"/>
                <w:szCs w:val="22"/>
                <w:shd w:val="clear" w:color="auto" w:fill="EAEEF3"/>
              </w:rPr>
              <w:t>E18_Chose_matérielle</w:t>
            </w:r>
            <w:r>
              <w:t>, de sorte qu'elles perdent leur identité en tant que sujets de documentation.</w:t>
            </w:r>
          </w:p>
          <w:p w14:paraId="38DBD7F3" w14:textId="77777777" w:rsidR="00BF18CF" w:rsidRDefault="00E51347">
            <w:r>
              <w:t xml:space="preserve">Certains évènements de destruction sont intentionnels, tandis que d'autres ne dépendent pas de l'activité humaine. La destruction intentionnelle peut être documentée en classant l'évènement à la fois comme une instance de </w:t>
            </w:r>
            <w:r>
              <w:rPr>
                <w:rFonts w:ascii="Consolas" w:eastAsia="Consolas" w:hAnsi="Consolas" w:cs="Consolas"/>
                <w:sz w:val="22"/>
                <w:szCs w:val="22"/>
                <w:shd w:val="clear" w:color="auto" w:fill="EAEEF3"/>
              </w:rPr>
              <w:t>E6_Destruction</w:t>
            </w:r>
            <w:r>
              <w:t xml:space="preserve"> et de </w:t>
            </w:r>
            <w:r>
              <w:rPr>
                <w:rFonts w:ascii="Consolas" w:eastAsia="Consolas" w:hAnsi="Consolas" w:cs="Consolas"/>
                <w:sz w:val="22"/>
                <w:szCs w:val="22"/>
                <w:shd w:val="clear" w:color="auto" w:fill="EAEEF3"/>
              </w:rPr>
              <w:t>E7_Activité</w:t>
            </w:r>
            <w:r>
              <w:t>.</w:t>
            </w:r>
          </w:p>
          <w:p w14:paraId="64F86230" w14:textId="77777777" w:rsidR="00BF18CF" w:rsidRDefault="00E51347">
            <w:r>
              <w:t>La décision de documenter un objet comme détruit, transformé ou modifié est contextuelle :</w:t>
            </w:r>
          </w:p>
          <w:p w14:paraId="27DBAE45" w14:textId="77777777" w:rsidR="00BF18CF" w:rsidRDefault="00E51347">
            <w:r>
              <w:t xml:space="preserve">1. Si la matière résiduelle de la destruction n'est pas documentée, l'évènement est modélisé uniquement comme une instance de </w:t>
            </w:r>
            <w:r>
              <w:rPr>
                <w:rFonts w:ascii="Consolas" w:eastAsia="Consolas" w:hAnsi="Consolas" w:cs="Consolas"/>
                <w:sz w:val="22"/>
                <w:szCs w:val="22"/>
                <w:shd w:val="clear" w:color="auto" w:fill="EAEEF3"/>
              </w:rPr>
              <w:t>E6_Destruction</w:t>
            </w:r>
            <w:r>
              <w:t>.</w:t>
            </w:r>
          </w:p>
          <w:p w14:paraId="31B956F2" w14:textId="77777777" w:rsidR="00BF18CF" w:rsidRDefault="00E51347">
            <w:r>
              <w:t xml:space="preserve">2. Un évènement doit également être documenté en tant qu'instance de </w:t>
            </w:r>
            <w:r>
              <w:rPr>
                <w:rFonts w:ascii="Consolas" w:eastAsia="Consolas" w:hAnsi="Consolas" w:cs="Consolas"/>
                <w:sz w:val="22"/>
                <w:szCs w:val="22"/>
                <w:shd w:val="clear" w:color="auto" w:fill="EAEEF3"/>
              </w:rPr>
              <w:t>E81_Transformation</w:t>
            </w:r>
            <w:r>
              <w:t xml:space="preserve"> s'il aboutit à la destruction d'un ou de plusieurs objets et à la production simultanée d'autres objets en utilisant des parties ou des matériaux de l'original. Dans ce cas, les nouveaux éléments ont des identités distinctes. La matière est préservée, mais l'identité ne l’est pas.</w:t>
            </w:r>
          </w:p>
          <w:p w14:paraId="2E495F80" w14:textId="77777777" w:rsidR="00BF18CF" w:rsidRDefault="00E51347">
            <w:r>
              <w:t xml:space="preserve">3. Lorsque l'identité initiale de l'instance modifiée de </w:t>
            </w:r>
            <w:r>
              <w:rPr>
                <w:rFonts w:ascii="Consolas" w:eastAsia="Consolas" w:hAnsi="Consolas" w:cs="Consolas"/>
                <w:sz w:val="22"/>
                <w:szCs w:val="22"/>
                <w:shd w:val="clear" w:color="auto" w:fill="EAEEF3"/>
              </w:rPr>
              <w:t>E18_Chose_matérielle</w:t>
            </w:r>
            <w:r>
              <w:t xml:space="preserve"> est préservée, l'évènement doit être documenté en tant qu'instance de </w:t>
            </w:r>
            <w:r>
              <w:rPr>
                <w:rFonts w:ascii="Consolas" w:eastAsia="Consolas" w:hAnsi="Consolas" w:cs="Consolas"/>
                <w:sz w:val="22"/>
                <w:szCs w:val="22"/>
                <w:shd w:val="clear" w:color="auto" w:fill="EAEEF3"/>
              </w:rPr>
              <w:t>E11_Modification</w:t>
            </w:r>
            <w:r>
              <w:t>.</w:t>
            </w:r>
          </w:p>
        </w:tc>
      </w:tr>
      <w:tr w:rsidR="00BF18CF" w14:paraId="4CDC55D1" w14:textId="77777777" w:rsidTr="00BF18CF">
        <w:tc>
          <w:tcPr>
            <w:tcW w:w="1786" w:type="dxa"/>
          </w:tcPr>
          <w:p w14:paraId="19EAC2F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04" w:type="dxa"/>
          </w:tcPr>
          <w:p w14:paraId="5E457882" w14:textId="77777777" w:rsidR="00BF18CF" w:rsidRDefault="00E51347">
            <w:pPr>
              <w:numPr>
                <w:ilvl w:val="0"/>
                <w:numId w:val="19"/>
              </w:numPr>
            </w:pPr>
            <w:r>
              <w:t>La destruction d'Herculanum par une éruption volcanique en 79 EC (</w:t>
            </w:r>
            <w:r>
              <w:rPr>
                <w:rFonts w:ascii="Consolas" w:eastAsia="Consolas" w:hAnsi="Consolas" w:cs="Consolas"/>
                <w:sz w:val="22"/>
                <w:szCs w:val="22"/>
                <w:shd w:val="clear" w:color="auto" w:fill="EAEEF3"/>
              </w:rPr>
              <w:t>E6_Destruction</w:t>
            </w:r>
            <w:r>
              <w:t>) (Camardo, 2013)</w:t>
            </w:r>
          </w:p>
          <w:p w14:paraId="2A2CEEB7" w14:textId="77777777" w:rsidR="00BF18CF" w:rsidRDefault="00E51347">
            <w:pPr>
              <w:numPr>
                <w:ilvl w:val="0"/>
                <w:numId w:val="19"/>
              </w:numPr>
            </w:pPr>
            <w:r>
              <w:t>La destruction de Ninive (</w:t>
            </w:r>
            <w:r>
              <w:rPr>
                <w:rFonts w:ascii="Consolas" w:eastAsia="Consolas" w:hAnsi="Consolas" w:cs="Consolas"/>
                <w:sz w:val="22"/>
                <w:szCs w:val="22"/>
                <w:shd w:val="clear" w:color="auto" w:fill="EAEEF3"/>
              </w:rPr>
              <w:t>E6_Destruction</w:t>
            </w:r>
            <w:r>
              <w:t xml:space="preserve">, </w:t>
            </w:r>
            <w:r>
              <w:rPr>
                <w:rFonts w:ascii="Consolas" w:eastAsia="Consolas" w:hAnsi="Consolas" w:cs="Consolas"/>
                <w:sz w:val="22"/>
                <w:szCs w:val="22"/>
                <w:shd w:val="clear" w:color="auto" w:fill="EAEEF3"/>
              </w:rPr>
              <w:t>E7_Activité</w:t>
            </w:r>
            <w:r>
              <w:t>) (River, 2016)</w:t>
            </w:r>
          </w:p>
          <w:p w14:paraId="18CEB401" w14:textId="77777777" w:rsidR="00BF18CF" w:rsidRDefault="00E51347">
            <w:pPr>
              <w:numPr>
                <w:ilvl w:val="0"/>
                <w:numId w:val="19"/>
              </w:numPr>
            </w:pPr>
            <w:r>
              <w:t>Le bris d'une coupe de champagne hier par mon chien (fictif)</w:t>
            </w:r>
          </w:p>
        </w:tc>
      </w:tr>
      <w:tr w:rsidR="00BF18CF" w14:paraId="1263A9B0" w14:textId="77777777" w:rsidTr="00BF18CF">
        <w:tc>
          <w:tcPr>
            <w:tcW w:w="1786" w:type="dxa"/>
          </w:tcPr>
          <w:p w14:paraId="3BD50965"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4" w:type="dxa"/>
          </w:tcPr>
          <w:p w14:paraId="76D632B1" w14:textId="77777777" w:rsidR="00BF18CF" w:rsidRDefault="00E51347">
            <w:r>
              <w:t>E6(x) ⇒ E64(x)</w:t>
            </w:r>
          </w:p>
        </w:tc>
      </w:tr>
      <w:tr w:rsidR="00BF18CF" w14:paraId="6E36F3AA" w14:textId="77777777" w:rsidTr="00BF18CF">
        <w:tc>
          <w:tcPr>
            <w:tcW w:w="1786" w:type="dxa"/>
          </w:tcPr>
          <w:p w14:paraId="1471824F"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904" w:type="dxa"/>
          </w:tcPr>
          <w:p w14:paraId="61A0BB1B" w14:textId="77777777" w:rsidR="00BF18CF" w:rsidRDefault="00E51347">
            <w:r>
              <w:rPr>
                <w:rFonts w:ascii="Consolas" w:eastAsia="Consolas" w:hAnsi="Consolas" w:cs="Consolas"/>
                <w:sz w:val="22"/>
                <w:szCs w:val="22"/>
                <w:shd w:val="clear" w:color="auto" w:fill="EAEEF3"/>
              </w:rPr>
              <w:t>P13_a_détruit (a_été_détruit_par)</w:t>
            </w:r>
            <w:r>
              <w:t xml:space="preserve"> : </w:t>
            </w:r>
            <w:r>
              <w:rPr>
                <w:rFonts w:ascii="Consolas" w:eastAsia="Consolas" w:hAnsi="Consolas" w:cs="Consolas"/>
                <w:sz w:val="22"/>
                <w:szCs w:val="22"/>
                <w:shd w:val="clear" w:color="auto" w:fill="EAEEF3"/>
              </w:rPr>
              <w:t>E18_Chose_matérielle</w:t>
            </w:r>
          </w:p>
        </w:tc>
      </w:tr>
      <w:tr w:rsidR="00BF18CF" w14:paraId="359CC6CA" w14:textId="77777777" w:rsidTr="00BF18CF">
        <w:tc>
          <w:tcPr>
            <w:tcW w:w="1786" w:type="dxa"/>
          </w:tcPr>
          <w:p w14:paraId="4D2EC06F" w14:textId="0753CEA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4" w:type="dxa"/>
          </w:tcPr>
          <w:p w14:paraId="15994FF2" w14:textId="77777777" w:rsidR="00BF18CF" w:rsidRDefault="00BF18CF">
            <w:pPr>
              <w:pBdr>
                <w:top w:val="nil"/>
                <w:left w:val="nil"/>
                <w:bottom w:val="nil"/>
                <w:right w:val="nil"/>
                <w:between w:val="nil"/>
              </w:pBdr>
              <w:spacing w:before="36" w:after="36"/>
              <w:rPr>
                <w:color w:val="000000"/>
              </w:rPr>
            </w:pPr>
          </w:p>
        </w:tc>
      </w:tr>
      <w:tr w:rsidR="00BF18CF" w14:paraId="49C16C67" w14:textId="77777777" w:rsidTr="00BF18CF">
        <w:tc>
          <w:tcPr>
            <w:tcW w:w="1786" w:type="dxa"/>
          </w:tcPr>
          <w:p w14:paraId="5A82FEF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4" w:type="dxa"/>
          </w:tcPr>
          <w:p w14:paraId="6E7CEDF3" w14:textId="77777777" w:rsidR="00BF18CF" w:rsidRDefault="00BF18CF">
            <w:pPr>
              <w:pBdr>
                <w:top w:val="nil"/>
                <w:left w:val="nil"/>
                <w:bottom w:val="nil"/>
                <w:right w:val="nil"/>
                <w:between w:val="nil"/>
              </w:pBdr>
              <w:spacing w:before="36" w:after="36"/>
              <w:rPr>
                <w:color w:val="000000"/>
              </w:rPr>
            </w:pPr>
          </w:p>
        </w:tc>
      </w:tr>
    </w:tbl>
    <w:p w14:paraId="1C687F44" w14:textId="77777777" w:rsidR="00BF18CF" w:rsidRDefault="00E51347">
      <w:pPr>
        <w:pStyle w:val="Heading3"/>
      </w:pPr>
      <w:bookmarkStart w:id="115" w:name="bookmark=id.xvir7l" w:colFirst="0" w:colLast="0"/>
      <w:bookmarkStart w:id="116" w:name="_Toc144360800"/>
      <w:bookmarkEnd w:id="115"/>
      <w:r>
        <w:t>E7 Activité</w:t>
      </w:r>
      <w:bookmarkEnd w:id="116"/>
    </w:p>
    <w:tbl>
      <w:tblPr>
        <w:tblStyle w:val="a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00"/>
        <w:gridCol w:w="8990"/>
      </w:tblGrid>
      <w:tr w:rsidR="00BF18CF" w14:paraId="71E055BD" w14:textId="77777777" w:rsidTr="00BF18CF">
        <w:tc>
          <w:tcPr>
            <w:tcW w:w="1700" w:type="dxa"/>
          </w:tcPr>
          <w:p w14:paraId="6FE710FE"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90" w:type="dxa"/>
          </w:tcPr>
          <w:p w14:paraId="0E83D072" w14:textId="77777777" w:rsidR="00BF18CF" w:rsidRDefault="00E51347">
            <w:r>
              <w:rPr>
                <w:rFonts w:ascii="Consolas" w:eastAsia="Consolas" w:hAnsi="Consolas" w:cs="Consolas"/>
                <w:sz w:val="22"/>
                <w:szCs w:val="22"/>
                <w:shd w:val="clear" w:color="auto" w:fill="EAEEF3"/>
              </w:rPr>
              <w:t>E5_Évènement</w:t>
            </w:r>
          </w:p>
        </w:tc>
      </w:tr>
      <w:tr w:rsidR="00BF18CF" w14:paraId="426726E6" w14:textId="77777777" w:rsidTr="00BF18CF">
        <w:tc>
          <w:tcPr>
            <w:tcW w:w="1700" w:type="dxa"/>
          </w:tcPr>
          <w:p w14:paraId="464639EE"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90" w:type="dxa"/>
          </w:tcPr>
          <w:p w14:paraId="0F294C7C" w14:textId="77777777" w:rsidR="00BF18CF" w:rsidRDefault="00E51347">
            <w:r>
              <w:rPr>
                <w:rFonts w:ascii="Consolas" w:eastAsia="Consolas" w:hAnsi="Consolas" w:cs="Consolas"/>
                <w:sz w:val="22"/>
                <w:szCs w:val="22"/>
                <w:shd w:val="clear" w:color="auto" w:fill="EAEEF3"/>
              </w:rPr>
              <w:t>E8_Acquisition</w:t>
            </w:r>
          </w:p>
          <w:p w14:paraId="3E67EF8A" w14:textId="77777777" w:rsidR="00BF18CF" w:rsidRDefault="00E51347">
            <w:r>
              <w:rPr>
                <w:rFonts w:ascii="Consolas" w:eastAsia="Consolas" w:hAnsi="Consolas" w:cs="Consolas"/>
                <w:sz w:val="22"/>
                <w:szCs w:val="22"/>
                <w:shd w:val="clear" w:color="auto" w:fill="EAEEF3"/>
              </w:rPr>
              <w:t>E9_Déplacement</w:t>
            </w:r>
          </w:p>
          <w:p w14:paraId="345D4757" w14:textId="77777777" w:rsidR="00BF18CF" w:rsidRDefault="00E51347">
            <w:r>
              <w:rPr>
                <w:rFonts w:ascii="Consolas" w:eastAsia="Consolas" w:hAnsi="Consolas" w:cs="Consolas"/>
                <w:sz w:val="22"/>
                <w:szCs w:val="22"/>
                <w:shd w:val="clear" w:color="auto" w:fill="EAEEF3"/>
              </w:rPr>
              <w:t>E10_Transfert_de_la_garde</w:t>
            </w:r>
          </w:p>
          <w:p w14:paraId="7986B602" w14:textId="77777777" w:rsidR="00BF18CF" w:rsidRDefault="00E51347">
            <w:r>
              <w:rPr>
                <w:rFonts w:ascii="Consolas" w:eastAsia="Consolas" w:hAnsi="Consolas" w:cs="Consolas"/>
                <w:sz w:val="22"/>
                <w:szCs w:val="22"/>
                <w:shd w:val="clear" w:color="auto" w:fill="EAEEF3"/>
              </w:rPr>
              <w:t>E11_Modification</w:t>
            </w:r>
          </w:p>
          <w:p w14:paraId="40017006" w14:textId="77777777" w:rsidR="00BF18CF" w:rsidRDefault="00E51347">
            <w:r>
              <w:rPr>
                <w:rFonts w:ascii="Consolas" w:eastAsia="Consolas" w:hAnsi="Consolas" w:cs="Consolas"/>
                <w:sz w:val="22"/>
                <w:szCs w:val="22"/>
                <w:shd w:val="clear" w:color="auto" w:fill="EAEEF3"/>
              </w:rPr>
              <w:t>E13_Assignation_d'attribut</w:t>
            </w:r>
          </w:p>
          <w:p w14:paraId="1233756B" w14:textId="77777777" w:rsidR="00BF18CF" w:rsidRDefault="00E51347">
            <w:r>
              <w:rPr>
                <w:rFonts w:ascii="Consolas" w:eastAsia="Consolas" w:hAnsi="Consolas" w:cs="Consolas"/>
                <w:sz w:val="22"/>
                <w:szCs w:val="22"/>
                <w:shd w:val="clear" w:color="auto" w:fill="EAEEF3"/>
              </w:rPr>
              <w:t>E65_Création</w:t>
            </w:r>
          </w:p>
          <w:p w14:paraId="5B2C382D" w14:textId="77777777" w:rsidR="00BF18CF" w:rsidRDefault="00E51347">
            <w:r>
              <w:rPr>
                <w:rFonts w:ascii="Consolas" w:eastAsia="Consolas" w:hAnsi="Consolas" w:cs="Consolas"/>
                <w:sz w:val="22"/>
                <w:szCs w:val="22"/>
                <w:shd w:val="clear" w:color="auto" w:fill="EAEEF3"/>
              </w:rPr>
              <w:t>E66_Formation</w:t>
            </w:r>
          </w:p>
          <w:p w14:paraId="4A73F9ED" w14:textId="77777777" w:rsidR="00BF18CF" w:rsidRDefault="00E51347">
            <w:r>
              <w:rPr>
                <w:rFonts w:ascii="Consolas" w:eastAsia="Consolas" w:hAnsi="Consolas" w:cs="Consolas"/>
                <w:sz w:val="22"/>
                <w:szCs w:val="22"/>
                <w:shd w:val="clear" w:color="auto" w:fill="EAEEF3"/>
              </w:rPr>
              <w:t>E85_Adhésion</w:t>
            </w:r>
          </w:p>
          <w:p w14:paraId="5E47E24C" w14:textId="77777777" w:rsidR="00BF18CF" w:rsidRDefault="00E51347">
            <w:r>
              <w:rPr>
                <w:rFonts w:ascii="Consolas" w:eastAsia="Consolas" w:hAnsi="Consolas" w:cs="Consolas"/>
                <w:sz w:val="22"/>
                <w:szCs w:val="22"/>
                <w:shd w:val="clear" w:color="auto" w:fill="EAEEF3"/>
              </w:rPr>
              <w:t>E86_Départ</w:t>
            </w:r>
          </w:p>
          <w:p w14:paraId="06C1585A" w14:textId="77777777" w:rsidR="00BF18CF" w:rsidRDefault="00E51347">
            <w:r>
              <w:rPr>
                <w:rFonts w:ascii="Consolas" w:eastAsia="Consolas" w:hAnsi="Consolas" w:cs="Consolas"/>
                <w:sz w:val="22"/>
                <w:szCs w:val="22"/>
                <w:shd w:val="clear" w:color="auto" w:fill="EAEEF3"/>
              </w:rPr>
              <w:t>E87_Activité_curatoriale</w:t>
            </w:r>
          </w:p>
        </w:tc>
      </w:tr>
      <w:tr w:rsidR="00BF18CF" w14:paraId="22878159" w14:textId="77777777" w:rsidTr="00BF18CF">
        <w:tc>
          <w:tcPr>
            <w:tcW w:w="1700" w:type="dxa"/>
          </w:tcPr>
          <w:p w14:paraId="0A4C13D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90" w:type="dxa"/>
          </w:tcPr>
          <w:p w14:paraId="23A28B48" w14:textId="77777777" w:rsidR="00BF18CF" w:rsidRDefault="00E51347">
            <w:r>
              <w:t xml:space="preserve">Cette classe comprend les actions effectuées intentionnellement par des instances de </w:t>
            </w:r>
            <w:r>
              <w:rPr>
                <w:rFonts w:ascii="Consolas" w:eastAsia="Consolas" w:hAnsi="Consolas" w:cs="Consolas"/>
                <w:sz w:val="22"/>
                <w:szCs w:val="22"/>
                <w:shd w:val="clear" w:color="auto" w:fill="EAEEF3"/>
              </w:rPr>
              <w:t>E39_Actant</w:t>
            </w:r>
            <w:r>
              <w:t xml:space="preserve"> qui ont pour résultat un changement d’état dans les systèmes culturels, sociaux ou physiques documentés.</w:t>
            </w:r>
          </w:p>
          <w:p w14:paraId="2DC61104" w14:textId="77777777" w:rsidR="00BF18CF" w:rsidRDefault="00E51347">
            <w:r>
              <w:t>Cette notion inclut des actions complexes, composées et de longue durée telles que la mise en place d’une occupation ou une guerre, de même que des actions simples et éphémères telles que l’ouverture d’une porte.</w:t>
            </w:r>
          </w:p>
        </w:tc>
      </w:tr>
      <w:tr w:rsidR="00BF18CF" w14:paraId="4F1CA310" w14:textId="77777777" w:rsidTr="00BF18CF">
        <w:tc>
          <w:tcPr>
            <w:tcW w:w="1700" w:type="dxa"/>
          </w:tcPr>
          <w:p w14:paraId="437A045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90" w:type="dxa"/>
          </w:tcPr>
          <w:p w14:paraId="3B04F1EB" w14:textId="77777777" w:rsidR="00BF18CF" w:rsidRDefault="00E51347">
            <w:pPr>
              <w:numPr>
                <w:ilvl w:val="0"/>
                <w:numId w:val="19"/>
              </w:numPr>
            </w:pPr>
            <w:r>
              <w:t>La bataille de Stalingrad (Hoyt, 1993)</w:t>
            </w:r>
          </w:p>
          <w:p w14:paraId="47C19153" w14:textId="77777777" w:rsidR="00BF18CF" w:rsidRDefault="00E51347">
            <w:pPr>
              <w:numPr>
                <w:ilvl w:val="0"/>
                <w:numId w:val="19"/>
              </w:numPr>
            </w:pPr>
            <w:r>
              <w:t>La Conférence de Yalta (Harbutt 2010)</w:t>
            </w:r>
          </w:p>
          <w:p w14:paraId="67F0E588" w14:textId="77777777" w:rsidR="00BF18CF" w:rsidRDefault="00E51347">
            <w:pPr>
              <w:numPr>
                <w:ilvl w:val="0"/>
                <w:numId w:val="19"/>
              </w:numPr>
            </w:pPr>
            <w:r>
              <w:t>Ma fête d'anniversaire le 28/06/1995</w:t>
            </w:r>
          </w:p>
          <w:p w14:paraId="1FA27E15" w14:textId="77777777" w:rsidR="00BF18CF" w:rsidRDefault="00E51347">
            <w:pPr>
              <w:numPr>
                <w:ilvl w:val="0"/>
                <w:numId w:val="19"/>
              </w:numPr>
            </w:pPr>
            <w:r>
              <w:t xml:space="preserve">L’écriture de </w:t>
            </w:r>
            <w:r>
              <w:rPr>
                <w:i/>
              </w:rPr>
              <w:t>Faust</w:t>
            </w:r>
            <w:r>
              <w:t xml:space="preserve"> par Goethe (</w:t>
            </w:r>
            <w:r>
              <w:rPr>
                <w:rFonts w:ascii="Consolas" w:eastAsia="Consolas" w:hAnsi="Consolas" w:cs="Consolas"/>
                <w:sz w:val="22"/>
                <w:szCs w:val="22"/>
                <w:shd w:val="clear" w:color="auto" w:fill="EAEEF3"/>
              </w:rPr>
              <w:t>E65_Création</w:t>
            </w:r>
            <w:r>
              <w:t>) (Williams, 1987)</w:t>
            </w:r>
          </w:p>
          <w:p w14:paraId="37CB9FC8" w14:textId="77777777" w:rsidR="00BF18CF" w:rsidRDefault="00E51347">
            <w:pPr>
              <w:numPr>
                <w:ilvl w:val="0"/>
                <w:numId w:val="19"/>
              </w:numPr>
            </w:pPr>
            <w:r>
              <w:t>La fondation du Bauhaus en 1919 (</w:t>
            </w:r>
            <w:r>
              <w:rPr>
                <w:rFonts w:ascii="Consolas" w:eastAsia="Consolas" w:hAnsi="Consolas" w:cs="Consolas"/>
                <w:sz w:val="22"/>
                <w:szCs w:val="22"/>
                <w:shd w:val="clear" w:color="auto" w:fill="EAEEF3"/>
              </w:rPr>
              <w:t>E66_Formation</w:t>
            </w:r>
            <w:r>
              <w:t>) (Droste, 2006)</w:t>
            </w:r>
          </w:p>
          <w:p w14:paraId="19BD7F52" w14:textId="77777777" w:rsidR="00BF18CF" w:rsidRDefault="00E51347">
            <w:pPr>
              <w:numPr>
                <w:ilvl w:val="0"/>
                <w:numId w:val="19"/>
              </w:numPr>
            </w:pPr>
            <w:r>
              <w:t>L’utilisation par le peuple irakien du nom « Quyunjig » pour le lieu dont l’identifiant est TGN « 7017998 »</w:t>
            </w:r>
          </w:p>
          <w:p w14:paraId="15CA2118" w14:textId="77777777" w:rsidR="00BF18CF" w:rsidRDefault="00E51347">
            <w:pPr>
              <w:numPr>
                <w:ilvl w:val="0"/>
                <w:numId w:val="19"/>
              </w:numPr>
            </w:pPr>
            <w:r>
              <w:t>Kira Weber pratiquant l’art du verre de 1984 à 1993</w:t>
            </w:r>
          </w:p>
          <w:p w14:paraId="066440F5" w14:textId="77777777" w:rsidR="00BF18CF" w:rsidRDefault="00E51347">
            <w:pPr>
              <w:numPr>
                <w:ilvl w:val="0"/>
                <w:numId w:val="19"/>
              </w:numPr>
            </w:pPr>
            <w:r>
              <w:t>Kira Weber pratiquant la peinture à l’huile et le pastel à partir de 1993</w:t>
            </w:r>
          </w:p>
        </w:tc>
      </w:tr>
      <w:tr w:rsidR="00BF18CF" w14:paraId="47CAA3EE" w14:textId="77777777" w:rsidTr="00BF18CF">
        <w:tc>
          <w:tcPr>
            <w:tcW w:w="1700" w:type="dxa"/>
          </w:tcPr>
          <w:p w14:paraId="18A86F2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90" w:type="dxa"/>
          </w:tcPr>
          <w:p w14:paraId="10BD4347" w14:textId="77777777" w:rsidR="00BF18CF" w:rsidRDefault="00E51347">
            <w:r>
              <w:t>E7(x) ⊃ E5(x)</w:t>
            </w:r>
          </w:p>
        </w:tc>
      </w:tr>
      <w:tr w:rsidR="00BF18CF" w14:paraId="62FAA496" w14:textId="77777777" w:rsidTr="00BF18CF">
        <w:tc>
          <w:tcPr>
            <w:tcW w:w="1700" w:type="dxa"/>
          </w:tcPr>
          <w:p w14:paraId="43FFB096"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990" w:type="dxa"/>
          </w:tcPr>
          <w:p w14:paraId="43263D23" w14:textId="77777777" w:rsidR="00BF18CF" w:rsidRDefault="00E51347">
            <w:r>
              <w:rPr>
                <w:rFonts w:ascii="Consolas" w:eastAsia="Consolas" w:hAnsi="Consolas" w:cs="Consolas"/>
                <w:sz w:val="22"/>
                <w:szCs w:val="22"/>
                <w:shd w:val="clear" w:color="auto" w:fill="EAEEF3"/>
              </w:rPr>
              <w:t>P14_a_été_effectué_par (a_effectué)</w:t>
            </w:r>
            <w:r>
              <w:t xml:space="preserve"> : </w:t>
            </w:r>
            <w:r>
              <w:rPr>
                <w:rFonts w:ascii="Consolas" w:eastAsia="Consolas" w:hAnsi="Consolas" w:cs="Consolas"/>
                <w:sz w:val="22"/>
                <w:szCs w:val="22"/>
                <w:shd w:val="clear" w:color="auto" w:fill="EAEEF3"/>
              </w:rPr>
              <w:t>E39_Actant</w:t>
            </w:r>
            <w:r>
              <w:t xml:space="preserve"> (</w:t>
            </w:r>
            <w:r>
              <w:rPr>
                <w:rFonts w:ascii="Consolas" w:eastAsia="Consolas" w:hAnsi="Consolas" w:cs="Consolas"/>
                <w:sz w:val="22"/>
                <w:szCs w:val="22"/>
                <w:shd w:val="clear" w:color="auto" w:fill="EAEEF3"/>
              </w:rPr>
              <w:t>P14.1_dans_le_rôle_de</w:t>
            </w:r>
            <w:r>
              <w:t xml:space="preserve"> : </w:t>
            </w:r>
            <w:r>
              <w:rPr>
                <w:rFonts w:ascii="Consolas" w:eastAsia="Consolas" w:hAnsi="Consolas" w:cs="Consolas"/>
                <w:sz w:val="22"/>
                <w:szCs w:val="22"/>
                <w:shd w:val="clear" w:color="auto" w:fill="EAEEF3"/>
              </w:rPr>
              <w:t>E55_Type</w:t>
            </w:r>
            <w:r>
              <w:t>)</w:t>
            </w:r>
          </w:p>
          <w:p w14:paraId="2D044EF8" w14:textId="77777777" w:rsidR="00BF18CF" w:rsidRDefault="00E51347">
            <w:r>
              <w:rPr>
                <w:rFonts w:ascii="Consolas" w:eastAsia="Consolas" w:hAnsi="Consolas" w:cs="Consolas"/>
                <w:sz w:val="22"/>
                <w:szCs w:val="22"/>
                <w:shd w:val="clear" w:color="auto" w:fill="EAEEF3"/>
              </w:rPr>
              <w:t>P15_a_été_influencé_par (a_influencé)</w:t>
            </w:r>
            <w:r>
              <w:t xml:space="preserve"> : </w:t>
            </w:r>
            <w:r>
              <w:rPr>
                <w:rFonts w:ascii="Consolas" w:eastAsia="Consolas" w:hAnsi="Consolas" w:cs="Consolas"/>
                <w:sz w:val="22"/>
                <w:szCs w:val="22"/>
                <w:shd w:val="clear" w:color="auto" w:fill="EAEEF3"/>
              </w:rPr>
              <w:t>E1_Entité_CRM</w:t>
            </w:r>
          </w:p>
          <w:p w14:paraId="19563F1C" w14:textId="77777777" w:rsidR="00BF18CF" w:rsidRDefault="00E51347">
            <w:r>
              <w:rPr>
                <w:rFonts w:ascii="Consolas" w:eastAsia="Consolas" w:hAnsi="Consolas" w:cs="Consolas"/>
                <w:sz w:val="22"/>
                <w:szCs w:val="22"/>
                <w:shd w:val="clear" w:color="auto" w:fill="EAEEF3"/>
              </w:rPr>
              <w:t>P16_a_mobilisé_l’objet_spécifique (a_été_mobilisé_pour)</w:t>
            </w:r>
            <w:r>
              <w:t xml:space="preserve"> : </w:t>
            </w:r>
            <w:r>
              <w:rPr>
                <w:rFonts w:ascii="Consolas" w:eastAsia="Consolas" w:hAnsi="Consolas" w:cs="Consolas"/>
                <w:sz w:val="22"/>
                <w:szCs w:val="22"/>
                <w:shd w:val="clear" w:color="auto" w:fill="EAEEF3"/>
              </w:rPr>
              <w:t>E70_Chose</w:t>
            </w:r>
          </w:p>
          <w:p w14:paraId="1CBFE5CC" w14:textId="77777777" w:rsidR="00BF18CF" w:rsidRDefault="00E51347">
            <w:r>
              <w:t>(</w:t>
            </w:r>
            <w:r>
              <w:rPr>
                <w:rFonts w:ascii="Consolas" w:eastAsia="Consolas" w:hAnsi="Consolas" w:cs="Consolas"/>
                <w:sz w:val="22"/>
                <w:szCs w:val="22"/>
                <w:shd w:val="clear" w:color="auto" w:fill="EAEEF3"/>
              </w:rPr>
              <w:t>P16.1_mode_d’utilisation</w:t>
            </w:r>
            <w:r>
              <w:t xml:space="preserve"> : </w:t>
            </w:r>
            <w:r>
              <w:rPr>
                <w:rFonts w:ascii="Consolas" w:eastAsia="Consolas" w:hAnsi="Consolas" w:cs="Consolas"/>
                <w:sz w:val="22"/>
                <w:szCs w:val="22"/>
                <w:shd w:val="clear" w:color="auto" w:fill="EAEEF3"/>
              </w:rPr>
              <w:t>E55_Type</w:t>
            </w:r>
            <w:r>
              <w:t>)</w:t>
            </w:r>
          </w:p>
          <w:p w14:paraId="08DF87AC" w14:textId="77777777" w:rsidR="00BF18CF" w:rsidRDefault="00E51347">
            <w:r>
              <w:rPr>
                <w:rFonts w:ascii="Consolas" w:eastAsia="Consolas" w:hAnsi="Consolas" w:cs="Consolas"/>
                <w:sz w:val="22"/>
                <w:szCs w:val="22"/>
                <w:shd w:val="clear" w:color="auto" w:fill="EAEEF3"/>
              </w:rPr>
              <w:t>P17_a_été_motivé_par (a_motivé)</w:t>
            </w:r>
            <w:r>
              <w:t xml:space="preserve"> : </w:t>
            </w:r>
            <w:r>
              <w:rPr>
                <w:rFonts w:ascii="Consolas" w:eastAsia="Consolas" w:hAnsi="Consolas" w:cs="Consolas"/>
                <w:sz w:val="22"/>
                <w:szCs w:val="22"/>
                <w:shd w:val="clear" w:color="auto" w:fill="EAEEF3"/>
              </w:rPr>
              <w:t>E1_Entité_CRM</w:t>
            </w:r>
          </w:p>
          <w:p w14:paraId="02648CAF" w14:textId="77777777" w:rsidR="00BF18CF" w:rsidRDefault="00E51347">
            <w:r>
              <w:rPr>
                <w:rFonts w:ascii="Consolas" w:eastAsia="Consolas" w:hAnsi="Consolas" w:cs="Consolas"/>
                <w:sz w:val="22"/>
                <w:szCs w:val="22"/>
                <w:shd w:val="clear" w:color="auto" w:fill="EAEEF3"/>
              </w:rPr>
              <w:t>P19_a_été_l’usage_prévu_de (a_été_élaboré_pour)</w:t>
            </w:r>
            <w:r>
              <w:t xml:space="preserve"> : </w:t>
            </w:r>
            <w:r>
              <w:rPr>
                <w:rFonts w:ascii="Consolas" w:eastAsia="Consolas" w:hAnsi="Consolas" w:cs="Consolas"/>
                <w:sz w:val="22"/>
                <w:szCs w:val="22"/>
                <w:shd w:val="clear" w:color="auto" w:fill="EAEEF3"/>
              </w:rPr>
              <w:t>E71_Chose_élaborée_par_l’humain</w:t>
            </w:r>
          </w:p>
          <w:p w14:paraId="6675B5B7" w14:textId="77777777" w:rsidR="00BF18CF" w:rsidRDefault="00E51347">
            <w:r>
              <w:t>(</w:t>
            </w:r>
            <w:r>
              <w:rPr>
                <w:rFonts w:ascii="Consolas" w:eastAsia="Consolas" w:hAnsi="Consolas" w:cs="Consolas"/>
                <w:sz w:val="22"/>
                <w:szCs w:val="22"/>
                <w:shd w:val="clear" w:color="auto" w:fill="EAEEF3"/>
              </w:rPr>
              <w:t>P19.1_mode_d’utilisation</w:t>
            </w:r>
            <w:r>
              <w:t xml:space="preserve"> : </w:t>
            </w:r>
            <w:r>
              <w:rPr>
                <w:rFonts w:ascii="Consolas" w:eastAsia="Consolas" w:hAnsi="Consolas" w:cs="Consolas"/>
                <w:sz w:val="22"/>
                <w:szCs w:val="22"/>
                <w:shd w:val="clear" w:color="auto" w:fill="EAEEF3"/>
              </w:rPr>
              <w:t>E55_Type</w:t>
            </w:r>
            <w:r>
              <w:t>)</w:t>
            </w:r>
          </w:p>
          <w:p w14:paraId="4CC92AC3" w14:textId="77777777" w:rsidR="00BF18CF" w:rsidRDefault="00E51347">
            <w:r>
              <w:rPr>
                <w:rFonts w:ascii="Consolas" w:eastAsia="Consolas" w:hAnsi="Consolas" w:cs="Consolas"/>
                <w:sz w:val="22"/>
                <w:szCs w:val="22"/>
                <w:shd w:val="clear" w:color="auto" w:fill="EAEEF3"/>
              </w:rPr>
              <w:t>P20_a_eu_pour_finalité_spécifique (a été finalité de)</w:t>
            </w:r>
            <w:r>
              <w:t xml:space="preserve"> : </w:t>
            </w:r>
            <w:r>
              <w:rPr>
                <w:rFonts w:ascii="Consolas" w:eastAsia="Consolas" w:hAnsi="Consolas" w:cs="Consolas"/>
                <w:sz w:val="22"/>
                <w:szCs w:val="22"/>
                <w:shd w:val="clear" w:color="auto" w:fill="EAEEF3"/>
              </w:rPr>
              <w:t>E5_Évènement</w:t>
            </w:r>
          </w:p>
          <w:p w14:paraId="5C7A604B" w14:textId="77777777" w:rsidR="00BF18CF" w:rsidRDefault="00E51347">
            <w:r>
              <w:rPr>
                <w:rFonts w:ascii="Consolas" w:eastAsia="Consolas" w:hAnsi="Consolas" w:cs="Consolas"/>
                <w:sz w:val="22"/>
                <w:szCs w:val="22"/>
                <w:shd w:val="clear" w:color="auto" w:fill="EAEEF3"/>
              </w:rPr>
              <w:t>P21_a_eu_pour_finalité_générale (a_été_la_finalité_de)</w:t>
            </w:r>
            <w:r>
              <w:t xml:space="preserve"> : </w:t>
            </w:r>
            <w:r>
              <w:rPr>
                <w:rFonts w:ascii="Consolas" w:eastAsia="Consolas" w:hAnsi="Consolas" w:cs="Consolas"/>
                <w:sz w:val="22"/>
                <w:szCs w:val="22"/>
                <w:shd w:val="clear" w:color="auto" w:fill="EAEEF3"/>
              </w:rPr>
              <w:t>E55_Type</w:t>
            </w:r>
          </w:p>
          <w:p w14:paraId="5DCCF4D6" w14:textId="77777777" w:rsidR="00BF18CF" w:rsidRDefault="00E51347">
            <w:r>
              <w:rPr>
                <w:rFonts w:ascii="Consolas" w:eastAsia="Consolas" w:hAnsi="Consolas" w:cs="Consolas"/>
                <w:sz w:val="22"/>
                <w:szCs w:val="22"/>
                <w:shd w:val="clear" w:color="auto" w:fill="EAEEF3"/>
              </w:rPr>
              <w:t>P32_a_mobilisé_comme_technique_générale (a_été_la_technique_générale_mise_en_œuvre_dans)</w:t>
            </w:r>
            <w:r>
              <w:t xml:space="preserve"> : </w:t>
            </w:r>
            <w:r>
              <w:rPr>
                <w:rFonts w:ascii="Consolas" w:eastAsia="Consolas" w:hAnsi="Consolas" w:cs="Consolas"/>
                <w:sz w:val="22"/>
                <w:szCs w:val="22"/>
                <w:shd w:val="clear" w:color="auto" w:fill="EAEEF3"/>
              </w:rPr>
              <w:t>E55_Type</w:t>
            </w:r>
          </w:p>
          <w:p w14:paraId="1AD99C8C" w14:textId="77777777" w:rsidR="00BF18CF" w:rsidRDefault="00E51347">
            <w:r>
              <w:rPr>
                <w:rFonts w:ascii="Consolas" w:eastAsia="Consolas" w:hAnsi="Consolas" w:cs="Consolas"/>
                <w:sz w:val="22"/>
                <w:szCs w:val="22"/>
                <w:shd w:val="clear" w:color="auto" w:fill="EAEEF3"/>
              </w:rPr>
              <w:t>P33_a_mobilisé_comme_technique_spécifique (a_été_la_technique_spécifique_mise_en_œuvre_dans)</w:t>
            </w:r>
            <w:r>
              <w:t xml:space="preserve"> : </w:t>
            </w:r>
            <w:r>
              <w:rPr>
                <w:rFonts w:ascii="Consolas" w:eastAsia="Consolas" w:hAnsi="Consolas" w:cs="Consolas"/>
                <w:sz w:val="22"/>
                <w:szCs w:val="22"/>
                <w:shd w:val="clear" w:color="auto" w:fill="EAEEF3"/>
              </w:rPr>
              <w:t>E29_Conceptualisation_ou_procédure</w:t>
            </w:r>
          </w:p>
          <w:p w14:paraId="2957626E" w14:textId="77777777" w:rsidR="00BF18CF" w:rsidRDefault="00E51347">
            <w:r>
              <w:rPr>
                <w:rFonts w:ascii="Consolas" w:eastAsia="Consolas" w:hAnsi="Consolas" w:cs="Consolas"/>
                <w:sz w:val="22"/>
                <w:szCs w:val="22"/>
                <w:shd w:val="clear" w:color="auto" w:fill="EAEEF3"/>
              </w:rPr>
              <w:t>P125_a_mobilisé_l'objet_du_type (a_été_le_type_d’objet_employé_pour)</w:t>
            </w:r>
            <w:r>
              <w:t xml:space="preserve"> : </w:t>
            </w:r>
            <w:r>
              <w:rPr>
                <w:rFonts w:ascii="Consolas" w:eastAsia="Consolas" w:hAnsi="Consolas" w:cs="Consolas"/>
                <w:sz w:val="22"/>
                <w:szCs w:val="22"/>
                <w:shd w:val="clear" w:color="auto" w:fill="EAEEF3"/>
              </w:rPr>
              <w:t>E55_Type</w:t>
            </w:r>
          </w:p>
          <w:p w14:paraId="1867D8F3" w14:textId="77777777" w:rsidR="00BF18CF" w:rsidRDefault="00E51347">
            <w:r>
              <w:rPr>
                <w:rFonts w:ascii="Consolas" w:eastAsia="Consolas" w:hAnsi="Consolas" w:cs="Consolas"/>
                <w:sz w:val="22"/>
                <w:szCs w:val="22"/>
                <w:shd w:val="clear" w:color="auto" w:fill="EAEEF3"/>
              </w:rPr>
              <w:t xml:space="preserve">P134_a_continué (a_été_continué_par) </w:t>
            </w:r>
            <w:r>
              <w:t xml:space="preserve">: </w:t>
            </w:r>
            <w:r>
              <w:rPr>
                <w:rFonts w:ascii="Consolas" w:eastAsia="Consolas" w:hAnsi="Consolas" w:cs="Consolas"/>
                <w:sz w:val="22"/>
                <w:szCs w:val="22"/>
                <w:shd w:val="clear" w:color="auto" w:fill="EAEEF3"/>
              </w:rPr>
              <w:t>E7_Activité</w:t>
            </w:r>
          </w:p>
        </w:tc>
      </w:tr>
      <w:tr w:rsidR="00BF18CF" w14:paraId="122FCB54" w14:textId="77777777" w:rsidTr="00BF18CF">
        <w:tc>
          <w:tcPr>
            <w:tcW w:w="1700" w:type="dxa"/>
          </w:tcPr>
          <w:p w14:paraId="4489052E" w14:textId="0F37030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90" w:type="dxa"/>
          </w:tcPr>
          <w:p w14:paraId="579884C2" w14:textId="77777777" w:rsidR="00BF18CF" w:rsidRDefault="00E51347">
            <w:r>
              <w:t xml:space="preserve">La traduction la plus adéquate de « custody » serait « garde » selon Termium Plus, notamment pour le domaine muséologique. Le terme « transfert » a un sens plus général que « transmission », qui est limité au domaine légal. Or, comme la note d’application de </w:t>
            </w:r>
            <w:r>
              <w:rPr>
                <w:rFonts w:ascii="Consolas" w:eastAsia="Consolas" w:hAnsi="Consolas" w:cs="Consolas"/>
                <w:sz w:val="22"/>
                <w:szCs w:val="22"/>
                <w:shd w:val="clear" w:color="auto" w:fill="EAEEF3"/>
              </w:rPr>
              <w:t>E10_Transfert_of_Custody</w:t>
            </w:r>
            <w:r>
              <w:t xml:space="preserve"> est la possession du bien, légale ou non (p. ex. vol), le terme le « transfert » est à privilégier.</w:t>
            </w:r>
          </w:p>
          <w:p w14:paraId="1129F885" w14:textId="77777777" w:rsidR="00BF18CF" w:rsidRDefault="00E51347">
            <w:r>
              <w:t>Le terme « joining » a été traduit par « adhésion », mais d’autres termes pourraient être privilégiés, comme « intégration ».</w:t>
            </w:r>
          </w:p>
        </w:tc>
      </w:tr>
      <w:tr w:rsidR="00BF18CF" w14:paraId="2454C404" w14:textId="77777777" w:rsidTr="00BF18CF">
        <w:tc>
          <w:tcPr>
            <w:tcW w:w="1700" w:type="dxa"/>
          </w:tcPr>
          <w:p w14:paraId="4E98142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90" w:type="dxa"/>
          </w:tcPr>
          <w:p w14:paraId="3B4A16AD" w14:textId="77777777" w:rsidR="00BF18CF" w:rsidRDefault="00E51347">
            <w:r w:rsidRPr="00EE61A5">
              <w:rPr>
                <w:lang w:val="en-CA"/>
              </w:rPr>
              <w:t xml:space="preserve">Termium. « custody ». Dans </w:t>
            </w:r>
            <w:r w:rsidRPr="00EE61A5">
              <w:rPr>
                <w:i/>
                <w:lang w:val="en-CA"/>
              </w:rPr>
              <w:t>Termium Plus</w:t>
            </w:r>
            <w:r w:rsidRPr="00EE61A5">
              <w:rPr>
                <w:lang w:val="en-CA"/>
              </w:rPr>
              <w:t xml:space="preserve">. </w:t>
            </w:r>
            <w:r>
              <w:t>Ottawa, CA-ON: Gouvernement du Canada, 2022.</w:t>
            </w:r>
            <w:hyperlink r:id="rId372" w:anchor="resultrecs">
              <w:r>
                <w:rPr>
                  <w:color w:val="4F81BD"/>
                </w:rPr>
                <w:t xml:space="preserve"> https://www.btb.termiumplus.gc.ca/tpv2alpha/alpha-fra.html?lang=fra&amp;i=1&amp;srchtxt=custody&amp;codom2nd_wet=1#resultrecs</w:t>
              </w:r>
            </w:hyperlink>
            <w:r>
              <w:t>.</w:t>
            </w:r>
          </w:p>
        </w:tc>
      </w:tr>
    </w:tbl>
    <w:p w14:paraId="62F086C5" w14:textId="77777777" w:rsidR="00BF18CF" w:rsidRDefault="00E51347">
      <w:pPr>
        <w:pStyle w:val="Heading3"/>
      </w:pPr>
      <w:bookmarkStart w:id="117" w:name="bookmark=id.3hv69ve" w:colFirst="0" w:colLast="0"/>
      <w:bookmarkStart w:id="118" w:name="_Toc144360801"/>
      <w:bookmarkEnd w:id="117"/>
      <w:r>
        <w:t>E8 Acquisition</w:t>
      </w:r>
      <w:bookmarkEnd w:id="118"/>
    </w:p>
    <w:tbl>
      <w:tblPr>
        <w:tblStyle w:val="a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16"/>
        <w:gridCol w:w="8974"/>
      </w:tblGrid>
      <w:tr w:rsidR="00BF18CF" w14:paraId="17042011" w14:textId="77777777" w:rsidTr="00BF18CF">
        <w:tc>
          <w:tcPr>
            <w:tcW w:w="1716" w:type="dxa"/>
          </w:tcPr>
          <w:p w14:paraId="406F320C"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74" w:type="dxa"/>
          </w:tcPr>
          <w:p w14:paraId="04DFC137" w14:textId="77777777" w:rsidR="00BF18CF" w:rsidRDefault="00E51347">
            <w:r>
              <w:rPr>
                <w:rFonts w:ascii="Consolas" w:eastAsia="Consolas" w:hAnsi="Consolas" w:cs="Consolas"/>
                <w:sz w:val="22"/>
                <w:szCs w:val="22"/>
                <w:shd w:val="clear" w:color="auto" w:fill="EAEEF3"/>
              </w:rPr>
              <w:t>E7_Activité</w:t>
            </w:r>
          </w:p>
        </w:tc>
      </w:tr>
      <w:tr w:rsidR="00BF18CF" w14:paraId="62098B89" w14:textId="77777777" w:rsidTr="00BF18CF">
        <w:tc>
          <w:tcPr>
            <w:tcW w:w="1716" w:type="dxa"/>
          </w:tcPr>
          <w:p w14:paraId="144EF1CA"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74" w:type="dxa"/>
          </w:tcPr>
          <w:p w14:paraId="339E7C0B" w14:textId="77777777" w:rsidR="00BF18CF" w:rsidRDefault="00E51347">
            <w:r>
              <w:rPr>
                <w:rFonts w:ascii="Consolas" w:eastAsia="Consolas" w:hAnsi="Consolas" w:cs="Consolas"/>
                <w:sz w:val="22"/>
                <w:szCs w:val="22"/>
                <w:shd w:val="clear" w:color="auto" w:fill="EAEEF3"/>
              </w:rPr>
              <w:t>E96_Achat</w:t>
            </w:r>
          </w:p>
        </w:tc>
      </w:tr>
      <w:tr w:rsidR="00BF18CF" w14:paraId="25FB63A8" w14:textId="77777777" w:rsidTr="00BF18CF">
        <w:tc>
          <w:tcPr>
            <w:tcW w:w="1716" w:type="dxa"/>
          </w:tcPr>
          <w:p w14:paraId="233AE2E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74" w:type="dxa"/>
          </w:tcPr>
          <w:p w14:paraId="2520AE56" w14:textId="77777777" w:rsidR="00BF18CF" w:rsidRDefault="00E51347">
            <w:r>
              <w:t xml:space="preserve">Cette classe comprend les transferts de propriété légale d'une ou de plusieurs instances de </w:t>
            </w:r>
            <w:r>
              <w:rPr>
                <w:rFonts w:ascii="Consolas" w:eastAsia="Consolas" w:hAnsi="Consolas" w:cs="Consolas"/>
                <w:sz w:val="22"/>
                <w:szCs w:val="22"/>
                <w:shd w:val="clear" w:color="auto" w:fill="EAEEF3"/>
              </w:rPr>
              <w:t>E39_Actant</w:t>
            </w:r>
            <w:r>
              <w:t xml:space="preserve"> à une ou plusieurs instances de </w:t>
            </w:r>
            <w:r>
              <w:rPr>
                <w:rFonts w:ascii="Consolas" w:eastAsia="Consolas" w:hAnsi="Consolas" w:cs="Consolas"/>
                <w:sz w:val="22"/>
                <w:szCs w:val="22"/>
                <w:shd w:val="clear" w:color="auto" w:fill="EAEEF3"/>
              </w:rPr>
              <w:t>E39_Actant</w:t>
            </w:r>
            <w:r>
              <w:t>.</w:t>
            </w:r>
          </w:p>
          <w:p w14:paraId="71CCE5F7" w14:textId="77777777" w:rsidR="00BF18CF" w:rsidRDefault="00E51347">
            <w:r>
              <w:lastRenderedPageBreak/>
              <w:t xml:space="preserve">Cette classe s'applique aussi à l'établissement ou à la perte de propriété d'instances de </w:t>
            </w:r>
            <w:r>
              <w:rPr>
                <w:rFonts w:ascii="Consolas" w:eastAsia="Consolas" w:hAnsi="Consolas" w:cs="Consolas"/>
                <w:sz w:val="22"/>
                <w:szCs w:val="22"/>
                <w:shd w:val="clear" w:color="auto" w:fill="EAEEF3"/>
              </w:rPr>
              <w:t>E18_Chose_matérielle</w:t>
            </w:r>
            <w:r>
              <w:t>. Cependant, elle n'implique pas de changements quant à d'autres types de droits.</w:t>
            </w:r>
          </w:p>
          <w:p w14:paraId="5C9F34EE" w14:textId="77777777" w:rsidR="00BF18CF" w:rsidRDefault="00E51347">
            <w:r>
              <w:t xml:space="preserve">Le recensement du donneur et/ou du receveur de la propriété est optionnel et il est possible qu'une instance de </w:t>
            </w:r>
            <w:r>
              <w:rPr>
                <w:rFonts w:ascii="Consolas" w:eastAsia="Consolas" w:hAnsi="Consolas" w:cs="Consolas"/>
                <w:sz w:val="22"/>
                <w:szCs w:val="22"/>
                <w:shd w:val="clear" w:color="auto" w:fill="EAEEF3"/>
              </w:rPr>
              <w:t>E8_Acquisition</w:t>
            </w:r>
            <w:r>
              <w:t xml:space="preserve"> n'ait pas de donneur ou pas de receveur. En fonction des circonstances, elle peut décrire :</w:t>
            </w:r>
          </w:p>
          <w:p w14:paraId="62BE8692" w14:textId="77777777" w:rsidR="00BF18CF" w:rsidRDefault="00E51347">
            <w:pPr>
              <w:numPr>
                <w:ilvl w:val="0"/>
                <w:numId w:val="19"/>
              </w:numPr>
            </w:pPr>
            <w:r>
              <w:t>Le début de la propriété;</w:t>
            </w:r>
          </w:p>
          <w:p w14:paraId="423D6F66" w14:textId="77777777" w:rsidR="00BF18CF" w:rsidRDefault="00E51347">
            <w:pPr>
              <w:numPr>
                <w:ilvl w:val="0"/>
                <w:numId w:val="19"/>
              </w:numPr>
            </w:pPr>
            <w:r>
              <w:t>La fin de la propriété;</w:t>
            </w:r>
          </w:p>
          <w:p w14:paraId="49E76629" w14:textId="77777777" w:rsidR="00BF18CF" w:rsidRDefault="00E51347">
            <w:pPr>
              <w:numPr>
                <w:ilvl w:val="0"/>
                <w:numId w:val="19"/>
              </w:numPr>
            </w:pPr>
            <w:r>
              <w:t>Le transfert de la propriété;</w:t>
            </w:r>
          </w:p>
          <w:p w14:paraId="4D46FF05" w14:textId="77777777" w:rsidR="00BF18CF" w:rsidRDefault="00E51347">
            <w:pPr>
              <w:numPr>
                <w:ilvl w:val="0"/>
                <w:numId w:val="19"/>
              </w:numPr>
            </w:pPr>
            <w:r>
              <w:t>L'acquisition auprès d'une source inconnue;</w:t>
            </w:r>
          </w:p>
          <w:p w14:paraId="37B251A3" w14:textId="77777777" w:rsidR="00BF18CF" w:rsidRDefault="00E51347">
            <w:pPr>
              <w:numPr>
                <w:ilvl w:val="0"/>
                <w:numId w:val="19"/>
              </w:numPr>
            </w:pPr>
            <w:r>
              <w:t>La perte du droit de propriété du fait de la destruction de ce qui en faisait l'objet.</w:t>
            </w:r>
          </w:p>
          <w:p w14:paraId="4EF2A67E" w14:textId="77777777" w:rsidR="00BF18CF" w:rsidRDefault="00E51347">
            <w:r>
              <w:t>Elle peut aussi décrire des évènements lors desquels une personne collectionnant s'approprie un droit de propriété légal du fait, par exemple, de l'annexion d'un ensemble contenant un élément ou de sa collecte sur un terrain.</w:t>
            </w:r>
          </w:p>
          <w:p w14:paraId="4DEA062A" w14:textId="77777777" w:rsidR="00BF18CF" w:rsidRDefault="00E51347">
            <w:r>
              <w:t>L'interprétation de la notion muséale d'accession diffère d'une institution à l'autre, ce qui explique pourquoi le CIDOC CRM modélise différemment la propriété légale (</w:t>
            </w:r>
            <w:r>
              <w:rPr>
                <w:rFonts w:ascii="Consolas" w:eastAsia="Consolas" w:hAnsi="Consolas" w:cs="Consolas"/>
                <w:sz w:val="22"/>
                <w:szCs w:val="22"/>
                <w:shd w:val="clear" w:color="auto" w:fill="EAEEF3"/>
              </w:rPr>
              <w:t>E8_Acquisition</w:t>
            </w:r>
            <w:r>
              <w:t>) et la garde physique d'un élément (</w:t>
            </w:r>
            <w:r>
              <w:rPr>
                <w:rFonts w:ascii="Consolas" w:eastAsia="Consolas" w:hAnsi="Consolas" w:cs="Consolas"/>
                <w:sz w:val="22"/>
                <w:szCs w:val="22"/>
                <w:shd w:val="clear" w:color="auto" w:fill="EAEEF3"/>
              </w:rPr>
              <w:t>E10_Transfert_de_la_garde</w:t>
            </w:r>
            <w:r>
              <w:t>). Ainsi, les institutions peuvent modéliser leurs notions spécifiques d'accession et d'aliénation grâce à une combinaison de ces concepts.</w:t>
            </w:r>
          </w:p>
        </w:tc>
      </w:tr>
      <w:tr w:rsidR="00BF18CF" w14:paraId="603AFD9C" w14:textId="77777777" w:rsidTr="00BF18CF">
        <w:tc>
          <w:tcPr>
            <w:tcW w:w="1716" w:type="dxa"/>
          </w:tcPr>
          <w:p w14:paraId="382AFB2C"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74" w:type="dxa"/>
          </w:tcPr>
          <w:p w14:paraId="63F2AA56" w14:textId="77777777" w:rsidR="00BF18CF" w:rsidRDefault="00E51347">
            <w:pPr>
              <w:numPr>
                <w:ilvl w:val="0"/>
                <w:numId w:val="19"/>
              </w:numPr>
            </w:pPr>
            <w:r>
              <w:t>La collecte d'un requin-marteau du genre Sphyrna Rafinesque, 1810 (ordre des Carcharhiniformes) par John Steinbeck et Edward Ricketts à Puerto Escondido dans le golfe du Mexique le 25 mars 1940 (Steinbeck, 2000)</w:t>
            </w:r>
          </w:p>
          <w:p w14:paraId="6F7D9FE6" w14:textId="77777777" w:rsidR="00BF18CF" w:rsidRDefault="00E51347">
            <w:pPr>
              <w:numPr>
                <w:ilvl w:val="0"/>
                <w:numId w:val="19"/>
              </w:numPr>
            </w:pPr>
            <w:r>
              <w:t xml:space="preserve">L'acquisition de l'œuvre peinte du Greco intitulée </w:t>
            </w:r>
            <w:r>
              <w:rPr>
                <w:i/>
              </w:rPr>
              <w:t>Saint Pierre et Saint Paul</w:t>
            </w:r>
            <w:r>
              <w:t xml:space="preserve"> par le musée d'État de l'Ermitage à Saint-Pétersbourg</w:t>
            </w:r>
            <w:r>
              <w:rPr>
                <w:vertAlign w:val="superscript"/>
              </w:rPr>
              <w:t>1</w:t>
            </w:r>
          </w:p>
          <w:p w14:paraId="416C21A8" w14:textId="77777777" w:rsidR="00BF18CF" w:rsidRDefault="00E51347">
            <w:pPr>
              <w:numPr>
                <w:ilvl w:val="0"/>
                <w:numId w:val="19"/>
              </w:numPr>
            </w:pPr>
            <w:r>
              <w:t xml:space="preserve">La perte de mon pinson empaillé, de l'espèce Fringilla </w:t>
            </w:r>
            <w:proofErr w:type="gramStart"/>
            <w:r>
              <w:t>coelebs  Linnaeus</w:t>
            </w:r>
            <w:proofErr w:type="gramEnd"/>
            <w:r>
              <w:t>, 1758, en raison de dommages infligés par des insectes l'année dernière (fictif)</w:t>
            </w:r>
          </w:p>
          <w:p w14:paraId="6C540178" w14:textId="77777777" w:rsidR="00BF18CF" w:rsidRDefault="000467B7">
            <w:r>
              <w:pict w14:anchorId="3A7F1E65">
                <v:rect id="_x0000_i1030" style="width:0;height:1.5pt" o:hralign="center" o:hrstd="t" o:hr="t" fillcolor="#a0a0a0" stroked="f"/>
              </w:pict>
            </w:r>
          </w:p>
          <w:p w14:paraId="6DC957D2" w14:textId="77777777" w:rsidR="00BF18CF" w:rsidRDefault="00E51347">
            <w:r>
              <w:rPr>
                <w:vertAlign w:val="superscript"/>
              </w:rPr>
              <w:t>1 </w:t>
            </w:r>
            <w:r>
              <w:t>https://hermitagemuseum.org/wps/portal/hermitage/digital-collection/01.+Paintings/32730</w:t>
            </w:r>
          </w:p>
        </w:tc>
      </w:tr>
      <w:tr w:rsidR="00BF18CF" w14:paraId="02A3FBBF" w14:textId="77777777" w:rsidTr="00BF18CF">
        <w:tc>
          <w:tcPr>
            <w:tcW w:w="1716" w:type="dxa"/>
          </w:tcPr>
          <w:p w14:paraId="5220404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74" w:type="dxa"/>
          </w:tcPr>
          <w:p w14:paraId="3A4EF89A" w14:textId="77777777" w:rsidR="00BF18CF" w:rsidRDefault="00E51347">
            <w:r>
              <w:t>E8(x) ⇒ E7(x)</w:t>
            </w:r>
          </w:p>
        </w:tc>
      </w:tr>
      <w:tr w:rsidR="00BF18CF" w14:paraId="13FCE30F" w14:textId="77777777" w:rsidTr="00BF18CF">
        <w:tc>
          <w:tcPr>
            <w:tcW w:w="1716" w:type="dxa"/>
          </w:tcPr>
          <w:p w14:paraId="67FD930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74" w:type="dxa"/>
          </w:tcPr>
          <w:p w14:paraId="05FE0F59" w14:textId="77777777" w:rsidR="00BF18CF" w:rsidRDefault="00E51347">
            <w:r>
              <w:rPr>
                <w:rFonts w:ascii="Consolas" w:eastAsia="Consolas" w:hAnsi="Consolas" w:cs="Consolas"/>
                <w:sz w:val="22"/>
                <w:szCs w:val="22"/>
                <w:shd w:val="clear" w:color="auto" w:fill="EAEEF3"/>
              </w:rPr>
              <w:t>P22_a_transféré_le_titre_de_propriété_à (a_acquis_le_titre_de_propriété_par)</w:t>
            </w:r>
            <w:r>
              <w:t xml:space="preserve"> : </w:t>
            </w:r>
            <w:r>
              <w:rPr>
                <w:rFonts w:ascii="Consolas" w:eastAsia="Consolas" w:hAnsi="Consolas" w:cs="Consolas"/>
                <w:sz w:val="22"/>
                <w:szCs w:val="22"/>
                <w:shd w:val="clear" w:color="auto" w:fill="EAEEF3"/>
              </w:rPr>
              <w:t>E39_Actant</w:t>
            </w:r>
          </w:p>
          <w:p w14:paraId="7E9F7C5B" w14:textId="77777777" w:rsidR="00BF18CF" w:rsidRDefault="00E51347">
            <w:r>
              <w:rPr>
                <w:rFonts w:ascii="Consolas" w:eastAsia="Consolas" w:hAnsi="Consolas" w:cs="Consolas"/>
                <w:sz w:val="22"/>
                <w:szCs w:val="22"/>
                <w:shd w:val="clear" w:color="auto" w:fill="EAEEF3"/>
              </w:rPr>
              <w:t>P23_a_transféré_le_titre_de_propriété_de (a_cédé_le_titre_de_propriété_à)</w:t>
            </w:r>
            <w:r>
              <w:t xml:space="preserve"> : </w:t>
            </w:r>
            <w:r>
              <w:rPr>
                <w:rFonts w:ascii="Consolas" w:eastAsia="Consolas" w:hAnsi="Consolas" w:cs="Consolas"/>
                <w:sz w:val="22"/>
                <w:szCs w:val="22"/>
                <w:shd w:val="clear" w:color="auto" w:fill="EAEEF3"/>
              </w:rPr>
              <w:t>E39_Actant</w:t>
            </w:r>
          </w:p>
          <w:p w14:paraId="4772A3A6" w14:textId="77777777" w:rsidR="00BF18CF" w:rsidRDefault="00E51347">
            <w:r>
              <w:rPr>
                <w:rFonts w:ascii="Consolas" w:eastAsia="Consolas" w:hAnsi="Consolas" w:cs="Consolas"/>
                <w:sz w:val="22"/>
                <w:szCs w:val="22"/>
                <w:shd w:val="clear" w:color="auto" w:fill="EAEEF3"/>
              </w:rPr>
              <w:t>P24_a_transféré_le_titre_de_propriété_de (a_changé_de_propriétaire_par)</w:t>
            </w:r>
            <w:r>
              <w:t xml:space="preserve"> : </w:t>
            </w:r>
            <w:r>
              <w:rPr>
                <w:rFonts w:ascii="Consolas" w:eastAsia="Consolas" w:hAnsi="Consolas" w:cs="Consolas"/>
                <w:sz w:val="22"/>
                <w:szCs w:val="22"/>
                <w:shd w:val="clear" w:color="auto" w:fill="EAEEF3"/>
              </w:rPr>
              <w:t>E18_Chose_matérielle</w:t>
            </w:r>
          </w:p>
        </w:tc>
      </w:tr>
      <w:tr w:rsidR="00BF18CF" w14:paraId="67F6F333" w14:textId="77777777" w:rsidTr="00BF18CF">
        <w:tc>
          <w:tcPr>
            <w:tcW w:w="1716" w:type="dxa"/>
          </w:tcPr>
          <w:p w14:paraId="679F826D" w14:textId="1E3F05DA"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974" w:type="dxa"/>
          </w:tcPr>
          <w:p w14:paraId="6D5B707A" w14:textId="77777777" w:rsidR="00BF18CF" w:rsidRDefault="00BF18CF">
            <w:pPr>
              <w:pBdr>
                <w:top w:val="nil"/>
                <w:left w:val="nil"/>
                <w:bottom w:val="nil"/>
                <w:right w:val="nil"/>
                <w:between w:val="nil"/>
              </w:pBdr>
              <w:spacing w:before="36" w:after="36"/>
              <w:rPr>
                <w:color w:val="000000"/>
              </w:rPr>
            </w:pPr>
          </w:p>
        </w:tc>
      </w:tr>
      <w:tr w:rsidR="00BF18CF" w14:paraId="047087D3" w14:textId="77777777" w:rsidTr="00BF18CF">
        <w:tc>
          <w:tcPr>
            <w:tcW w:w="1716" w:type="dxa"/>
          </w:tcPr>
          <w:p w14:paraId="07DCE78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74" w:type="dxa"/>
          </w:tcPr>
          <w:p w14:paraId="40AB3DD9" w14:textId="77777777" w:rsidR="00BF18CF" w:rsidRDefault="00BF18CF">
            <w:pPr>
              <w:pBdr>
                <w:top w:val="nil"/>
                <w:left w:val="nil"/>
                <w:bottom w:val="nil"/>
                <w:right w:val="nil"/>
                <w:between w:val="nil"/>
              </w:pBdr>
              <w:spacing w:before="36" w:after="36"/>
              <w:rPr>
                <w:color w:val="000000"/>
              </w:rPr>
            </w:pPr>
          </w:p>
        </w:tc>
      </w:tr>
    </w:tbl>
    <w:p w14:paraId="6C1762E5" w14:textId="77777777" w:rsidR="00BF18CF" w:rsidRDefault="00E51347">
      <w:pPr>
        <w:pStyle w:val="Heading3"/>
      </w:pPr>
      <w:bookmarkStart w:id="119" w:name="bookmark=id.1x0gk37" w:colFirst="0" w:colLast="0"/>
      <w:bookmarkStart w:id="120" w:name="_Toc144360802"/>
      <w:bookmarkEnd w:id="119"/>
      <w:r>
        <w:t>E9 Déplacement</w:t>
      </w:r>
      <w:bookmarkEnd w:id="120"/>
    </w:p>
    <w:tbl>
      <w:tblPr>
        <w:tblStyle w:val="affffb"/>
        <w:tblW w:w="10686" w:type="dxa"/>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0"/>
        <w:gridCol w:w="8946"/>
      </w:tblGrid>
      <w:tr w:rsidR="00BF18CF" w14:paraId="7F8DD4BA" w14:textId="77777777" w:rsidTr="00BF18CF">
        <w:tc>
          <w:tcPr>
            <w:tcW w:w="1740" w:type="dxa"/>
          </w:tcPr>
          <w:p w14:paraId="5839E2B3"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3FBAE271" w14:textId="77777777" w:rsidR="00BF18CF" w:rsidRDefault="00E51347">
            <w:r>
              <w:rPr>
                <w:rFonts w:ascii="Consolas" w:eastAsia="Consolas" w:hAnsi="Consolas" w:cs="Consolas"/>
                <w:sz w:val="22"/>
                <w:szCs w:val="22"/>
                <w:shd w:val="clear" w:color="auto" w:fill="EAEEF3"/>
              </w:rPr>
              <w:t>E7_Activité</w:t>
            </w:r>
          </w:p>
        </w:tc>
      </w:tr>
      <w:tr w:rsidR="00BF18CF" w14:paraId="6FCC73AC" w14:textId="77777777" w:rsidTr="00BF18CF">
        <w:tc>
          <w:tcPr>
            <w:tcW w:w="1740" w:type="dxa"/>
          </w:tcPr>
          <w:p w14:paraId="7F26CEF0"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0EDDD8A2" w14:textId="77777777" w:rsidR="00BF18CF" w:rsidRDefault="00BF18CF">
            <w:pPr>
              <w:pBdr>
                <w:top w:val="nil"/>
                <w:left w:val="nil"/>
                <w:bottom w:val="nil"/>
                <w:right w:val="nil"/>
                <w:between w:val="nil"/>
              </w:pBdr>
              <w:spacing w:before="36" w:after="36"/>
              <w:rPr>
                <w:color w:val="000000"/>
              </w:rPr>
            </w:pPr>
          </w:p>
        </w:tc>
      </w:tr>
      <w:tr w:rsidR="00BF18CF" w14:paraId="740C95EA" w14:textId="77777777" w:rsidTr="00BF18CF">
        <w:tc>
          <w:tcPr>
            <w:tcW w:w="1740" w:type="dxa"/>
          </w:tcPr>
          <w:p w14:paraId="117E8FDD"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3F61C6DC" w14:textId="77777777" w:rsidR="00BF18CF" w:rsidRDefault="00E51347">
            <w:r>
              <w:t xml:space="preserve">Cette classe comprend les changements de localisation physique des instances de </w:t>
            </w:r>
            <w:r>
              <w:rPr>
                <w:rFonts w:ascii="Consolas" w:eastAsia="Consolas" w:hAnsi="Consolas" w:cs="Consolas"/>
                <w:sz w:val="22"/>
                <w:szCs w:val="22"/>
                <w:shd w:val="clear" w:color="auto" w:fill="EAEEF3"/>
              </w:rPr>
              <w:t>E19_Objet_matériel</w:t>
            </w:r>
            <w:r>
              <w:t>.</w:t>
            </w:r>
          </w:p>
          <w:p w14:paraId="2516BAE4" w14:textId="77777777" w:rsidR="00BF18CF" w:rsidRDefault="00E51347">
            <w:r>
              <w:t xml:space="preserve">À noter que la classe </w:t>
            </w:r>
            <w:r>
              <w:rPr>
                <w:rFonts w:ascii="Consolas" w:eastAsia="Consolas" w:hAnsi="Consolas" w:cs="Consolas"/>
                <w:sz w:val="22"/>
                <w:szCs w:val="22"/>
                <w:shd w:val="clear" w:color="auto" w:fill="EAEEF3"/>
              </w:rPr>
              <w:t>E9_Déplacement</w:t>
            </w:r>
            <w:r>
              <w:t xml:space="preserve"> hérite de la propriété </w:t>
            </w:r>
            <w:r>
              <w:rPr>
                <w:rFonts w:ascii="Consolas" w:eastAsia="Consolas" w:hAnsi="Consolas" w:cs="Consolas"/>
                <w:sz w:val="22"/>
                <w:szCs w:val="22"/>
                <w:shd w:val="clear" w:color="auto" w:fill="EAEEF3"/>
              </w:rPr>
              <w:t xml:space="preserve">P7_a_eu_lieu_dans (a_été_témoin_de) </w:t>
            </w:r>
            <w:r>
              <w:t xml:space="preserve">: </w:t>
            </w:r>
            <w:r>
              <w:rPr>
                <w:rFonts w:ascii="Consolas" w:eastAsia="Consolas" w:hAnsi="Consolas" w:cs="Consolas"/>
                <w:sz w:val="22"/>
                <w:szCs w:val="22"/>
                <w:shd w:val="clear" w:color="auto" w:fill="EAEEF3"/>
              </w:rPr>
              <w:t>E53_Lieu</w:t>
            </w:r>
            <w:r>
              <w:t xml:space="preserve">. Cette propriété doit être utilisée pour décrire la trajectoire ou la zone géographique plus large dans laquelle un déplacement a lieu, tandis que les propriétés </w:t>
            </w:r>
            <w:r>
              <w:rPr>
                <w:rFonts w:ascii="Consolas" w:eastAsia="Consolas" w:hAnsi="Consolas" w:cs="Consolas"/>
                <w:sz w:val="22"/>
                <w:szCs w:val="22"/>
                <w:shd w:val="clear" w:color="auto" w:fill="EAEEF3"/>
              </w:rPr>
              <w:t>P26_a_déplacé_vers (a_été_la_destination_de)</w:t>
            </w:r>
            <w:r>
              <w:t xml:space="preserve"> et </w:t>
            </w:r>
            <w:r>
              <w:rPr>
                <w:rFonts w:ascii="Consolas" w:eastAsia="Consolas" w:hAnsi="Consolas" w:cs="Consolas"/>
                <w:sz w:val="22"/>
                <w:szCs w:val="22"/>
                <w:shd w:val="clear" w:color="auto" w:fill="EAEEF3"/>
              </w:rPr>
              <w:t>P27_a_déplacé_depuis (a_été_le_point_de_départ_de)</w:t>
            </w:r>
            <w:r>
              <w:t xml:space="preserve"> décrivent uniquement les points de départ et d’arrivée. Les instances de </w:t>
            </w:r>
            <w:r>
              <w:rPr>
                <w:rFonts w:ascii="Consolas" w:eastAsia="Consolas" w:hAnsi="Consolas" w:cs="Consolas"/>
                <w:sz w:val="22"/>
                <w:szCs w:val="22"/>
                <w:shd w:val="clear" w:color="auto" w:fill="EAEEF3"/>
              </w:rPr>
              <w:t>E9_Déplacement</w:t>
            </w:r>
            <w:r>
              <w:t xml:space="preserve"> peuvent également être documentées de telle manière qu'elles comprennent d'autres déplacements (via </w:t>
            </w:r>
            <w:r>
              <w:rPr>
                <w:rFonts w:ascii="Consolas" w:eastAsia="Consolas" w:hAnsi="Consolas" w:cs="Consolas"/>
                <w:sz w:val="22"/>
                <w:szCs w:val="22"/>
                <w:shd w:val="clear" w:color="auto" w:fill="EAEEF3"/>
              </w:rPr>
              <w:t>P9_comprend (fait_partie_de)</w:t>
            </w:r>
            <w:r>
              <w:t>) afin de décrire des étapes intermédiaires d'une trajectoire. Dans ce cas, il faut assurer la correspondance des points de départ et d'arrivée des déplacements intermédiaires, que ce soit entre eux ou avec l'évènement global.</w:t>
            </w:r>
          </w:p>
        </w:tc>
      </w:tr>
      <w:tr w:rsidR="00BF18CF" w14:paraId="5FD1B39D" w14:textId="77777777" w:rsidTr="00BF18CF">
        <w:tc>
          <w:tcPr>
            <w:tcW w:w="1740" w:type="dxa"/>
          </w:tcPr>
          <w:p w14:paraId="21E03117"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6" w:type="dxa"/>
          </w:tcPr>
          <w:p w14:paraId="30C7F53B" w14:textId="77777777" w:rsidR="00BF18CF" w:rsidRDefault="00E51347">
            <w:pPr>
              <w:numPr>
                <w:ilvl w:val="0"/>
                <w:numId w:val="19"/>
              </w:numPr>
            </w:pPr>
            <w:r>
              <w:t>La relocalisation du pont de Londres du Royaume-Uni vers les États-Unis (Wildfang, 2005)</w:t>
            </w:r>
          </w:p>
          <w:p w14:paraId="0217A2EB" w14:textId="77777777" w:rsidR="00BF18CF" w:rsidRDefault="00E51347">
            <w:pPr>
              <w:numPr>
                <w:ilvl w:val="0"/>
                <w:numId w:val="19"/>
              </w:numPr>
            </w:pPr>
            <w:r>
              <w:t>Le déplacement de l’exposition « Trésors du pharaon d’or » entre le 15 septembre et le 2 novembre 2019</w:t>
            </w:r>
          </w:p>
        </w:tc>
      </w:tr>
      <w:tr w:rsidR="00BF18CF" w14:paraId="0ECD0581" w14:textId="77777777" w:rsidTr="00BF18CF">
        <w:tc>
          <w:tcPr>
            <w:tcW w:w="1740" w:type="dxa"/>
          </w:tcPr>
          <w:p w14:paraId="0AE4684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6" w:type="dxa"/>
          </w:tcPr>
          <w:p w14:paraId="77804466" w14:textId="77777777" w:rsidR="00BF18CF" w:rsidRDefault="00E51347">
            <w:r>
              <w:t>E9(x) ⇒ E7(x)</w:t>
            </w:r>
          </w:p>
        </w:tc>
      </w:tr>
      <w:tr w:rsidR="00BF18CF" w14:paraId="228F5A22" w14:textId="77777777" w:rsidTr="00BF18CF">
        <w:tc>
          <w:tcPr>
            <w:tcW w:w="1740" w:type="dxa"/>
          </w:tcPr>
          <w:p w14:paraId="6A58D07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6C437F89" w14:textId="77777777" w:rsidR="00BF18CF" w:rsidRDefault="00E51347">
            <w:r>
              <w:rPr>
                <w:rFonts w:ascii="Consolas" w:eastAsia="Consolas" w:hAnsi="Consolas" w:cs="Consolas"/>
                <w:sz w:val="22"/>
                <w:szCs w:val="22"/>
                <w:shd w:val="clear" w:color="auto" w:fill="EAEEF3"/>
              </w:rPr>
              <w:t>P25_a_déplacé (a_été_déplacé_par)</w:t>
            </w:r>
            <w:r>
              <w:t xml:space="preserve"> : </w:t>
            </w:r>
            <w:r>
              <w:rPr>
                <w:rFonts w:ascii="Consolas" w:eastAsia="Consolas" w:hAnsi="Consolas" w:cs="Consolas"/>
                <w:sz w:val="22"/>
                <w:szCs w:val="22"/>
                <w:shd w:val="clear" w:color="auto" w:fill="EAEEF3"/>
              </w:rPr>
              <w:t>E19_Objet_matériel</w:t>
            </w:r>
          </w:p>
          <w:p w14:paraId="74809E15" w14:textId="77777777" w:rsidR="00BF18CF" w:rsidRDefault="00E51347">
            <w:r>
              <w:rPr>
                <w:rFonts w:ascii="Consolas" w:eastAsia="Consolas" w:hAnsi="Consolas" w:cs="Consolas"/>
                <w:sz w:val="22"/>
                <w:szCs w:val="22"/>
                <w:shd w:val="clear" w:color="auto" w:fill="EAEEF3"/>
              </w:rPr>
              <w:t>P26_a_déplacé_à (a_été_la_destination_de)</w:t>
            </w:r>
            <w:r>
              <w:t xml:space="preserve"> : </w:t>
            </w:r>
            <w:r>
              <w:rPr>
                <w:rFonts w:ascii="Consolas" w:eastAsia="Consolas" w:hAnsi="Consolas" w:cs="Consolas"/>
                <w:sz w:val="22"/>
                <w:szCs w:val="22"/>
                <w:shd w:val="clear" w:color="auto" w:fill="EAEEF3"/>
              </w:rPr>
              <w:t>E53_Lieu</w:t>
            </w:r>
          </w:p>
          <w:p w14:paraId="053D7A74" w14:textId="77777777" w:rsidR="00BF18CF" w:rsidRDefault="00E51347">
            <w:r>
              <w:rPr>
                <w:rFonts w:ascii="Consolas" w:eastAsia="Consolas" w:hAnsi="Consolas" w:cs="Consolas"/>
                <w:sz w:val="22"/>
                <w:szCs w:val="22"/>
                <w:shd w:val="clear" w:color="auto" w:fill="EAEEF3"/>
              </w:rPr>
              <w:t>P27_a_déplacé_depuis (a_été_le_point_de_départ_de)</w:t>
            </w:r>
            <w:r>
              <w:t xml:space="preserve"> : </w:t>
            </w:r>
            <w:r>
              <w:rPr>
                <w:rFonts w:ascii="Consolas" w:eastAsia="Consolas" w:hAnsi="Consolas" w:cs="Consolas"/>
                <w:sz w:val="22"/>
                <w:szCs w:val="22"/>
                <w:shd w:val="clear" w:color="auto" w:fill="EAEEF3"/>
              </w:rPr>
              <w:t>E53_Lieu</w:t>
            </w:r>
          </w:p>
        </w:tc>
      </w:tr>
      <w:tr w:rsidR="00BF18CF" w14:paraId="097F4D44" w14:textId="77777777" w:rsidTr="00BF18CF">
        <w:tc>
          <w:tcPr>
            <w:tcW w:w="1740" w:type="dxa"/>
          </w:tcPr>
          <w:p w14:paraId="70818159" w14:textId="39F7F1A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334C199C" w14:textId="77777777" w:rsidR="00BF18CF" w:rsidRDefault="00E51347">
            <w:r>
              <w:t>Dans Wikipédia, l’exposition « Tutankhamun: Treasures of the Golden Pharaoh » a été traduite en français par « Trésors du pharaon d’or ». Cette appellation a été reprise ici.</w:t>
            </w:r>
          </w:p>
        </w:tc>
      </w:tr>
      <w:tr w:rsidR="00BF18CF" w14:paraId="45CFBB27" w14:textId="77777777" w:rsidTr="00BF18CF">
        <w:tc>
          <w:tcPr>
            <w:tcW w:w="1740" w:type="dxa"/>
          </w:tcPr>
          <w:p w14:paraId="73C3EA2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3DFA4903" w14:textId="77777777" w:rsidR="00BF18CF" w:rsidRDefault="00E51347">
            <w:r>
              <w:t xml:space="preserve">Wikipédia. « Expositions des vestiges archéologiques provenant de la tombe de Toutânkhamon ». Dans </w:t>
            </w:r>
            <w:r>
              <w:rPr>
                <w:i/>
              </w:rPr>
              <w:t>Wikipédia</w:t>
            </w:r>
            <w:r>
              <w:t>. San Francisco, US-CA: Wikipédia, 30 janvier 2021.</w:t>
            </w:r>
            <w:hyperlink r:id="rId373">
              <w:r>
                <w:rPr>
                  <w:color w:val="4F81BD"/>
                </w:rPr>
                <w:t xml:space="preserve"> https://fr.wikipedia.org/w/index.php?title=Expositions_des_vestiges_arch%C3%A9ologiques_provenant_de_la_tombe_de_Tout%C3%A2nkhamon&amp;oldid=179392035</w:t>
              </w:r>
            </w:hyperlink>
            <w:r>
              <w:t>.</w:t>
            </w:r>
          </w:p>
        </w:tc>
      </w:tr>
    </w:tbl>
    <w:p w14:paraId="4D4B9073" w14:textId="77777777" w:rsidR="00BF18CF" w:rsidRDefault="00E51347">
      <w:pPr>
        <w:pStyle w:val="Heading3"/>
      </w:pPr>
      <w:bookmarkStart w:id="121" w:name="bookmark=id.4h042r0" w:colFirst="0" w:colLast="0"/>
      <w:bookmarkStart w:id="122" w:name="_Toc144360803"/>
      <w:bookmarkEnd w:id="121"/>
      <w:r>
        <w:t>E10 Transfert de la garde</w:t>
      </w:r>
      <w:bookmarkEnd w:id="122"/>
    </w:p>
    <w:tbl>
      <w:tblPr>
        <w:tblStyle w:val="a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2"/>
        <w:gridCol w:w="8948"/>
      </w:tblGrid>
      <w:tr w:rsidR="00BF18CF" w14:paraId="6235B3D3" w14:textId="77777777" w:rsidTr="00BF18CF">
        <w:tc>
          <w:tcPr>
            <w:tcW w:w="1742" w:type="dxa"/>
          </w:tcPr>
          <w:p w14:paraId="66F157FA"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8" w:type="dxa"/>
          </w:tcPr>
          <w:p w14:paraId="53C9079B" w14:textId="77777777" w:rsidR="00BF18CF" w:rsidRDefault="00E51347">
            <w:r>
              <w:rPr>
                <w:rFonts w:ascii="Consolas" w:eastAsia="Consolas" w:hAnsi="Consolas" w:cs="Consolas"/>
                <w:sz w:val="22"/>
                <w:szCs w:val="22"/>
                <w:shd w:val="clear" w:color="auto" w:fill="EAEEF3"/>
              </w:rPr>
              <w:t>E7_Activité</w:t>
            </w:r>
          </w:p>
        </w:tc>
      </w:tr>
      <w:tr w:rsidR="00BF18CF" w14:paraId="28277F4F" w14:textId="77777777" w:rsidTr="00BF18CF">
        <w:tc>
          <w:tcPr>
            <w:tcW w:w="1742" w:type="dxa"/>
          </w:tcPr>
          <w:p w14:paraId="4140A2C8" w14:textId="77777777" w:rsidR="00BF18CF" w:rsidRDefault="00E51347">
            <w:pPr>
              <w:pBdr>
                <w:top w:val="nil"/>
                <w:left w:val="nil"/>
                <w:bottom w:val="nil"/>
                <w:right w:val="nil"/>
                <w:between w:val="nil"/>
              </w:pBdr>
              <w:spacing w:before="36" w:after="36"/>
              <w:rPr>
                <w:color w:val="000000"/>
              </w:rPr>
            </w:pPr>
            <w:r>
              <w:rPr>
                <w:b/>
                <w:color w:val="000000"/>
              </w:rPr>
              <w:lastRenderedPageBreak/>
              <w:t>Super-classe de</w:t>
            </w:r>
          </w:p>
        </w:tc>
        <w:tc>
          <w:tcPr>
            <w:tcW w:w="8948" w:type="dxa"/>
          </w:tcPr>
          <w:p w14:paraId="67B1B988" w14:textId="77777777" w:rsidR="00BF18CF" w:rsidRDefault="00BF18CF">
            <w:pPr>
              <w:pBdr>
                <w:top w:val="nil"/>
                <w:left w:val="nil"/>
                <w:bottom w:val="nil"/>
                <w:right w:val="nil"/>
                <w:between w:val="nil"/>
              </w:pBdr>
              <w:spacing w:before="36" w:after="36"/>
              <w:rPr>
                <w:color w:val="000000"/>
              </w:rPr>
            </w:pPr>
          </w:p>
        </w:tc>
      </w:tr>
      <w:tr w:rsidR="00BF18CF" w14:paraId="416BA765" w14:textId="77777777" w:rsidTr="00BF18CF">
        <w:tc>
          <w:tcPr>
            <w:tcW w:w="1742" w:type="dxa"/>
          </w:tcPr>
          <w:p w14:paraId="0E4BB89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8" w:type="dxa"/>
          </w:tcPr>
          <w:p w14:paraId="09F4555E" w14:textId="77777777" w:rsidR="00BF18CF" w:rsidRDefault="00E51347">
            <w:r>
              <w:t xml:space="preserve">Cette classe comprend les transferts de la garde physique ou de la responsabilité légale de la garde physique d’objets. Le recensement du donneur ou du receveur est optionnel. Il est possible qu’une instance de </w:t>
            </w:r>
            <w:r>
              <w:rPr>
                <w:rFonts w:ascii="Consolas" w:eastAsia="Consolas" w:hAnsi="Consolas" w:cs="Consolas"/>
                <w:sz w:val="22"/>
                <w:szCs w:val="22"/>
                <w:shd w:val="clear" w:color="auto" w:fill="EAEEF3"/>
              </w:rPr>
              <w:t>E10_Transfert_de_la_garde</w:t>
            </w:r>
            <w:r>
              <w:t xml:space="preserve"> n’ait pas de donneur ou pas de receveur.</w:t>
            </w:r>
          </w:p>
          <w:p w14:paraId="7D7B9D95" w14:textId="77777777" w:rsidR="00BF18CF" w:rsidRDefault="00E51347">
            <w:r>
              <w:t>En fonction des circonstances, elle peut décrire:</w:t>
            </w:r>
          </w:p>
          <w:p w14:paraId="0A59644E" w14:textId="77777777" w:rsidR="00BF18CF" w:rsidRDefault="00E51347">
            <w:pPr>
              <w:numPr>
                <w:ilvl w:val="0"/>
                <w:numId w:val="19"/>
              </w:numPr>
            </w:pPr>
            <w:r>
              <w:t>Le début de la garde (il n’existe pas de gardien précédent)</w:t>
            </w:r>
          </w:p>
          <w:p w14:paraId="2269AB87" w14:textId="77777777" w:rsidR="00BF18CF" w:rsidRDefault="00E51347">
            <w:pPr>
              <w:numPr>
                <w:ilvl w:val="0"/>
                <w:numId w:val="19"/>
              </w:numPr>
            </w:pPr>
            <w:r>
              <w:t>La fin de la garde (il n’existe pas de gardien suivant)</w:t>
            </w:r>
          </w:p>
          <w:p w14:paraId="4AE60D72" w14:textId="77777777" w:rsidR="00BF18CF" w:rsidRDefault="00E51347">
            <w:pPr>
              <w:numPr>
                <w:ilvl w:val="0"/>
                <w:numId w:val="19"/>
              </w:numPr>
            </w:pPr>
            <w:r>
              <w:t>Le transfert de la garde (transfert d’un gardien au gardien suivant)</w:t>
            </w:r>
          </w:p>
          <w:p w14:paraId="769E991D" w14:textId="77777777" w:rsidR="00BF18CF" w:rsidRDefault="00E51347">
            <w:pPr>
              <w:numPr>
                <w:ilvl w:val="0"/>
                <w:numId w:val="19"/>
              </w:numPr>
            </w:pPr>
            <w:r>
              <w:t>La réception de la garde provenant d’une source inconnue (le gardien précédent n’est pas connu)</w:t>
            </w:r>
          </w:p>
          <w:p w14:paraId="3D64F169" w14:textId="77777777" w:rsidR="00BF18CF" w:rsidRDefault="00E51347">
            <w:pPr>
              <w:numPr>
                <w:ilvl w:val="0"/>
                <w:numId w:val="19"/>
              </w:numPr>
            </w:pPr>
            <w:r>
              <w:t>La perte déclarée d’un objet (le gardien actuel ou suivant n’est pas connu)</w:t>
            </w:r>
          </w:p>
          <w:p w14:paraId="648E16FE" w14:textId="77777777" w:rsidR="00BF18CF" w:rsidRDefault="00E51347">
            <w:r>
              <w:t xml:space="preserve">Dans l’éventualité où un seul type de transfert de la garde se produit, soit la responsabilité de la garde, soit la possession physique, mais pas les deux, il convient de le préciser en utilisant la propriété </w:t>
            </w:r>
            <w:r>
              <w:rPr>
                <w:rFonts w:ascii="Consolas" w:eastAsia="Consolas" w:hAnsi="Consolas" w:cs="Consolas"/>
                <w:sz w:val="22"/>
                <w:szCs w:val="22"/>
                <w:shd w:val="clear" w:color="auto" w:fill="EAEEF3"/>
              </w:rPr>
              <w:t>P2_a_pour_type (est_le_type_de)</w:t>
            </w:r>
            <w:r>
              <w:t>.</w:t>
            </w:r>
          </w:p>
          <w:p w14:paraId="3A1503E9" w14:textId="77777777" w:rsidR="00BF18CF" w:rsidRDefault="00E51347">
            <w:r>
              <w:t xml:space="preserve">La notion de possession physique implique qu’au moins une portion représentative de l’objet se trouve dans les mains de son gardien. La manière dont on documente la possession de la portion représentative d’un objet doit définir d’une manière non ambiguë quel actant détient cette portion et quelle actant détient l’objet entier et doit être cohérent avec le critère d’identité de l’instance possédée de </w:t>
            </w:r>
            <w:r>
              <w:rPr>
                <w:rFonts w:ascii="Consolas" w:eastAsia="Consolas" w:hAnsi="Consolas" w:cs="Consolas"/>
                <w:sz w:val="22"/>
                <w:szCs w:val="22"/>
                <w:shd w:val="clear" w:color="auto" w:fill="EAEEF3"/>
              </w:rPr>
              <w:t>E18_Chose_matérielle</w:t>
            </w:r>
            <w:r>
              <w:t>.</w:t>
            </w:r>
          </w:p>
          <w:p w14:paraId="5343E23A" w14:textId="77777777" w:rsidR="00BF18CF" w:rsidRDefault="00E51347">
            <w:r>
              <w:t>L’interprétation de la notion muséale d</w:t>
            </w:r>
            <w:proofErr w:type="gramStart"/>
            <w:r>
              <w:t>’«</w:t>
            </w:r>
            <w:proofErr w:type="gramEnd"/>
            <w:r>
              <w:t xml:space="preserve"> accession » diffère selon les institutions. Pour cette raison, le CIDOC CRM modélise séparément la propriété légale et la garde physique d’un objet. Les institutions peuvent ainsi modéliser leurs notions spécifiques d’accession et d’aliénation en les combinant toutes deux.</w:t>
            </w:r>
          </w:p>
          <w:p w14:paraId="6E4AAA14" w14:textId="77777777" w:rsidR="00BF18CF" w:rsidRDefault="00E51347">
            <w:r>
              <w:t>Le vol est un cas spécifique de transfert illégal de la garde.</w:t>
            </w:r>
          </w:p>
        </w:tc>
      </w:tr>
      <w:tr w:rsidR="00BF18CF" w14:paraId="0FCC1576" w14:textId="77777777" w:rsidTr="00BF18CF">
        <w:tc>
          <w:tcPr>
            <w:tcW w:w="1742" w:type="dxa"/>
          </w:tcPr>
          <w:p w14:paraId="5A01975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8" w:type="dxa"/>
          </w:tcPr>
          <w:p w14:paraId="0A17FA04" w14:textId="77777777" w:rsidR="00BF18CF" w:rsidRDefault="00E51347">
            <w:pPr>
              <w:numPr>
                <w:ilvl w:val="0"/>
                <w:numId w:val="19"/>
              </w:numPr>
            </w:pPr>
            <w:r>
              <w:t>La livraison d’œuvres peintes par Secure Deliveries Inc. à la National Gallery</w:t>
            </w:r>
          </w:p>
          <w:p w14:paraId="54DF2645" w14:textId="77777777" w:rsidR="00BF18CF" w:rsidRDefault="00E51347">
            <w:pPr>
              <w:numPr>
                <w:ilvl w:val="0"/>
                <w:numId w:val="19"/>
              </w:numPr>
            </w:pPr>
            <w:r>
              <w:t xml:space="preserve">Le retour du tableau de Picasso </w:t>
            </w:r>
            <w:r>
              <w:rPr>
                <w:i/>
              </w:rPr>
              <w:t>Guernica</w:t>
            </w:r>
            <w:r>
              <w:t xml:space="preserve"> au musée du Prado à Madrid en 1981 (Chipp, 1988)</w:t>
            </w:r>
          </w:p>
        </w:tc>
      </w:tr>
      <w:tr w:rsidR="00BF18CF" w14:paraId="5E40C32A" w14:textId="77777777" w:rsidTr="00BF18CF">
        <w:tc>
          <w:tcPr>
            <w:tcW w:w="1742" w:type="dxa"/>
          </w:tcPr>
          <w:p w14:paraId="2360150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8" w:type="dxa"/>
          </w:tcPr>
          <w:p w14:paraId="38137A1F" w14:textId="77777777" w:rsidR="00BF18CF" w:rsidRDefault="00E51347">
            <w:r>
              <w:t>E10(x) ⇒ E7(x)</w:t>
            </w:r>
          </w:p>
        </w:tc>
      </w:tr>
      <w:tr w:rsidR="00BF18CF" w14:paraId="46926F84" w14:textId="77777777" w:rsidTr="00BF18CF">
        <w:tc>
          <w:tcPr>
            <w:tcW w:w="1742" w:type="dxa"/>
          </w:tcPr>
          <w:p w14:paraId="758BFC2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8" w:type="dxa"/>
          </w:tcPr>
          <w:p w14:paraId="1655FCA1" w14:textId="77777777" w:rsidR="00BF18CF" w:rsidRDefault="00E51347">
            <w:r>
              <w:rPr>
                <w:rFonts w:ascii="Consolas" w:eastAsia="Consolas" w:hAnsi="Consolas" w:cs="Consolas"/>
                <w:sz w:val="22"/>
                <w:szCs w:val="22"/>
                <w:shd w:val="clear" w:color="auto" w:fill="EAEEF3"/>
              </w:rPr>
              <w:t>P28_a_mis_fin_à_la_garde_par (a_cédé_la_garde_par)</w:t>
            </w:r>
            <w:r>
              <w:t xml:space="preserve"> : </w:t>
            </w:r>
            <w:r>
              <w:rPr>
                <w:rFonts w:ascii="Consolas" w:eastAsia="Consolas" w:hAnsi="Consolas" w:cs="Consolas"/>
                <w:sz w:val="22"/>
                <w:szCs w:val="22"/>
                <w:shd w:val="clear" w:color="auto" w:fill="EAEEF3"/>
              </w:rPr>
              <w:t>E39_Actant</w:t>
            </w:r>
          </w:p>
          <w:p w14:paraId="7BC95B77" w14:textId="77777777" w:rsidR="00BF18CF" w:rsidRDefault="00E51347">
            <w:r>
              <w:rPr>
                <w:rFonts w:ascii="Consolas" w:eastAsia="Consolas" w:hAnsi="Consolas" w:cs="Consolas"/>
                <w:sz w:val="22"/>
                <w:szCs w:val="22"/>
                <w:shd w:val="clear" w:color="auto" w:fill="EAEEF3"/>
              </w:rPr>
              <w:t>P29_a_confié_la_garde_par (a_reçu_la_garde_par)</w:t>
            </w:r>
            <w:r>
              <w:t xml:space="preserve"> : </w:t>
            </w:r>
            <w:r>
              <w:rPr>
                <w:rFonts w:ascii="Consolas" w:eastAsia="Consolas" w:hAnsi="Consolas" w:cs="Consolas"/>
                <w:sz w:val="22"/>
                <w:szCs w:val="22"/>
                <w:shd w:val="clear" w:color="auto" w:fill="EAEEF3"/>
              </w:rPr>
              <w:t>E39_Actant</w:t>
            </w:r>
          </w:p>
          <w:p w14:paraId="76C6E029" w14:textId="77777777" w:rsidR="00BF18CF" w:rsidRDefault="00E51347">
            <w:r>
              <w:rPr>
                <w:rFonts w:ascii="Consolas" w:eastAsia="Consolas" w:hAnsi="Consolas" w:cs="Consolas"/>
                <w:sz w:val="22"/>
                <w:szCs w:val="22"/>
                <w:shd w:val="clear" w:color="auto" w:fill="EAEEF3"/>
              </w:rPr>
              <w:t>P30_a_transféré_la_garde_de (a_été_l’objet_d’un_transfert_de_garde_par)</w:t>
            </w:r>
            <w:r>
              <w:t xml:space="preserve"> : </w:t>
            </w:r>
            <w:r>
              <w:rPr>
                <w:rFonts w:ascii="Consolas" w:eastAsia="Consolas" w:hAnsi="Consolas" w:cs="Consolas"/>
                <w:sz w:val="22"/>
                <w:szCs w:val="22"/>
                <w:shd w:val="clear" w:color="auto" w:fill="EAEEF3"/>
              </w:rPr>
              <w:t>E18_Chose_matérielle</w:t>
            </w:r>
          </w:p>
        </w:tc>
      </w:tr>
      <w:tr w:rsidR="00BF18CF" w14:paraId="470C8CBB" w14:textId="77777777" w:rsidTr="00BF18CF">
        <w:tc>
          <w:tcPr>
            <w:tcW w:w="1742" w:type="dxa"/>
          </w:tcPr>
          <w:p w14:paraId="7ACD0712" w14:textId="1DFD21C7"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8" w:type="dxa"/>
          </w:tcPr>
          <w:p w14:paraId="269541DD" w14:textId="77777777" w:rsidR="00BF18CF" w:rsidRDefault="00BF18CF">
            <w:pPr>
              <w:pBdr>
                <w:top w:val="nil"/>
                <w:left w:val="nil"/>
                <w:bottom w:val="nil"/>
                <w:right w:val="nil"/>
                <w:between w:val="nil"/>
              </w:pBdr>
              <w:spacing w:before="36" w:after="36"/>
              <w:rPr>
                <w:color w:val="000000"/>
              </w:rPr>
            </w:pPr>
          </w:p>
        </w:tc>
      </w:tr>
      <w:tr w:rsidR="00BF18CF" w14:paraId="05EA0E85" w14:textId="77777777" w:rsidTr="00BF18CF">
        <w:tc>
          <w:tcPr>
            <w:tcW w:w="1742" w:type="dxa"/>
          </w:tcPr>
          <w:p w14:paraId="477FCCC8"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8948" w:type="dxa"/>
          </w:tcPr>
          <w:p w14:paraId="0CDFEF3F" w14:textId="77777777" w:rsidR="00BF18CF" w:rsidRDefault="00BF18CF">
            <w:pPr>
              <w:pBdr>
                <w:top w:val="nil"/>
                <w:left w:val="nil"/>
                <w:bottom w:val="nil"/>
                <w:right w:val="nil"/>
                <w:between w:val="nil"/>
              </w:pBdr>
              <w:spacing w:before="36" w:after="36"/>
              <w:rPr>
                <w:color w:val="000000"/>
              </w:rPr>
            </w:pPr>
          </w:p>
        </w:tc>
      </w:tr>
    </w:tbl>
    <w:p w14:paraId="7F3BB47E" w14:textId="77777777" w:rsidR="00BF18CF" w:rsidRDefault="00E51347">
      <w:pPr>
        <w:pStyle w:val="Heading3"/>
      </w:pPr>
      <w:bookmarkStart w:id="123" w:name="bookmark=id.2w5ecyt" w:colFirst="0" w:colLast="0"/>
      <w:bookmarkStart w:id="124" w:name="_Toc144360804"/>
      <w:bookmarkEnd w:id="123"/>
      <w:r>
        <w:t>E11 Modification</w:t>
      </w:r>
      <w:bookmarkEnd w:id="124"/>
    </w:p>
    <w:tbl>
      <w:tblPr>
        <w:tblStyle w:val="affffd"/>
        <w:tblW w:w="10688" w:type="dxa"/>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2"/>
        <w:gridCol w:w="8946"/>
      </w:tblGrid>
      <w:tr w:rsidR="00BF18CF" w14:paraId="69276162" w14:textId="77777777" w:rsidTr="00BF18CF">
        <w:tc>
          <w:tcPr>
            <w:tcW w:w="1742" w:type="dxa"/>
          </w:tcPr>
          <w:p w14:paraId="30883E1C"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75C38738" w14:textId="77777777" w:rsidR="00BF18CF" w:rsidRDefault="00E51347">
            <w:r>
              <w:rPr>
                <w:rFonts w:ascii="Consolas" w:eastAsia="Consolas" w:hAnsi="Consolas" w:cs="Consolas"/>
                <w:sz w:val="22"/>
                <w:szCs w:val="22"/>
                <w:shd w:val="clear" w:color="auto" w:fill="EAEEF3"/>
              </w:rPr>
              <w:t>E7_Activité</w:t>
            </w:r>
          </w:p>
        </w:tc>
      </w:tr>
      <w:tr w:rsidR="00BF18CF" w14:paraId="23B35309" w14:textId="77777777" w:rsidTr="00BF18CF">
        <w:tc>
          <w:tcPr>
            <w:tcW w:w="1742" w:type="dxa"/>
          </w:tcPr>
          <w:p w14:paraId="26CFD820"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0EA31034" w14:textId="77777777" w:rsidR="00BF18CF"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E12_Production</w:t>
            </w:r>
          </w:p>
          <w:p w14:paraId="20B166CC" w14:textId="77777777" w:rsidR="00BF18CF" w:rsidRDefault="00E51347">
            <w:r>
              <w:rPr>
                <w:rFonts w:ascii="Consolas" w:eastAsia="Consolas" w:hAnsi="Consolas" w:cs="Consolas"/>
                <w:sz w:val="22"/>
                <w:szCs w:val="22"/>
                <w:shd w:val="clear" w:color="auto" w:fill="EAEEF3"/>
              </w:rPr>
              <w:t>E79_Ajout_d’élément</w:t>
            </w:r>
          </w:p>
          <w:p w14:paraId="50C153A9" w14:textId="77777777" w:rsidR="00BF18CF" w:rsidRDefault="00E51347">
            <w:r>
              <w:rPr>
                <w:rFonts w:ascii="Consolas" w:eastAsia="Consolas" w:hAnsi="Consolas" w:cs="Consolas"/>
                <w:sz w:val="22"/>
                <w:szCs w:val="22"/>
                <w:shd w:val="clear" w:color="auto" w:fill="EAEEF3"/>
              </w:rPr>
              <w:t>E80_Retrait_d’élément</w:t>
            </w:r>
          </w:p>
        </w:tc>
      </w:tr>
      <w:tr w:rsidR="00BF18CF" w14:paraId="27A9CB8F" w14:textId="77777777" w:rsidTr="00BF18CF">
        <w:tc>
          <w:tcPr>
            <w:tcW w:w="1742" w:type="dxa"/>
          </w:tcPr>
          <w:p w14:paraId="3185558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632F5DBB" w14:textId="77777777" w:rsidR="00BF18CF" w:rsidRDefault="00E51347">
            <w:r>
              <w:t xml:space="preserve">Cette classe comprend des instances de </w:t>
            </w:r>
            <w:r>
              <w:rPr>
                <w:rFonts w:ascii="Consolas" w:eastAsia="Consolas" w:hAnsi="Consolas" w:cs="Consolas"/>
                <w:sz w:val="22"/>
                <w:szCs w:val="22"/>
                <w:shd w:val="clear" w:color="auto" w:fill="EAEEF3"/>
              </w:rPr>
              <w:t>E7_Activité</w:t>
            </w:r>
            <w:r>
              <w:t xml:space="preserve"> qui sont entreprises pour créer, altérer ou changer des instances de </w:t>
            </w:r>
            <w:r>
              <w:rPr>
                <w:rFonts w:ascii="Consolas" w:eastAsia="Consolas" w:hAnsi="Consolas" w:cs="Consolas"/>
                <w:sz w:val="22"/>
                <w:szCs w:val="22"/>
                <w:shd w:val="clear" w:color="auto" w:fill="EAEEF3"/>
              </w:rPr>
              <w:t>E24_Chose_matérielle_élaborée_par_l’humain</w:t>
            </w:r>
            <w:r>
              <w:t>.</w:t>
            </w:r>
          </w:p>
          <w:p w14:paraId="2B2BBD88" w14:textId="77777777" w:rsidR="00BF18CF" w:rsidRDefault="00E51347">
            <w:r>
              <w:t>Cette classe inclut la production d'une entité à partir de matières premières et d'autres objets jusqu'à maintenant non documentés. Elle inclut également le traitement de conservation d'un objet.</w:t>
            </w:r>
          </w:p>
          <w:p w14:paraId="4812C1C7" w14:textId="77777777" w:rsidR="00BF18CF" w:rsidRDefault="00E51347">
            <w:r>
              <w:t xml:space="preserve">Puisque la distinction entre une modification et une production n'est pas toujours claire, la modification est considérée comme le concept dont l'application est la plus générale. Cela implique que certaines entités peuvent être consommées ou détruites, mais aussi produites à la suite d'une instance de </w:t>
            </w:r>
            <w:r>
              <w:rPr>
                <w:rFonts w:ascii="Consolas" w:eastAsia="Consolas" w:hAnsi="Consolas" w:cs="Consolas"/>
                <w:sz w:val="22"/>
                <w:szCs w:val="22"/>
                <w:shd w:val="clear" w:color="auto" w:fill="EAEEF3"/>
              </w:rPr>
              <w:t>E11_Modification</w:t>
            </w:r>
            <w:r>
              <w:t xml:space="preserve">. Un évènement doit aussi être documenté en utilisant une instance de </w:t>
            </w:r>
            <w:r>
              <w:rPr>
                <w:rFonts w:ascii="Consolas" w:eastAsia="Consolas" w:hAnsi="Consolas" w:cs="Consolas"/>
                <w:sz w:val="22"/>
                <w:szCs w:val="22"/>
                <w:shd w:val="clear" w:color="auto" w:fill="EAEEF3"/>
              </w:rPr>
              <w:t>E81_Transformation</w:t>
            </w:r>
            <w:r>
              <w:t xml:space="preserve"> s'il en résulte la destruction d'un ou de plusieurs objets et la production simultanée d'autres objets issus de parties ou de matériaux provenant des originaux. Dans ce cas, les nouvelles entités ont des identités distinctes de celles des entités détruites.</w:t>
            </w:r>
          </w:p>
          <w:p w14:paraId="12A0D20D" w14:textId="77777777" w:rsidR="00BF18CF" w:rsidRDefault="00E51347">
            <w:r>
              <w:t xml:space="preserve">Une activité entreprise sur un objet en vue de l'altérer, mais qui n'a concrètement produit aucune altération significative (comme l'application d'un solvant au cours d'un traitement de conservation qui n'a permis de dissoudre aucune partie de l'objet) est quand même considérée comme une instance de </w:t>
            </w:r>
            <w:r>
              <w:rPr>
                <w:rFonts w:ascii="Consolas" w:eastAsia="Consolas" w:hAnsi="Consolas" w:cs="Consolas"/>
                <w:sz w:val="22"/>
                <w:szCs w:val="22"/>
                <w:shd w:val="clear" w:color="auto" w:fill="EAEEF3"/>
              </w:rPr>
              <w:t>E11_Modification</w:t>
            </w:r>
            <w:r>
              <w:t>. Typiquement, toute activité de ce type laissera au moins des traces décelables scientifiquement sur l'objet.</w:t>
            </w:r>
          </w:p>
          <w:p w14:paraId="3EA6FFA2" w14:textId="77777777" w:rsidR="00BF18CF" w:rsidRDefault="00E51347">
            <w:r>
              <w:t xml:space="preserve">Si l'instance de </w:t>
            </w:r>
            <w:r>
              <w:rPr>
                <w:rFonts w:ascii="Consolas" w:eastAsia="Consolas" w:hAnsi="Consolas" w:cs="Consolas"/>
                <w:sz w:val="22"/>
                <w:szCs w:val="22"/>
                <w:shd w:val="clear" w:color="auto" w:fill="EAEEF3"/>
              </w:rPr>
              <w:t>E29_Conceptualisation_ou_procédure</w:t>
            </w:r>
            <w:r>
              <w:t xml:space="preserve"> utilisée pour la modification prescrit l'utilisation de matériaux spécifiques, ils doivent être documentés en utilisant la propriété </w:t>
            </w:r>
            <w:r>
              <w:rPr>
                <w:rFonts w:ascii="Consolas" w:eastAsia="Consolas" w:hAnsi="Consolas" w:cs="Consolas"/>
                <w:sz w:val="22"/>
                <w:szCs w:val="22"/>
                <w:shd w:val="clear" w:color="auto" w:fill="EAEEF3"/>
              </w:rPr>
              <w:t>P68_prévoit_l’usage_de (usage_prévu_de)</w:t>
            </w:r>
            <w:r>
              <w:t xml:space="preserve"> : </w:t>
            </w:r>
            <w:r>
              <w:rPr>
                <w:rFonts w:ascii="Consolas" w:eastAsia="Consolas" w:hAnsi="Consolas" w:cs="Consolas"/>
                <w:sz w:val="22"/>
                <w:szCs w:val="22"/>
                <w:shd w:val="clear" w:color="auto" w:fill="EAEEF3"/>
              </w:rPr>
              <w:t>E57_Matériau</w:t>
            </w:r>
            <w:r>
              <w:t xml:space="preserve">, plutôt que la propriété </w:t>
            </w:r>
            <w:r>
              <w:rPr>
                <w:rFonts w:ascii="Consolas" w:eastAsia="Consolas" w:hAnsi="Consolas" w:cs="Consolas"/>
                <w:sz w:val="22"/>
                <w:szCs w:val="22"/>
                <w:shd w:val="clear" w:color="auto" w:fill="EAEEF3"/>
              </w:rPr>
              <w:t>P126_a_employé (a_été_employé_dans)</w:t>
            </w:r>
            <w:r>
              <w:t xml:space="preserve"> : </w:t>
            </w:r>
            <w:r>
              <w:rPr>
                <w:rFonts w:ascii="Consolas" w:eastAsia="Consolas" w:hAnsi="Consolas" w:cs="Consolas"/>
                <w:sz w:val="22"/>
                <w:szCs w:val="22"/>
                <w:shd w:val="clear" w:color="auto" w:fill="EAEEF3"/>
              </w:rPr>
              <w:t>E57_Matériau</w:t>
            </w:r>
            <w:r>
              <w:t>.</w:t>
            </w:r>
          </w:p>
        </w:tc>
      </w:tr>
      <w:tr w:rsidR="00BF18CF" w14:paraId="2E980103" w14:textId="77777777" w:rsidTr="00BF18CF">
        <w:tc>
          <w:tcPr>
            <w:tcW w:w="1742" w:type="dxa"/>
          </w:tcPr>
          <w:p w14:paraId="37F30165"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6" w:type="dxa"/>
          </w:tcPr>
          <w:p w14:paraId="00894E5F" w14:textId="77777777" w:rsidR="00BF18CF" w:rsidRDefault="00E51347">
            <w:pPr>
              <w:numPr>
                <w:ilvl w:val="0"/>
                <w:numId w:val="19"/>
              </w:numPr>
            </w:pPr>
            <w:r>
              <w:t>La construction du SS Great Britain (</w:t>
            </w:r>
            <w:r>
              <w:rPr>
                <w:rFonts w:ascii="Consolas" w:eastAsia="Consolas" w:hAnsi="Consolas" w:cs="Consolas"/>
                <w:sz w:val="22"/>
                <w:szCs w:val="22"/>
                <w:shd w:val="clear" w:color="auto" w:fill="EAEEF3"/>
              </w:rPr>
              <w:t>E12_Production</w:t>
            </w:r>
            <w:r>
              <w:t>) (Gregor, 1971)</w:t>
            </w:r>
          </w:p>
          <w:p w14:paraId="2E903B59" w14:textId="77777777" w:rsidR="00BF18CF" w:rsidRDefault="00E51347">
            <w:pPr>
              <w:numPr>
                <w:ilvl w:val="0"/>
                <w:numId w:val="19"/>
              </w:numPr>
            </w:pPr>
            <w:r>
              <w:t>L'imprégnation [n.d.t. au polyéthylène glycol] du navire de guerre Vasa à Stockholm en vue de sa conservation après 1956 (Håfors, 2010)</w:t>
            </w:r>
          </w:p>
          <w:p w14:paraId="6E419EF2" w14:textId="77777777" w:rsidR="00BF18CF" w:rsidRDefault="00E51347">
            <w:pPr>
              <w:numPr>
                <w:ilvl w:val="0"/>
                <w:numId w:val="19"/>
              </w:numPr>
            </w:pPr>
            <w:r>
              <w:t>La transformation de l'Enola Gay en une pièce muséographique par le National Air and Space Museum à Washington DC entre 1993 et 1995 (</w:t>
            </w:r>
            <w:r>
              <w:rPr>
                <w:rFonts w:ascii="Consolas" w:eastAsia="Consolas" w:hAnsi="Consolas" w:cs="Consolas"/>
                <w:sz w:val="22"/>
                <w:szCs w:val="22"/>
                <w:shd w:val="clear" w:color="auto" w:fill="EAEEF3"/>
              </w:rPr>
              <w:t>E12_Production</w:t>
            </w:r>
            <w:r>
              <w:t xml:space="preserve">, </w:t>
            </w:r>
            <w:r>
              <w:rPr>
                <w:rFonts w:ascii="Consolas" w:eastAsia="Consolas" w:hAnsi="Consolas" w:cs="Consolas"/>
                <w:sz w:val="22"/>
                <w:szCs w:val="22"/>
                <w:shd w:val="clear" w:color="auto" w:fill="EAEEF3"/>
              </w:rPr>
              <w:t>E81_Transformation</w:t>
            </w:r>
            <w:r>
              <w:t>) (Yakel, 2000)</w:t>
            </w:r>
          </w:p>
          <w:p w14:paraId="667B988B" w14:textId="77777777" w:rsidR="00BF18CF" w:rsidRDefault="00E51347">
            <w:pPr>
              <w:numPr>
                <w:ilvl w:val="0"/>
                <w:numId w:val="19"/>
              </w:numPr>
            </w:pPr>
            <w:r>
              <w:t>Le dernier renouvellement du revêtement en or du sanctuaire Toshogu à Nikko au Japon (Cali et Dougil, 2012)</w:t>
            </w:r>
          </w:p>
        </w:tc>
      </w:tr>
      <w:tr w:rsidR="00BF18CF" w14:paraId="62197377" w14:textId="77777777" w:rsidTr="00BF18CF">
        <w:tc>
          <w:tcPr>
            <w:tcW w:w="1742" w:type="dxa"/>
          </w:tcPr>
          <w:p w14:paraId="186B94E0"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46" w:type="dxa"/>
          </w:tcPr>
          <w:p w14:paraId="723B2578" w14:textId="77777777" w:rsidR="00BF18CF" w:rsidRDefault="00E51347">
            <w:r>
              <w:t>E11(x) ⇒ E7(x)</w:t>
            </w:r>
          </w:p>
        </w:tc>
      </w:tr>
      <w:tr w:rsidR="00BF18CF" w14:paraId="5F471515" w14:textId="77777777" w:rsidTr="00BF18CF">
        <w:tc>
          <w:tcPr>
            <w:tcW w:w="1742" w:type="dxa"/>
          </w:tcPr>
          <w:p w14:paraId="056F744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1FCC6551" w14:textId="77777777" w:rsidR="00BF18CF" w:rsidRDefault="00E51347">
            <w:r>
              <w:rPr>
                <w:rFonts w:ascii="Consolas" w:eastAsia="Consolas" w:hAnsi="Consolas" w:cs="Consolas"/>
                <w:sz w:val="22"/>
                <w:szCs w:val="22"/>
                <w:shd w:val="clear" w:color="auto" w:fill="EAEEF3"/>
              </w:rPr>
              <w:t>P31_a_modifié (a_été_modifié_par)</w:t>
            </w:r>
            <w:r>
              <w:t xml:space="preserve"> : </w:t>
            </w:r>
            <w:r>
              <w:rPr>
                <w:rFonts w:ascii="Consolas" w:eastAsia="Consolas" w:hAnsi="Consolas" w:cs="Consolas"/>
                <w:sz w:val="22"/>
                <w:szCs w:val="22"/>
                <w:shd w:val="clear" w:color="auto" w:fill="EAEEF3"/>
              </w:rPr>
              <w:t>E18_Chose_matérielle</w:t>
            </w:r>
          </w:p>
          <w:p w14:paraId="7F579DA1" w14:textId="77777777" w:rsidR="00BF18CF" w:rsidRDefault="00E51347">
            <w:r>
              <w:rPr>
                <w:rFonts w:ascii="Consolas" w:eastAsia="Consolas" w:hAnsi="Consolas" w:cs="Consolas"/>
                <w:sz w:val="22"/>
                <w:szCs w:val="22"/>
                <w:shd w:val="clear" w:color="auto" w:fill="EAEEF3"/>
              </w:rPr>
              <w:t>P126_a_employé (a_été_employé_dans)</w:t>
            </w:r>
            <w:r>
              <w:t xml:space="preserve"> : </w:t>
            </w:r>
            <w:r>
              <w:rPr>
                <w:rFonts w:ascii="Consolas" w:eastAsia="Consolas" w:hAnsi="Consolas" w:cs="Consolas"/>
                <w:sz w:val="22"/>
                <w:szCs w:val="22"/>
                <w:shd w:val="clear" w:color="auto" w:fill="EAEEF3"/>
              </w:rPr>
              <w:t>E57_Matériau</w:t>
            </w:r>
          </w:p>
        </w:tc>
      </w:tr>
      <w:tr w:rsidR="00BF18CF" w14:paraId="130C34BB" w14:textId="77777777" w:rsidTr="00BF18CF">
        <w:tc>
          <w:tcPr>
            <w:tcW w:w="1742" w:type="dxa"/>
          </w:tcPr>
          <w:p w14:paraId="4500C08A" w14:textId="5805F3C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35F114E3" w14:textId="77777777" w:rsidR="007C10F0" w:rsidRDefault="00E51347">
            <w:r>
              <w:t>Le concept « conservation treatment » a été traduit par « traitement de conservation » tel qu'utilisé par l'Institut canadien de conservation.</w:t>
            </w:r>
          </w:p>
          <w:p w14:paraId="48E735EA" w14:textId="30332A78" w:rsidR="00BF18CF" w:rsidRDefault="00E51347">
            <w:r>
              <w:t>Le segment « of E29 Design or Procedure » a été retiré de la traduction car celui-ci alourdissait le texte sans apporter une précision nécessaire.</w:t>
            </w:r>
          </w:p>
          <w:p w14:paraId="690C2C4B" w14:textId="77777777" w:rsidR="00BF18CF" w:rsidRDefault="00E51347">
            <w:r>
              <w:t>Selon Termium Plus, le terme « museum exhibit » a été traduit par « pièce muséographique ».</w:t>
            </w:r>
          </w:p>
        </w:tc>
      </w:tr>
      <w:tr w:rsidR="00BF18CF" w14:paraId="26B77A57" w14:textId="77777777" w:rsidTr="00BF18CF">
        <w:tc>
          <w:tcPr>
            <w:tcW w:w="1742" w:type="dxa"/>
          </w:tcPr>
          <w:p w14:paraId="564FAA9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4950800E" w14:textId="77777777" w:rsidR="00BF18CF" w:rsidRDefault="00E51347">
            <w:r>
              <w:t>Institut canadien de conservation. « Traitements de conservation ». Traitements et services de conservation, 18 octobre 2022.</w:t>
            </w:r>
            <w:hyperlink r:id="rId374">
              <w:r>
                <w:rPr>
                  <w:color w:val="4F81BD"/>
                </w:rPr>
                <w:t xml:space="preserve"> https://www.canada.ca/fr/institut-conservation/services/traitements-services-conservation/traitements-conservation.html</w:t>
              </w:r>
            </w:hyperlink>
            <w:r>
              <w:t>.</w:t>
            </w:r>
          </w:p>
          <w:p w14:paraId="304D7613" w14:textId="77777777" w:rsidR="00BF18CF" w:rsidRDefault="00E51347">
            <w:r>
              <w:t xml:space="preserve">Termium. « Museum Exhibit ». Dans </w:t>
            </w:r>
            <w:r>
              <w:rPr>
                <w:i/>
              </w:rPr>
              <w:t>Termium Plus</w:t>
            </w:r>
            <w:r>
              <w:t>. Ottawa, CA-ON: Gouvernement du Canada, 2022.</w:t>
            </w:r>
            <w:hyperlink r:id="rId375" w:anchor="resultrecs">
              <w:r>
                <w:rPr>
                  <w:color w:val="4F81BD"/>
                </w:rPr>
                <w:t xml:space="preserve"> https://www.btb.termiumplus.gc.ca/tpv2alpha/alpha-fra.html?lang=fra&amp;i=1&amp;srchtxt=MUSEUM+EXHIBIT&amp;codom2nd_wet=1#resultrecs</w:t>
              </w:r>
            </w:hyperlink>
            <w:r>
              <w:t>.</w:t>
            </w:r>
          </w:p>
        </w:tc>
      </w:tr>
    </w:tbl>
    <w:p w14:paraId="67DD215D" w14:textId="77777777" w:rsidR="00BF18CF" w:rsidRDefault="00E51347">
      <w:pPr>
        <w:pStyle w:val="Heading3"/>
      </w:pPr>
      <w:bookmarkStart w:id="125" w:name="bookmark=id.1baon6m" w:colFirst="0" w:colLast="0"/>
      <w:bookmarkStart w:id="126" w:name="_Toc144360805"/>
      <w:bookmarkEnd w:id="125"/>
      <w:r>
        <w:t>E12 Production</w:t>
      </w:r>
      <w:bookmarkEnd w:id="126"/>
    </w:p>
    <w:tbl>
      <w:tblPr>
        <w:tblStyle w:val="affffe"/>
        <w:tblW w:w="1068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0"/>
        <w:gridCol w:w="8946"/>
      </w:tblGrid>
      <w:tr w:rsidR="00BF18CF" w14:paraId="134C57E1" w14:textId="77777777" w:rsidTr="00BF18CF">
        <w:tc>
          <w:tcPr>
            <w:tcW w:w="1740" w:type="dxa"/>
          </w:tcPr>
          <w:p w14:paraId="2955CABF"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5B4FD2AF" w14:textId="77777777" w:rsidR="00BF18CF" w:rsidRDefault="00E51347">
            <w:r>
              <w:rPr>
                <w:rFonts w:ascii="Consolas" w:eastAsia="Consolas" w:hAnsi="Consolas" w:cs="Consolas"/>
                <w:sz w:val="22"/>
                <w:szCs w:val="22"/>
                <w:shd w:val="clear" w:color="auto" w:fill="EAEEF3"/>
              </w:rPr>
              <w:t>E11_Modification</w:t>
            </w:r>
          </w:p>
          <w:p w14:paraId="2052607D" w14:textId="77777777" w:rsidR="00BF18CF" w:rsidRDefault="00E51347">
            <w:r>
              <w:rPr>
                <w:rFonts w:ascii="Consolas" w:eastAsia="Consolas" w:hAnsi="Consolas" w:cs="Consolas"/>
                <w:sz w:val="22"/>
                <w:szCs w:val="22"/>
                <w:shd w:val="clear" w:color="auto" w:fill="EAEEF3"/>
              </w:rPr>
              <w:t>E63_Début_d’existence</w:t>
            </w:r>
          </w:p>
        </w:tc>
      </w:tr>
      <w:tr w:rsidR="00BF18CF" w14:paraId="092AB672" w14:textId="77777777" w:rsidTr="00BF18CF">
        <w:tc>
          <w:tcPr>
            <w:tcW w:w="1740" w:type="dxa"/>
          </w:tcPr>
          <w:p w14:paraId="72D41C9D"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4E5AB6FC" w14:textId="77777777" w:rsidR="00BF18CF" w:rsidRDefault="00BF18CF">
            <w:pPr>
              <w:pBdr>
                <w:top w:val="nil"/>
                <w:left w:val="nil"/>
                <w:bottom w:val="nil"/>
                <w:right w:val="nil"/>
                <w:between w:val="nil"/>
              </w:pBdr>
              <w:spacing w:before="36" w:after="36"/>
              <w:rPr>
                <w:color w:val="000000"/>
              </w:rPr>
            </w:pPr>
          </w:p>
        </w:tc>
      </w:tr>
      <w:tr w:rsidR="00BF18CF" w14:paraId="4C553AB8" w14:textId="77777777" w:rsidTr="00BF18CF">
        <w:tc>
          <w:tcPr>
            <w:tcW w:w="1740" w:type="dxa"/>
          </w:tcPr>
          <w:p w14:paraId="46A5DF2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646F77D2" w14:textId="77777777" w:rsidR="00BF18CF" w:rsidRDefault="00E51347">
            <w:r>
              <w:t>Cette classe comprend des activités qui ont comme objectif de créer une ou plusieurs nouvelles entités, et qui y parviennent.</w:t>
            </w:r>
          </w:p>
          <w:p w14:paraId="23548F27" w14:textId="77777777" w:rsidR="00BF18CF" w:rsidRDefault="00E51347">
            <w:r>
              <w:t>Elle précise la notion de modification en celle de production. La décision de désigner une entité comme « nouvelle » relève du contexte. Normalement, les entités sont considérées comme « nouvelles » s'il n'y a pas de similarités évidentes entre celles-ci et les objets ainsi que les matériaux utilisés pour leur production. Dans d’autres cas, une entité est considérée comme « nouvelle » parce qu’il devient pertinent de la documenter du fait de sa modification. Par exemple, le fait de griffonner un nom sur un tesson de poterie peut faire de ce dernier un bulletin de vote. Le tesson d'origine ne vaut peut-être pas la peine d'être documenté, contrairement à celui qui a fait l'objet d'une inscription.</w:t>
            </w:r>
          </w:p>
          <w:p w14:paraId="7E04992A" w14:textId="77777777" w:rsidR="00BF18CF" w:rsidRDefault="00E51347">
            <w:r>
              <w:rPr>
                <w:rFonts w:ascii="Consolas" w:eastAsia="Consolas" w:hAnsi="Consolas" w:cs="Consolas"/>
                <w:sz w:val="22"/>
                <w:szCs w:val="22"/>
                <w:shd w:val="clear" w:color="auto" w:fill="EAEEF3"/>
              </w:rPr>
              <w:t>E12_Production</w:t>
            </w:r>
            <w:r>
              <w:t xml:space="preserve"> peut être une entité collective : par exemple, l'impression d'un millier de livres serait normalement considérée comme un seul évènement.</w:t>
            </w:r>
          </w:p>
          <w:p w14:paraId="1174E3D6" w14:textId="77777777" w:rsidR="00BF18CF" w:rsidRDefault="00E51347">
            <w:r>
              <w:t xml:space="preserve">Si un évènement implique la destruction d’une ou de plusieurs entités ainsi que la production de nouvelles entités en utilisant des parties ou des matériaux des entités d’origine, il convient d’utiliser la classe </w:t>
            </w:r>
            <w:r>
              <w:rPr>
                <w:rFonts w:ascii="Consolas" w:eastAsia="Consolas" w:hAnsi="Consolas" w:cs="Consolas"/>
                <w:sz w:val="22"/>
                <w:szCs w:val="22"/>
                <w:shd w:val="clear" w:color="auto" w:fill="EAEEF3"/>
              </w:rPr>
              <w:t>E81_Transformation</w:t>
            </w:r>
            <w:r>
              <w:t xml:space="preserve"> lors de la </w:t>
            </w:r>
            <w:r>
              <w:lastRenderedPageBreak/>
              <w:t xml:space="preserve">documentation, et ce en plus de </w:t>
            </w:r>
            <w:r>
              <w:rPr>
                <w:rFonts w:ascii="Consolas" w:eastAsia="Consolas" w:hAnsi="Consolas" w:cs="Consolas"/>
                <w:sz w:val="22"/>
                <w:szCs w:val="22"/>
                <w:shd w:val="clear" w:color="auto" w:fill="EAEEF3"/>
              </w:rPr>
              <w:t>E12_Production</w:t>
            </w:r>
            <w:r>
              <w:t>. Dans ce cas, les nouveaux objets ont leur propre identité : la matière est préservée, mais l'identité ne l'est pas.</w:t>
            </w:r>
          </w:p>
        </w:tc>
      </w:tr>
      <w:tr w:rsidR="00BF18CF" w14:paraId="0CD7049D" w14:textId="77777777" w:rsidTr="00BF18CF">
        <w:tc>
          <w:tcPr>
            <w:tcW w:w="1740" w:type="dxa"/>
          </w:tcPr>
          <w:p w14:paraId="7CBA8499"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46" w:type="dxa"/>
          </w:tcPr>
          <w:p w14:paraId="1A7DE708" w14:textId="77777777" w:rsidR="00BF18CF" w:rsidRDefault="00E51347">
            <w:pPr>
              <w:numPr>
                <w:ilvl w:val="0"/>
                <w:numId w:val="19"/>
              </w:numPr>
            </w:pPr>
            <w:r>
              <w:t>La construction du SS Great Britain (Gregor, 1971)</w:t>
            </w:r>
          </w:p>
          <w:p w14:paraId="6B14E4B6" w14:textId="77777777" w:rsidR="00BF18CF" w:rsidRDefault="00E51347">
            <w:pPr>
              <w:numPr>
                <w:ilvl w:val="0"/>
                <w:numId w:val="19"/>
              </w:numPr>
            </w:pPr>
            <w:r>
              <w:t xml:space="preserve">La première fonte de </w:t>
            </w:r>
            <w:r>
              <w:rPr>
                <w:i/>
              </w:rPr>
              <w:t>La Petite Sirène</w:t>
            </w:r>
            <w:r>
              <w:t xml:space="preserve"> au port de Copenhague (Dewey, 2003)</w:t>
            </w:r>
          </w:p>
          <w:p w14:paraId="1B970CE9" w14:textId="77777777" w:rsidR="00BF18CF" w:rsidRDefault="00E51347">
            <w:pPr>
              <w:numPr>
                <w:ilvl w:val="0"/>
                <w:numId w:val="19"/>
              </w:numPr>
            </w:pPr>
            <w:r>
              <w:t xml:space="preserve">La création, par Rembrandt, du septième état de sa gravure sur cuivre </w:t>
            </w:r>
            <w:r>
              <w:rPr>
                <w:i/>
              </w:rPr>
              <w:t>La Femme devant le poêle</w:t>
            </w:r>
            <w:r>
              <w:t>, 1658, identifié par le numéro de catalogue « Bartsch 197 » (</w:t>
            </w:r>
            <w:r>
              <w:rPr>
                <w:rFonts w:ascii="Consolas" w:eastAsia="Consolas" w:hAnsi="Consolas" w:cs="Consolas"/>
                <w:sz w:val="22"/>
                <w:szCs w:val="22"/>
                <w:shd w:val="clear" w:color="auto" w:fill="EAEEF3"/>
              </w:rPr>
              <w:t>E12_Production</w:t>
            </w:r>
            <w:r>
              <w:t xml:space="preserve">, </w:t>
            </w:r>
            <w:r>
              <w:rPr>
                <w:rFonts w:ascii="Consolas" w:eastAsia="Consolas" w:hAnsi="Consolas" w:cs="Consolas"/>
                <w:sz w:val="22"/>
                <w:szCs w:val="22"/>
                <w:shd w:val="clear" w:color="auto" w:fill="EAEEF3"/>
              </w:rPr>
              <w:t>E65_Création</w:t>
            </w:r>
            <w:r>
              <w:t xml:space="preserve">, </w:t>
            </w:r>
            <w:r>
              <w:rPr>
                <w:rFonts w:ascii="Consolas" w:eastAsia="Consolas" w:hAnsi="Consolas" w:cs="Consolas"/>
                <w:sz w:val="22"/>
                <w:szCs w:val="22"/>
                <w:shd w:val="clear" w:color="auto" w:fill="EAEEF3"/>
              </w:rPr>
              <w:t>E81_Transformation</w:t>
            </w:r>
            <w:r>
              <w:t>) (Hind, 1923)</w:t>
            </w:r>
          </w:p>
        </w:tc>
      </w:tr>
      <w:tr w:rsidR="00BF18CF" w14:paraId="75CEC2AA" w14:textId="77777777" w:rsidTr="00BF18CF">
        <w:tc>
          <w:tcPr>
            <w:tcW w:w="1740" w:type="dxa"/>
          </w:tcPr>
          <w:p w14:paraId="2FD8B6D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6" w:type="dxa"/>
          </w:tcPr>
          <w:p w14:paraId="27EABAE9" w14:textId="77777777" w:rsidR="00BF18CF" w:rsidRDefault="00E51347">
            <w:r>
              <w:t>E12(x) ⊃ E11(x)</w:t>
            </w:r>
          </w:p>
          <w:p w14:paraId="73113297" w14:textId="77777777" w:rsidR="00BF18CF" w:rsidRDefault="00E51347">
            <w:r>
              <w:t>E12(x) ⊃ E63(x)</w:t>
            </w:r>
          </w:p>
        </w:tc>
      </w:tr>
      <w:tr w:rsidR="00BF18CF" w14:paraId="5E6F9FB5" w14:textId="77777777" w:rsidTr="00BF18CF">
        <w:tc>
          <w:tcPr>
            <w:tcW w:w="1740" w:type="dxa"/>
          </w:tcPr>
          <w:p w14:paraId="180EDEA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0D819AD9" w14:textId="77777777" w:rsidR="00BF18CF" w:rsidRDefault="00E51347">
            <w:r>
              <w:rPr>
                <w:rFonts w:ascii="Consolas" w:eastAsia="Consolas" w:hAnsi="Consolas" w:cs="Consolas"/>
                <w:sz w:val="22"/>
                <w:szCs w:val="22"/>
                <w:shd w:val="clear" w:color="auto" w:fill="EAEEF3"/>
              </w:rPr>
              <w:t>P108_a_produit (a_été_produit_par)</w:t>
            </w:r>
            <w:r>
              <w:t xml:space="preserve"> : </w:t>
            </w:r>
            <w:r>
              <w:rPr>
                <w:rFonts w:ascii="Consolas" w:eastAsia="Consolas" w:hAnsi="Consolas" w:cs="Consolas"/>
                <w:sz w:val="22"/>
                <w:szCs w:val="22"/>
                <w:shd w:val="clear" w:color="auto" w:fill="EAEEF3"/>
              </w:rPr>
              <w:t>E24_Chose_matérielle_élaborée_par_l’humain</w:t>
            </w:r>
          </w:p>
          <w:p w14:paraId="401E1DF2" w14:textId="77777777" w:rsidR="00BF18CF" w:rsidRDefault="00E51347">
            <w:r>
              <w:rPr>
                <w:rFonts w:ascii="Consolas" w:eastAsia="Consolas" w:hAnsi="Consolas" w:cs="Consolas"/>
                <w:sz w:val="22"/>
                <w:szCs w:val="22"/>
                <w:shd w:val="clear" w:color="auto" w:fill="EAEEF3"/>
              </w:rPr>
              <w:t xml:space="preserve">P186_a_produit_la_chose_du_type (est_produit_par) </w:t>
            </w:r>
            <w:r>
              <w:t xml:space="preserve">: </w:t>
            </w:r>
            <w:r>
              <w:rPr>
                <w:rFonts w:ascii="Consolas" w:eastAsia="Consolas" w:hAnsi="Consolas" w:cs="Consolas"/>
                <w:sz w:val="22"/>
                <w:szCs w:val="22"/>
                <w:shd w:val="clear" w:color="auto" w:fill="EAEEF3"/>
              </w:rPr>
              <w:t>E99_Modèle_de_produit</w:t>
            </w:r>
          </w:p>
        </w:tc>
      </w:tr>
      <w:tr w:rsidR="00BF18CF" w14:paraId="2FAFD263" w14:textId="77777777" w:rsidTr="00BF18CF">
        <w:tc>
          <w:tcPr>
            <w:tcW w:w="1740" w:type="dxa"/>
          </w:tcPr>
          <w:p w14:paraId="7B4ED7F0" w14:textId="77C91FA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1ABF15B0" w14:textId="77777777" w:rsidR="00BF18CF" w:rsidRDefault="00E51347">
            <w:r>
              <w:rPr>
                <w:i/>
              </w:rPr>
              <w:t>La femme devant le poêle</w:t>
            </w:r>
            <w:r>
              <w:t xml:space="preserve"> a été retenu comme traduction de </w:t>
            </w:r>
            <w:r>
              <w:rPr>
                <w:i/>
              </w:rPr>
              <w:t>Woman sitting half dressed beside a stove</w:t>
            </w:r>
            <w:r>
              <w:t>. Cette décision est basée sur le fait qu’il s’agit du titre en français retenu du côté de la Bibliothèque nationale de France ainsi que du côté de Wikipédia.</w:t>
            </w:r>
          </w:p>
        </w:tc>
      </w:tr>
      <w:tr w:rsidR="00BF18CF" w:rsidRPr="00103833" w14:paraId="4DEDC2D6" w14:textId="77777777" w:rsidTr="00BF18CF">
        <w:tc>
          <w:tcPr>
            <w:tcW w:w="1740" w:type="dxa"/>
          </w:tcPr>
          <w:p w14:paraId="0726E47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7A16EA5D" w14:textId="77777777" w:rsidR="00BF18CF" w:rsidRDefault="00E51347">
            <w:r>
              <w:t xml:space="preserve">Van Rijn, Rembrandt. </w:t>
            </w:r>
            <w:r>
              <w:rPr>
                <w:i/>
              </w:rPr>
              <w:t>La Femme devant le poêle</w:t>
            </w:r>
            <w:r>
              <w:t>. 1658. Épreuve sur papier japon. Eau-forte, burin et pointe sèche., 27 x 18 cm. Bibliothèque nationale de France.</w:t>
            </w:r>
            <w:hyperlink r:id="rId376">
              <w:r>
                <w:rPr>
                  <w:color w:val="4F81BD"/>
                </w:rPr>
                <w:t xml:space="preserve"> https://essentiels.bnf.fr/fr/image/eff2e8b4-8e73-4800-91fb-7d277ca66a34-femme-devant-poele-7e-etat</w:t>
              </w:r>
            </w:hyperlink>
            <w:r>
              <w:t>.</w:t>
            </w:r>
          </w:p>
          <w:p w14:paraId="5C29E2C7" w14:textId="77777777" w:rsidR="00BF18CF" w:rsidRPr="00EE61A5" w:rsidRDefault="00E51347">
            <w:pPr>
              <w:rPr>
                <w:lang w:val="en-CA"/>
              </w:rPr>
            </w:pPr>
            <w:r>
              <w:t xml:space="preserve">Wikipédia. « Liste des gravures de Rembrandt ». </w:t>
            </w:r>
            <w:r w:rsidRPr="00EE61A5">
              <w:rPr>
                <w:lang w:val="en-CA"/>
              </w:rPr>
              <w:t xml:space="preserve">Dans </w:t>
            </w:r>
            <w:r w:rsidRPr="00EE61A5">
              <w:rPr>
                <w:i/>
                <w:lang w:val="en-CA"/>
              </w:rPr>
              <w:t>Wikipédia</w:t>
            </w:r>
            <w:r w:rsidRPr="00EE61A5">
              <w:rPr>
                <w:lang w:val="en-CA"/>
              </w:rPr>
              <w:t>. San Francisco, US-CA: Wikipédia, 15 mars 2021.</w:t>
            </w:r>
            <w:hyperlink r:id="rId377">
              <w:r w:rsidRPr="00EE61A5">
                <w:rPr>
                  <w:color w:val="4F81BD"/>
                  <w:lang w:val="en-CA"/>
                </w:rPr>
                <w:t xml:space="preserve"> https://fr.wikipedia.org/w/index.php?title=Liste_des_gravures_de_Rembrandt&amp;oldid=180898582</w:t>
              </w:r>
            </w:hyperlink>
            <w:r w:rsidRPr="00EE61A5">
              <w:rPr>
                <w:lang w:val="en-CA"/>
              </w:rPr>
              <w:t>.</w:t>
            </w:r>
          </w:p>
        </w:tc>
      </w:tr>
    </w:tbl>
    <w:p w14:paraId="35585DB7" w14:textId="77777777" w:rsidR="00BF18CF" w:rsidRDefault="00E51347">
      <w:pPr>
        <w:pStyle w:val="Heading3"/>
      </w:pPr>
      <w:bookmarkStart w:id="127" w:name="bookmark=id.3vac5uf" w:colFirst="0" w:colLast="0"/>
      <w:bookmarkStart w:id="128" w:name="_Toc144360806"/>
      <w:bookmarkEnd w:id="127"/>
      <w:r>
        <w:t>E13 Assignation d’attribut</w:t>
      </w:r>
      <w:bookmarkEnd w:id="128"/>
    </w:p>
    <w:tbl>
      <w:tblPr>
        <w:tblStyle w:val="afffff"/>
        <w:tblW w:w="1068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0"/>
        <w:gridCol w:w="8946"/>
      </w:tblGrid>
      <w:tr w:rsidR="00BF18CF" w14:paraId="4BC5BA38" w14:textId="77777777" w:rsidTr="00BF18CF">
        <w:tc>
          <w:tcPr>
            <w:tcW w:w="1740" w:type="dxa"/>
          </w:tcPr>
          <w:p w14:paraId="1A100462"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7384E157" w14:textId="77777777" w:rsidR="00BF18CF" w:rsidRDefault="00E51347">
            <w:r>
              <w:rPr>
                <w:rFonts w:ascii="Consolas" w:eastAsia="Consolas" w:hAnsi="Consolas" w:cs="Consolas"/>
                <w:sz w:val="22"/>
                <w:szCs w:val="22"/>
                <w:shd w:val="clear" w:color="auto" w:fill="EAEEF3"/>
              </w:rPr>
              <w:t>E7_Activité</w:t>
            </w:r>
          </w:p>
        </w:tc>
      </w:tr>
      <w:tr w:rsidR="00BF18CF" w14:paraId="0A976BD4" w14:textId="77777777" w:rsidTr="00BF18CF">
        <w:tc>
          <w:tcPr>
            <w:tcW w:w="1740" w:type="dxa"/>
          </w:tcPr>
          <w:p w14:paraId="7B85DAAB"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5922DAA4" w14:textId="77777777" w:rsidR="00BF18CF" w:rsidRDefault="00E51347">
            <w:r>
              <w:rPr>
                <w:rFonts w:ascii="Consolas" w:eastAsia="Consolas" w:hAnsi="Consolas" w:cs="Consolas"/>
                <w:sz w:val="22"/>
                <w:szCs w:val="22"/>
                <w:shd w:val="clear" w:color="auto" w:fill="EAEEF3"/>
              </w:rPr>
              <w:t>E14_Évaluation_d'état_matériel</w:t>
            </w:r>
          </w:p>
          <w:p w14:paraId="292A9D9F" w14:textId="77777777" w:rsidR="00BF18CF" w:rsidRDefault="00E51347">
            <w:r>
              <w:rPr>
                <w:rFonts w:ascii="Consolas" w:eastAsia="Consolas" w:hAnsi="Consolas" w:cs="Consolas"/>
                <w:sz w:val="22"/>
                <w:szCs w:val="22"/>
                <w:shd w:val="clear" w:color="auto" w:fill="EAEEF3"/>
              </w:rPr>
              <w:t>E15_Assignation_d'identifiant</w:t>
            </w:r>
          </w:p>
          <w:p w14:paraId="62EDA0A5" w14:textId="77777777" w:rsidR="00BF18CF" w:rsidRDefault="00E51347">
            <w:r>
              <w:rPr>
                <w:rFonts w:ascii="Consolas" w:eastAsia="Consolas" w:hAnsi="Consolas" w:cs="Consolas"/>
                <w:sz w:val="22"/>
                <w:szCs w:val="22"/>
                <w:shd w:val="clear" w:color="auto" w:fill="EAEEF3"/>
              </w:rPr>
              <w:t>E16_Mesurage</w:t>
            </w:r>
          </w:p>
          <w:p w14:paraId="5138C982" w14:textId="77777777" w:rsidR="00BF18CF" w:rsidRDefault="00E51347">
            <w:r>
              <w:rPr>
                <w:rFonts w:ascii="Consolas" w:eastAsia="Consolas" w:hAnsi="Consolas" w:cs="Consolas"/>
                <w:sz w:val="22"/>
                <w:szCs w:val="22"/>
                <w:shd w:val="clear" w:color="auto" w:fill="EAEEF3"/>
              </w:rPr>
              <w:t>E17_Assignation_de_type</w:t>
            </w:r>
          </w:p>
        </w:tc>
      </w:tr>
      <w:tr w:rsidR="00BF18CF" w14:paraId="77DB91BF" w14:textId="77777777" w:rsidTr="00BF18CF">
        <w:tc>
          <w:tcPr>
            <w:tcW w:w="1740" w:type="dxa"/>
          </w:tcPr>
          <w:p w14:paraId="6E10513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0307D950" w14:textId="77777777" w:rsidR="00BF18CF" w:rsidRDefault="00E51347">
            <w:r>
              <w:t xml:space="preserve">Cette classe comprend les actions d’effectuer des affirmations à propos d’un attribut d’un objet ou de n’importe quelle relation entre deux entités ou concepts. Le type de la propriété dont on déclare l’existence entre deux entités ou concepts peut être décrit avec la propriété </w:t>
            </w:r>
            <w:r>
              <w:rPr>
                <w:rFonts w:ascii="Consolas" w:eastAsia="Consolas" w:hAnsi="Consolas" w:cs="Consolas"/>
                <w:sz w:val="22"/>
                <w:szCs w:val="22"/>
                <w:shd w:val="clear" w:color="auto" w:fill="EAEEF3"/>
              </w:rPr>
              <w:t>P177_a_assigné_le_type_de_propriété (est le type de la propriété assigné)</w:t>
            </w:r>
            <w:r>
              <w:t xml:space="preserve"> : </w:t>
            </w:r>
            <w:r>
              <w:rPr>
                <w:rFonts w:ascii="Consolas" w:eastAsia="Consolas" w:hAnsi="Consolas" w:cs="Consolas"/>
                <w:sz w:val="22"/>
                <w:szCs w:val="22"/>
                <w:shd w:val="clear" w:color="auto" w:fill="EAEEF3"/>
              </w:rPr>
              <w:t>E55_Type</w:t>
            </w:r>
            <w:r>
              <w:t>.</w:t>
            </w:r>
          </w:p>
          <w:p w14:paraId="5F288623" w14:textId="77777777" w:rsidR="00BF18CF" w:rsidRDefault="00E51347">
            <w:r>
              <w:lastRenderedPageBreak/>
              <w:t>Par exemple, la classe décrit les actions de personnes faisant des propositions ou déclarations lors de certaines procédures scientifiques ou universitaires, comme la date de et la personne impliquée lors d’une évaluation d’état matériel, de l’attribution d’un identifiant, de la mesure d’un objet muséal, etc. Les types d’attributions et de déclarations qui doivent être documentés explicitement de manière structurée plutôt qu’en texte libre dépend de la nécessité ou non de rendre accessibles ces informations par des requêtes structurées.</w:t>
            </w:r>
          </w:p>
          <w:p w14:paraId="30AECFC6" w14:textId="77777777" w:rsidR="00BF18CF" w:rsidRDefault="00E51347">
            <w:r>
              <w:t xml:space="preserve">Il est à noter que toutes les instances des propriétés décrites dans une base de connaissance reflètent les opinions d’individus. Par défaut, il s’agit des opinions de l’équipe responsable du maintien de la base de connaissance. Ce fait ne doit pas être individuellement enregistré pour toutes les instances des propriétés fournies par l’équipe de maintenance, car il en résulterait une récursivité sans fin (où il faudrait constamment documenter qui émet une opinion sur l'opinion précédente). Dès lors, l’utilisation des instances de </w:t>
            </w:r>
            <w:r>
              <w:rPr>
                <w:rFonts w:ascii="Consolas" w:eastAsia="Consolas" w:hAnsi="Consolas" w:cs="Consolas"/>
                <w:sz w:val="22"/>
                <w:szCs w:val="22"/>
                <w:shd w:val="clear" w:color="auto" w:fill="EAEEF3"/>
              </w:rPr>
              <w:t>E13_Assignation_d’attribut</w:t>
            </w:r>
            <w:r>
              <w:t xml:space="preserve"> marque le fait que l’équipe de maintenance est en général neutre envers la validité des assertions et cette classe permet la documentation des circonstances qui ont amené à l’attribution, c.-à-d. qui a émis cette opinion ainsi que comment elle est advenue.</w:t>
            </w:r>
          </w:p>
          <w:p w14:paraId="3D65AE5B" w14:textId="77777777" w:rsidR="00BF18CF" w:rsidRDefault="00E51347">
            <w:r>
              <w:t xml:space="preserve">Toutes les propriétés assignées de la sorte peuvent aussi être perçues comme reliant directement les paires correspondantes d’entités ou concepts. L’utilisation de plusieurs instances de </w:t>
            </w:r>
            <w:r>
              <w:rPr>
                <w:rFonts w:ascii="Consolas" w:eastAsia="Consolas" w:hAnsi="Consolas" w:cs="Consolas"/>
                <w:sz w:val="22"/>
                <w:szCs w:val="22"/>
                <w:shd w:val="clear" w:color="auto" w:fill="EAEEF3"/>
              </w:rPr>
              <w:t>E13_Assignation_d’attribut</w:t>
            </w:r>
            <w:r>
              <w:t xml:space="preserve"> peut mener à un regroupement de valeurs contradictoires.</w:t>
            </w:r>
          </w:p>
          <w:p w14:paraId="00DEA138" w14:textId="77777777" w:rsidR="00BF18CF" w:rsidRDefault="00E51347">
            <w:r>
              <w:t xml:space="preserve">Toutes les propriétés dans ce modèle qui sont aussi décrites indirectement à travers une sous-classe de </w:t>
            </w:r>
            <w:r>
              <w:rPr>
                <w:rFonts w:ascii="Consolas" w:eastAsia="Consolas" w:hAnsi="Consolas" w:cs="Consolas"/>
                <w:sz w:val="22"/>
                <w:szCs w:val="22"/>
                <w:shd w:val="clear" w:color="auto" w:fill="EAEEF3"/>
              </w:rPr>
              <w:t>E13_Assignation_d’attribut</w:t>
            </w:r>
            <w:r>
              <w:t xml:space="preserve"> sont caractérisées comme des « raccourcis » du chemin passant par cette sous-classe. Cette modélisation redondante de ces deux alternatives est préférée, car de nombreuses implémentations conduisent à mobiliser, pour de bonnes raisons, soit l’action d’assertion soit le raccourci et la relation entre les deux alternatives peut être enregistrée par des règles [n.d.t. logiques] simples.</w:t>
            </w:r>
          </w:p>
        </w:tc>
      </w:tr>
      <w:tr w:rsidR="00BF18CF" w14:paraId="3B98EB11" w14:textId="77777777" w:rsidTr="00BF18CF">
        <w:tc>
          <w:tcPr>
            <w:tcW w:w="1740" w:type="dxa"/>
          </w:tcPr>
          <w:p w14:paraId="3D733344"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46" w:type="dxa"/>
          </w:tcPr>
          <w:p w14:paraId="078285DB" w14:textId="77777777" w:rsidR="00BF18CF" w:rsidRDefault="00E51347">
            <w:pPr>
              <w:numPr>
                <w:ilvl w:val="0"/>
                <w:numId w:val="19"/>
              </w:numPr>
            </w:pPr>
            <w:r>
              <w:t xml:space="preserve">L’examen du manuscrit </w:t>
            </w:r>
            <w:proofErr w:type="gramStart"/>
            <w:r>
              <w:rPr>
                <w:i/>
              </w:rPr>
              <w:t>Mont</w:t>
            </w:r>
            <w:proofErr w:type="gramEnd"/>
            <w:r>
              <w:rPr>
                <w:i/>
              </w:rPr>
              <w:t xml:space="preserve"> Sinaï, MS gr. 418</w:t>
            </w:r>
            <w:r>
              <w:t xml:space="preserve"> par Nicholas Pickwoad en novembre 2003 (</w:t>
            </w:r>
            <w:r>
              <w:rPr>
                <w:rFonts w:ascii="Consolas" w:eastAsia="Consolas" w:hAnsi="Consolas" w:cs="Consolas"/>
                <w:sz w:val="22"/>
                <w:szCs w:val="22"/>
                <w:shd w:val="clear" w:color="auto" w:fill="EAEEF3"/>
              </w:rPr>
              <w:t>E13_Assignation_d’attribut</w:t>
            </w:r>
            <w:r>
              <w:t>) (Honey et Pickwoad, 2010)</w:t>
            </w:r>
          </w:p>
          <w:p w14:paraId="3555E758" w14:textId="77777777" w:rsidR="00BF18CF" w:rsidRDefault="00E51347">
            <w:pPr>
              <w:numPr>
                <w:ilvl w:val="0"/>
                <w:numId w:val="19"/>
              </w:numPr>
            </w:pPr>
            <w:r>
              <w:t>L’évaluation de la propriété actuelle de la coupe en argent de Martin Doerr en février 1997 (fictif)</w:t>
            </w:r>
          </w:p>
        </w:tc>
      </w:tr>
      <w:tr w:rsidR="00BF18CF" w14:paraId="4D48015C" w14:textId="77777777" w:rsidTr="00BF18CF">
        <w:tc>
          <w:tcPr>
            <w:tcW w:w="1740" w:type="dxa"/>
          </w:tcPr>
          <w:p w14:paraId="747ECBA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6" w:type="dxa"/>
          </w:tcPr>
          <w:p w14:paraId="3F58D09E" w14:textId="77777777" w:rsidR="00BF18CF" w:rsidRDefault="00E51347">
            <w:r>
              <w:t>E13(x) ⇒ E7(x)</w:t>
            </w:r>
          </w:p>
        </w:tc>
      </w:tr>
      <w:tr w:rsidR="00BF18CF" w14:paraId="0DFBF3E0" w14:textId="77777777" w:rsidTr="00BF18CF">
        <w:tc>
          <w:tcPr>
            <w:tcW w:w="1740" w:type="dxa"/>
          </w:tcPr>
          <w:p w14:paraId="5E68F69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7BC90CB1" w14:textId="77777777" w:rsidR="00BF18CF" w:rsidRDefault="00E51347">
            <w:r>
              <w:rPr>
                <w:rFonts w:ascii="Consolas" w:eastAsia="Consolas" w:hAnsi="Consolas" w:cs="Consolas"/>
                <w:sz w:val="22"/>
                <w:szCs w:val="22"/>
                <w:shd w:val="clear" w:color="auto" w:fill="EAEEF3"/>
              </w:rPr>
              <w:t>P140_a_assigné_l'attribut_à (a_reçu_l'attribut_par)</w:t>
            </w:r>
            <w:r>
              <w:t xml:space="preserve"> : </w:t>
            </w:r>
            <w:r>
              <w:rPr>
                <w:rFonts w:ascii="Consolas" w:eastAsia="Consolas" w:hAnsi="Consolas" w:cs="Consolas"/>
                <w:sz w:val="22"/>
                <w:szCs w:val="22"/>
                <w:shd w:val="clear" w:color="auto" w:fill="EAEEF3"/>
              </w:rPr>
              <w:t>E1_Entité_CRM</w:t>
            </w:r>
          </w:p>
          <w:p w14:paraId="6AF8DC95" w14:textId="77777777" w:rsidR="00BF18CF" w:rsidRDefault="00E51347">
            <w:r>
              <w:rPr>
                <w:rFonts w:ascii="Consolas" w:eastAsia="Consolas" w:hAnsi="Consolas" w:cs="Consolas"/>
                <w:sz w:val="22"/>
                <w:szCs w:val="22"/>
                <w:shd w:val="clear" w:color="auto" w:fill="EAEEF3"/>
              </w:rPr>
              <w:t>P141_a_assigné (a_été_assigné_par)</w:t>
            </w:r>
            <w:r>
              <w:t xml:space="preserve"> : </w:t>
            </w:r>
            <w:r>
              <w:rPr>
                <w:rFonts w:ascii="Consolas" w:eastAsia="Consolas" w:hAnsi="Consolas" w:cs="Consolas"/>
                <w:sz w:val="22"/>
                <w:szCs w:val="22"/>
                <w:shd w:val="clear" w:color="auto" w:fill="EAEEF3"/>
              </w:rPr>
              <w:t>E1_Entité_CRM</w:t>
            </w:r>
          </w:p>
          <w:p w14:paraId="68332AC0" w14:textId="77777777" w:rsidR="00BF18CF" w:rsidRDefault="00E51347">
            <w:r>
              <w:rPr>
                <w:rFonts w:ascii="Consolas" w:eastAsia="Consolas" w:hAnsi="Consolas" w:cs="Consolas"/>
                <w:sz w:val="22"/>
                <w:szCs w:val="22"/>
                <w:shd w:val="clear" w:color="auto" w:fill="EAEEF3"/>
              </w:rPr>
              <w:t>P177_a_assigné_le_type_de_propriété (est_le_type_de_la_propriété_assigné)</w:t>
            </w:r>
            <w:r>
              <w:t xml:space="preserve"> : </w:t>
            </w:r>
            <w:r>
              <w:rPr>
                <w:rFonts w:ascii="Consolas" w:eastAsia="Consolas" w:hAnsi="Consolas" w:cs="Consolas"/>
                <w:sz w:val="22"/>
                <w:szCs w:val="22"/>
                <w:shd w:val="clear" w:color="auto" w:fill="EAEEF3"/>
              </w:rPr>
              <w:t>E55_Type</w:t>
            </w:r>
          </w:p>
        </w:tc>
      </w:tr>
      <w:tr w:rsidR="00BF18CF" w14:paraId="0C880D07" w14:textId="77777777" w:rsidTr="00BF18CF">
        <w:tc>
          <w:tcPr>
            <w:tcW w:w="1740" w:type="dxa"/>
          </w:tcPr>
          <w:p w14:paraId="15C78FFA" w14:textId="6778482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23EB14C2" w14:textId="77777777" w:rsidR="00BF18CF" w:rsidRDefault="00E51347">
            <w:r>
              <w:t>Le nom du manuscrit MS Sinai Greek 418 a été traduit en suivant les choix du Portail Biblissima</w:t>
            </w:r>
          </w:p>
        </w:tc>
      </w:tr>
      <w:tr w:rsidR="00BF18CF" w14:paraId="3FA8191B" w14:textId="77777777" w:rsidTr="00BF18CF">
        <w:tc>
          <w:tcPr>
            <w:tcW w:w="1740" w:type="dxa"/>
          </w:tcPr>
          <w:p w14:paraId="5A68820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765076F7" w14:textId="77777777" w:rsidR="00BF18CF" w:rsidRDefault="00E51347">
            <w:r>
              <w:t>Climacus, John. « Égypte, Mont Sinaï, Monastère Sainte-Catherine, MS gr. 418 ». Manuscrit. Monastère Sainte-Catherine, EG-JS, 1100.</w:t>
            </w:r>
            <w:hyperlink r:id="rId378">
              <w:r>
                <w:rPr>
                  <w:color w:val="4F81BD"/>
                </w:rPr>
                <w:t xml:space="preserve"> </w:t>
              </w:r>
              <w:r>
                <w:rPr>
                  <w:color w:val="4F81BD"/>
                </w:rPr>
                <w:lastRenderedPageBreak/>
                <w:t>https://portail.biblissima.fr/fr/ark:/43093/mdata4173039fff31678134d93fd0bd8ff41dd71226a8</w:t>
              </w:r>
            </w:hyperlink>
            <w:r>
              <w:t>.</w:t>
            </w:r>
          </w:p>
          <w:p w14:paraId="07F0E5AF" w14:textId="77777777" w:rsidR="00BF18CF" w:rsidRDefault="00E51347">
            <w:r w:rsidRPr="00EE61A5">
              <w:rPr>
                <w:lang w:val="en-CA"/>
              </w:rPr>
              <w:t xml:space="preserve">———. « Greek Manuscripts 418. John Climacus ». Manuscrit. </w:t>
            </w:r>
            <w:r>
              <w:t>Monastère Sainte-Catherine, EG-JS, 1100.</w:t>
            </w:r>
            <w:hyperlink r:id="rId379">
              <w:r>
                <w:rPr>
                  <w:color w:val="4F81BD"/>
                </w:rPr>
                <w:t xml:space="preserve"> https://www.loc.gov/item/00279380435-ms</w:t>
              </w:r>
            </w:hyperlink>
            <w:r>
              <w:t>.</w:t>
            </w:r>
          </w:p>
        </w:tc>
      </w:tr>
    </w:tbl>
    <w:p w14:paraId="2ED7F2EE" w14:textId="77777777" w:rsidR="00BF18CF" w:rsidRDefault="00E51347">
      <w:pPr>
        <w:pStyle w:val="Heading3"/>
      </w:pPr>
      <w:bookmarkStart w:id="129" w:name="bookmark=id.2afmg28" w:colFirst="0" w:colLast="0"/>
      <w:bookmarkStart w:id="130" w:name="_Toc144360807"/>
      <w:bookmarkEnd w:id="129"/>
      <w:r>
        <w:lastRenderedPageBreak/>
        <w:t>E14 Évaluation d’état matériel</w:t>
      </w:r>
      <w:bookmarkEnd w:id="130"/>
    </w:p>
    <w:tbl>
      <w:tblPr>
        <w:tblStyle w:val="afffff0"/>
        <w:tblW w:w="1068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0"/>
        <w:gridCol w:w="8946"/>
      </w:tblGrid>
      <w:tr w:rsidR="00BF18CF" w14:paraId="07548BF6" w14:textId="77777777" w:rsidTr="00BF18CF">
        <w:tc>
          <w:tcPr>
            <w:tcW w:w="1740" w:type="dxa"/>
          </w:tcPr>
          <w:p w14:paraId="2D8F714C"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72FA4C78" w14:textId="77777777" w:rsidR="00BF18CF" w:rsidRDefault="00E51347">
            <w:r>
              <w:rPr>
                <w:rFonts w:ascii="Consolas" w:eastAsia="Consolas" w:hAnsi="Consolas" w:cs="Consolas"/>
                <w:sz w:val="22"/>
                <w:szCs w:val="22"/>
                <w:shd w:val="clear" w:color="auto" w:fill="EAEEF3"/>
              </w:rPr>
              <w:t>E13_Assignation_d’attribut</w:t>
            </w:r>
          </w:p>
        </w:tc>
      </w:tr>
      <w:tr w:rsidR="00BF18CF" w14:paraId="23BC7C71" w14:textId="77777777" w:rsidTr="00BF18CF">
        <w:tc>
          <w:tcPr>
            <w:tcW w:w="1740" w:type="dxa"/>
          </w:tcPr>
          <w:p w14:paraId="518A134A"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3912DD31" w14:textId="77777777" w:rsidR="00BF18CF" w:rsidRDefault="00BF18CF">
            <w:pPr>
              <w:pBdr>
                <w:top w:val="nil"/>
                <w:left w:val="nil"/>
                <w:bottom w:val="nil"/>
                <w:right w:val="nil"/>
                <w:between w:val="nil"/>
              </w:pBdr>
              <w:spacing w:before="36" w:after="36"/>
              <w:rPr>
                <w:color w:val="000000"/>
              </w:rPr>
            </w:pPr>
          </w:p>
        </w:tc>
      </w:tr>
      <w:tr w:rsidR="00BF18CF" w14:paraId="48209B72" w14:textId="77777777" w:rsidTr="00BF18CF">
        <w:tc>
          <w:tcPr>
            <w:tcW w:w="1740" w:type="dxa"/>
          </w:tcPr>
          <w:p w14:paraId="10FEB42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1651D905" w14:textId="77777777" w:rsidR="00BF18CF" w:rsidRDefault="00E51347">
            <w:r>
              <w:t>Cette classe décrit l’acte d’évaluer l’état de conservation d’un objet durant une période donnée.</w:t>
            </w:r>
          </w:p>
          <w:p w14:paraId="5CFF45AB" w14:textId="77777777" w:rsidR="00BF18CF" w:rsidRDefault="00E51347">
            <w:r>
              <w:t>L’évaluation d’état matériel peut être effectuée par le biais d’une inspection, d’un mesurage ou d’une recherche historique. Cette classe est utilisée afin de documenter les circonstances ayant conduit à l’évaluation qui pourraient être pertinentes pour interpréter la qualité de l’objet à un stade ultérieur, ou pour poursuivre la recherche sur des documents connexes.</w:t>
            </w:r>
          </w:p>
        </w:tc>
      </w:tr>
      <w:tr w:rsidR="00BF18CF" w14:paraId="2A9EC22A" w14:textId="77777777" w:rsidTr="00BF18CF">
        <w:tc>
          <w:tcPr>
            <w:tcW w:w="1740" w:type="dxa"/>
          </w:tcPr>
          <w:p w14:paraId="25F83497"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6" w:type="dxa"/>
          </w:tcPr>
          <w:p w14:paraId="3E0645F8" w14:textId="77777777" w:rsidR="00BF18CF" w:rsidRDefault="00E51347">
            <w:pPr>
              <w:numPr>
                <w:ilvl w:val="0"/>
                <w:numId w:val="19"/>
              </w:numPr>
            </w:pPr>
            <w:r>
              <w:t>L’inspection datant de l’année dernière des dommages causés par l’humidité aux fresques de la chapelle Saint-George de notre village (fictif)</w:t>
            </w:r>
          </w:p>
          <w:p w14:paraId="11B70F04" w14:textId="77777777" w:rsidR="00BF18CF" w:rsidRDefault="00E51347">
            <w:pPr>
              <w:numPr>
                <w:ilvl w:val="0"/>
                <w:numId w:val="19"/>
              </w:numPr>
            </w:pPr>
            <w:r>
              <w:t xml:space="preserve">L’évaluation de l’état matériel des bâtonnets de la tranchefile du manuscrit </w:t>
            </w:r>
            <w:proofErr w:type="gramStart"/>
            <w:r>
              <w:rPr>
                <w:i/>
              </w:rPr>
              <w:t>Mont</w:t>
            </w:r>
            <w:proofErr w:type="gramEnd"/>
            <w:r>
              <w:rPr>
                <w:i/>
              </w:rPr>
              <w:t xml:space="preserve"> Sinaï, MS gr. 418</w:t>
            </w:r>
            <w:r>
              <w:t xml:space="preserve"> par Nicholas Pickwoad en novembre 2003 (</w:t>
            </w:r>
            <w:r>
              <w:rPr>
                <w:rFonts w:ascii="Consolas" w:eastAsia="Consolas" w:hAnsi="Consolas" w:cs="Consolas"/>
                <w:sz w:val="22"/>
                <w:szCs w:val="22"/>
                <w:shd w:val="clear" w:color="auto" w:fill="EAEEF3"/>
              </w:rPr>
              <w:t>E14_Évaluation_d’état_matériel</w:t>
            </w:r>
            <w:r>
              <w:t>) (Honey et Pickwoad, 2010)</w:t>
            </w:r>
          </w:p>
          <w:p w14:paraId="36C7D0B7" w14:textId="77777777" w:rsidR="00BF18CF" w:rsidRDefault="00E51347">
            <w:pPr>
              <w:numPr>
                <w:ilvl w:val="0"/>
                <w:numId w:val="19"/>
              </w:numPr>
            </w:pPr>
            <w:r>
              <w:t xml:space="preserve">L’évaluation de l'état matériel de la couverture du manuscrit </w:t>
            </w:r>
            <w:proofErr w:type="gramStart"/>
            <w:r>
              <w:rPr>
                <w:i/>
              </w:rPr>
              <w:t>Mont</w:t>
            </w:r>
            <w:proofErr w:type="gramEnd"/>
            <w:r>
              <w:rPr>
                <w:i/>
              </w:rPr>
              <w:t xml:space="preserve"> Sinaï, MS gr. 418</w:t>
            </w:r>
            <w:r>
              <w:t xml:space="preserve"> par Nicholas Pickwoad en novembre 2003 (</w:t>
            </w:r>
            <w:r>
              <w:rPr>
                <w:rFonts w:ascii="Consolas" w:eastAsia="Consolas" w:hAnsi="Consolas" w:cs="Consolas"/>
                <w:sz w:val="22"/>
                <w:szCs w:val="22"/>
                <w:shd w:val="clear" w:color="auto" w:fill="EAEEF3"/>
              </w:rPr>
              <w:t>E14_Évaluation_d’état_matériel</w:t>
            </w:r>
            <w:r>
              <w:t>) (Honey et Pickwoad, 2010)</w:t>
            </w:r>
          </w:p>
        </w:tc>
      </w:tr>
      <w:tr w:rsidR="00BF18CF" w14:paraId="491D34A8" w14:textId="77777777" w:rsidTr="00BF18CF">
        <w:tc>
          <w:tcPr>
            <w:tcW w:w="1740" w:type="dxa"/>
          </w:tcPr>
          <w:p w14:paraId="278B9C40"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6" w:type="dxa"/>
          </w:tcPr>
          <w:p w14:paraId="31F618AB" w14:textId="77777777" w:rsidR="00BF18CF" w:rsidRDefault="00E51347">
            <w:r>
              <w:t>E14(x) ⇒ E13(x)</w:t>
            </w:r>
          </w:p>
        </w:tc>
      </w:tr>
      <w:tr w:rsidR="00BF18CF" w14:paraId="48A26748" w14:textId="77777777" w:rsidTr="00BF18CF">
        <w:tc>
          <w:tcPr>
            <w:tcW w:w="1740" w:type="dxa"/>
          </w:tcPr>
          <w:p w14:paraId="0079F76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62144916" w14:textId="77777777" w:rsidR="00BF18CF" w:rsidRDefault="00E51347">
            <w:r>
              <w:rPr>
                <w:rFonts w:ascii="Consolas" w:eastAsia="Consolas" w:hAnsi="Consolas" w:cs="Consolas"/>
                <w:sz w:val="22"/>
                <w:szCs w:val="22"/>
                <w:shd w:val="clear" w:color="auto" w:fill="EAEEF3"/>
              </w:rPr>
              <w:t>P34_a_porté_sur (a_été_évalué_par)</w:t>
            </w:r>
            <w:r>
              <w:t xml:space="preserve"> : </w:t>
            </w:r>
            <w:r>
              <w:rPr>
                <w:rFonts w:ascii="Consolas" w:eastAsia="Consolas" w:hAnsi="Consolas" w:cs="Consolas"/>
                <w:sz w:val="22"/>
                <w:szCs w:val="22"/>
                <w:shd w:val="clear" w:color="auto" w:fill="EAEEF3"/>
              </w:rPr>
              <w:t>E18_Chose_matérielle</w:t>
            </w:r>
          </w:p>
          <w:p w14:paraId="3F44ACB5" w14:textId="77777777" w:rsidR="00BF18CF" w:rsidRDefault="00E51347">
            <w:r>
              <w:rPr>
                <w:rFonts w:ascii="Consolas" w:eastAsia="Consolas" w:hAnsi="Consolas" w:cs="Consolas"/>
                <w:sz w:val="22"/>
                <w:szCs w:val="22"/>
                <w:shd w:val="clear" w:color="auto" w:fill="EAEEF3"/>
              </w:rPr>
              <w:t>P35_a_identifié (a_été_identifié_par)</w:t>
            </w:r>
            <w:r>
              <w:t xml:space="preserve"> : </w:t>
            </w:r>
            <w:r>
              <w:rPr>
                <w:rFonts w:ascii="Consolas" w:eastAsia="Consolas" w:hAnsi="Consolas" w:cs="Consolas"/>
                <w:sz w:val="22"/>
                <w:szCs w:val="22"/>
                <w:shd w:val="clear" w:color="auto" w:fill="EAEEF3"/>
              </w:rPr>
              <w:t>E3_État_matériel</w:t>
            </w:r>
          </w:p>
        </w:tc>
      </w:tr>
      <w:tr w:rsidR="00BF18CF" w14:paraId="1745C851" w14:textId="77777777" w:rsidTr="00BF18CF">
        <w:tc>
          <w:tcPr>
            <w:tcW w:w="1740" w:type="dxa"/>
          </w:tcPr>
          <w:p w14:paraId="19611298" w14:textId="547DFEC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3C13181A" w14:textId="77777777" w:rsidR="00BF18CF" w:rsidRDefault="00E51347">
            <w:r>
              <w:t>Le nom du manuscrit MS Sinai Greek 418 a été traduit en suivant les choix du Portail Biblissima</w:t>
            </w:r>
          </w:p>
          <w:p w14:paraId="439070D7" w14:textId="77777777" w:rsidR="00BF18CF" w:rsidRDefault="00E51347">
            <w:r>
              <w:t>« Endband cores » a été traduit par « bâtonnets de la tranchefile ». Il aurait aussi été possible de traduire par « noyaux de la tranchefile », mais cette traduction est moins fréquente dans la littérature scientifique. « Endband cores » peut aussi se traduire uniquement par «</w:t>
            </w:r>
            <w:r>
              <w:rPr>
                <w:b/>
              </w:rPr>
              <w:t> </w:t>
            </w:r>
            <w:r>
              <w:t>bâtonnets », mais afin d'éviter toute ambiguïté, l'équipe de traduction a décidé d'ajouter « de la tranchefile ».</w:t>
            </w:r>
          </w:p>
        </w:tc>
      </w:tr>
      <w:tr w:rsidR="00BF18CF" w:rsidRPr="00103833" w14:paraId="7DF8DD75" w14:textId="77777777" w:rsidTr="00BF18CF">
        <w:tc>
          <w:tcPr>
            <w:tcW w:w="1740" w:type="dxa"/>
          </w:tcPr>
          <w:p w14:paraId="6B22879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26B8A697" w14:textId="77777777" w:rsidR="00BF18CF" w:rsidRDefault="00E51347">
            <w:r>
              <w:t>Climacus, John. « Égypte, Mont Sinaï, Monastère Sainte-Catherine, MS gr. 418 ». Manuscrit. Monastère Sainte-Catherine, EG-JS, 1100.</w:t>
            </w:r>
            <w:hyperlink r:id="rId380">
              <w:r>
                <w:rPr>
                  <w:color w:val="4F81BD"/>
                </w:rPr>
                <w:t xml:space="preserve"> https://portail.biblissima.fr/fr/ark:/43093/mdata4173039fff31678134d93fd0bd8ff41dd71226a8</w:t>
              </w:r>
            </w:hyperlink>
            <w:r>
              <w:t>.</w:t>
            </w:r>
          </w:p>
          <w:p w14:paraId="14DBB6B7" w14:textId="77777777" w:rsidR="00BF18CF" w:rsidRDefault="00E51347">
            <w:r w:rsidRPr="00EE61A5">
              <w:rPr>
                <w:lang w:val="en-CA"/>
              </w:rPr>
              <w:lastRenderedPageBreak/>
              <w:t xml:space="preserve">———. « Greek Manuscripts 418. John Climacus ». Manuscrit. </w:t>
            </w:r>
            <w:r>
              <w:t>Monastère Sainte-Catherine, EG-JS, 1100.</w:t>
            </w:r>
            <w:hyperlink r:id="rId381">
              <w:r>
                <w:rPr>
                  <w:color w:val="4F81BD"/>
                </w:rPr>
                <w:t xml:space="preserve"> https://www.loc.gov/item/00279380435-ms</w:t>
              </w:r>
            </w:hyperlink>
            <w:r>
              <w:t>.</w:t>
            </w:r>
          </w:p>
          <w:p w14:paraId="4BFD4560" w14:textId="77777777" w:rsidR="00BF18CF" w:rsidRDefault="00E51347">
            <w:r>
              <w:t xml:space="preserve">Lenormand, Louis Sébastien, et W. Maigne. « Tranchefile ». Dans </w:t>
            </w:r>
            <w:r>
              <w:rPr>
                <w:i/>
              </w:rPr>
              <w:t>Nouveau manuel complet du relieur en tous genres contenant les arts de l’assembleur, du satineur, du cartonneur, du marbreur sur tranches et du doreur sur tranches et sur cuir</w:t>
            </w:r>
            <w:r>
              <w:t>, édité par L. Mulo, 171‑75. Manuels Roret. 1900. Reprint, Paris, FR-IDF: Encyclopédie-Roret, 2006.</w:t>
            </w:r>
            <w:hyperlink r:id="rId382">
              <w:r>
                <w:rPr>
                  <w:color w:val="4F81BD"/>
                </w:rPr>
                <w:t xml:space="preserve"> https://www.moulinduverger.com/reliure-manuelle/roret-69.php</w:t>
              </w:r>
            </w:hyperlink>
            <w:r>
              <w:t>.</w:t>
            </w:r>
          </w:p>
          <w:p w14:paraId="4E5B44DF" w14:textId="77777777" w:rsidR="00BF18CF" w:rsidRDefault="00E51347">
            <w:r>
              <w:t xml:space="preserve">Louis, Olivier. « Bâtonnets de tranchefile, fabrication, matériel utilisé et dimensions. » Blogue. </w:t>
            </w:r>
            <w:r>
              <w:rPr>
                <w:i/>
              </w:rPr>
              <w:t>Reliure d’art dare</w:t>
            </w:r>
            <w:r>
              <w:t xml:space="preserve"> (blog), 28 septembre 2021.</w:t>
            </w:r>
            <w:hyperlink r:id="rId383">
              <w:r>
                <w:rPr>
                  <w:color w:val="4F81BD"/>
                </w:rPr>
                <w:t xml:space="preserve"> https://reliuredartdare.com/2021/09/batonnets-tranchefile-fabrication/</w:t>
              </w:r>
            </w:hyperlink>
            <w:r>
              <w:t>.</w:t>
            </w:r>
          </w:p>
          <w:p w14:paraId="1E6E066A" w14:textId="77777777" w:rsidR="00BF18CF" w:rsidRPr="00EE61A5" w:rsidRDefault="00E51347">
            <w:pPr>
              <w:rPr>
                <w:lang w:val="en-CA"/>
              </w:rPr>
            </w:pPr>
            <w:r>
              <w:t xml:space="preserve">Smith, Shelagh, et Hélène Francoeur. </w:t>
            </w:r>
            <w:r w:rsidRPr="00EE61A5">
              <w:rPr>
                <w:i/>
                <w:lang w:val="en-CA"/>
              </w:rPr>
              <w:t>English to French Book Arts Terms</w:t>
            </w:r>
            <w:r w:rsidRPr="00EE61A5">
              <w:rPr>
                <w:lang w:val="en-CA"/>
              </w:rPr>
              <w:t>. Toronto, CA-ON: Canadian Bookbinders and Book Artists Guild, 2021.</w:t>
            </w:r>
            <w:hyperlink r:id="rId384">
              <w:r w:rsidRPr="00EE61A5">
                <w:rPr>
                  <w:color w:val="4F81BD"/>
                  <w:lang w:val="en-CA"/>
                </w:rPr>
                <w:t xml:space="preserve"> https://www.cbbag.ca/resources/Public/Book%20Arts%20ENG%20FRE%20Translation.pdf</w:t>
              </w:r>
            </w:hyperlink>
            <w:r w:rsidRPr="00EE61A5">
              <w:rPr>
                <w:lang w:val="en-CA"/>
              </w:rPr>
              <w:t>.</w:t>
            </w:r>
          </w:p>
        </w:tc>
      </w:tr>
    </w:tbl>
    <w:p w14:paraId="4F54C03F" w14:textId="77777777" w:rsidR="00BF18CF" w:rsidRDefault="00E51347">
      <w:pPr>
        <w:pStyle w:val="Heading3"/>
      </w:pPr>
      <w:bookmarkStart w:id="131" w:name="bookmark=id.pkwqa1" w:colFirst="0" w:colLast="0"/>
      <w:bookmarkStart w:id="132" w:name="_Toc144360808"/>
      <w:bookmarkEnd w:id="131"/>
      <w:r>
        <w:lastRenderedPageBreak/>
        <w:t>E15 Assignation d’identifiant</w:t>
      </w:r>
      <w:bookmarkEnd w:id="132"/>
    </w:p>
    <w:tbl>
      <w:tblPr>
        <w:tblStyle w:val="a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59"/>
        <w:gridCol w:w="8931"/>
      </w:tblGrid>
      <w:tr w:rsidR="00BF18CF" w14:paraId="56F190AC" w14:textId="77777777" w:rsidTr="00BF18CF">
        <w:tc>
          <w:tcPr>
            <w:tcW w:w="1759" w:type="dxa"/>
          </w:tcPr>
          <w:p w14:paraId="01601CB6"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31" w:type="dxa"/>
          </w:tcPr>
          <w:p w14:paraId="5F3A3434" w14:textId="77777777" w:rsidR="00BF18CF" w:rsidRDefault="00E51347">
            <w:r>
              <w:rPr>
                <w:rFonts w:ascii="Consolas" w:eastAsia="Consolas" w:hAnsi="Consolas" w:cs="Consolas"/>
                <w:sz w:val="22"/>
                <w:szCs w:val="22"/>
                <w:shd w:val="clear" w:color="auto" w:fill="EAEEF3"/>
              </w:rPr>
              <w:t>E13_Assignation_d’attribut</w:t>
            </w:r>
          </w:p>
        </w:tc>
      </w:tr>
      <w:tr w:rsidR="00BF18CF" w14:paraId="77867E04" w14:textId="77777777" w:rsidTr="00BF18CF">
        <w:tc>
          <w:tcPr>
            <w:tcW w:w="1759" w:type="dxa"/>
          </w:tcPr>
          <w:p w14:paraId="0C47FD5D"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31" w:type="dxa"/>
          </w:tcPr>
          <w:p w14:paraId="40CF9B52" w14:textId="77777777" w:rsidR="00BF18CF" w:rsidRDefault="00BF18CF">
            <w:pPr>
              <w:pBdr>
                <w:top w:val="nil"/>
                <w:left w:val="nil"/>
                <w:bottom w:val="nil"/>
                <w:right w:val="nil"/>
                <w:between w:val="nil"/>
              </w:pBdr>
              <w:spacing w:before="36" w:after="36"/>
              <w:rPr>
                <w:color w:val="000000"/>
              </w:rPr>
            </w:pPr>
          </w:p>
        </w:tc>
      </w:tr>
      <w:tr w:rsidR="00BF18CF" w14:paraId="7D071421" w14:textId="77777777" w:rsidTr="00BF18CF">
        <w:tc>
          <w:tcPr>
            <w:tcW w:w="1759" w:type="dxa"/>
          </w:tcPr>
          <w:p w14:paraId="7D9D488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31" w:type="dxa"/>
          </w:tcPr>
          <w:p w14:paraId="15F349D1" w14:textId="77777777" w:rsidR="00BF18CF" w:rsidRDefault="00E51347">
            <w:r>
              <w:t xml:space="preserve">Cette classe comprend les activités desquelles résulte l’assignation d’un identifiant à une instance de </w:t>
            </w:r>
            <w:r>
              <w:rPr>
                <w:rFonts w:ascii="Consolas" w:eastAsia="Consolas" w:hAnsi="Consolas" w:cs="Consolas"/>
                <w:sz w:val="22"/>
                <w:szCs w:val="22"/>
                <w:shd w:val="clear" w:color="auto" w:fill="EAEEF3"/>
              </w:rPr>
              <w:t>E1_Entité_CRM</w:t>
            </w:r>
            <w:r>
              <w:t xml:space="preserve">. Les instances de </w:t>
            </w:r>
            <w:r>
              <w:rPr>
                <w:rFonts w:ascii="Consolas" w:eastAsia="Consolas" w:hAnsi="Consolas" w:cs="Consolas"/>
                <w:sz w:val="22"/>
                <w:szCs w:val="22"/>
                <w:shd w:val="clear" w:color="auto" w:fill="EAEEF3"/>
              </w:rPr>
              <w:t>E15_Assignation_d’identifiant</w:t>
            </w:r>
            <w:r>
              <w:t xml:space="preserve"> peuvent inclure la création de l’identifiant à partir de plusieurs éléments constitutifs, lesquels peuvent être des instances de </w:t>
            </w:r>
            <w:r>
              <w:rPr>
                <w:rFonts w:ascii="Consolas" w:eastAsia="Consolas" w:hAnsi="Consolas" w:cs="Consolas"/>
                <w:sz w:val="22"/>
                <w:szCs w:val="22"/>
                <w:shd w:val="clear" w:color="auto" w:fill="EAEEF3"/>
              </w:rPr>
              <w:t>E41_Appellation</w:t>
            </w:r>
            <w:r>
              <w:t xml:space="preserve">. La syntaxe et les types d’éléments constitutifs utilisés peuvent être déclarés dans une règle constituant une instance de </w:t>
            </w:r>
            <w:r>
              <w:rPr>
                <w:rFonts w:ascii="Consolas" w:eastAsia="Consolas" w:hAnsi="Consolas" w:cs="Consolas"/>
                <w:sz w:val="22"/>
                <w:szCs w:val="22"/>
                <w:shd w:val="clear" w:color="auto" w:fill="EAEEF3"/>
              </w:rPr>
              <w:t>E29_Conceptualisation_ou_procédure</w:t>
            </w:r>
            <w:r>
              <w:t>.</w:t>
            </w:r>
          </w:p>
          <w:p w14:paraId="31639F62" w14:textId="77777777" w:rsidR="00BF18CF" w:rsidRDefault="00E51347">
            <w:r>
              <w:t>Des exemples de tels identifiants comprennent les numéros de recherche et d'inventaire, les titres uniformes en bibliothéconomie et les identificateurs d’objets numériques. Documenter l’acte d’assignation et de désassignation est particulièrement utile lorsque les objets changent de garde ou que le système d’identification d’une organisation est modifié. Afin de conserver une trace de l’identité des choses dans de telles situations, il est important de documenter par qui, quand et dans quel but un identifiant a été assigné à une entité.</w:t>
            </w:r>
          </w:p>
          <w:p w14:paraId="55E63EE1" w14:textId="77777777" w:rsidR="00BF18CF" w:rsidRDefault="00E51347">
            <w:r>
              <w:t xml:space="preserve">Le fait qu’un identifiant soit privilégié par une organisation peut être exprimé en utilisant le chemin sémantique suivant :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 xml:space="preserve">P48_a_pour_identifiant_préférentiel (est_l’identifiant_préférentiel_de) </w:t>
            </w:r>
            <w:r>
              <w:t xml:space="preserve">: </w:t>
            </w:r>
            <w:r>
              <w:rPr>
                <w:rFonts w:ascii="Consolas" w:eastAsia="Consolas" w:hAnsi="Consolas" w:cs="Consolas"/>
                <w:sz w:val="22"/>
                <w:szCs w:val="22"/>
                <w:shd w:val="clear" w:color="auto" w:fill="EAEEF3"/>
              </w:rPr>
              <w:t>E42_Identifiant</w:t>
            </w:r>
            <w:r>
              <w:t xml:space="preserve">. Il pourrait être préférable de l’exprimer sous une forme indépendante du contexte en assignant un </w:t>
            </w:r>
            <w:r>
              <w:rPr>
                <w:rFonts w:ascii="Consolas" w:eastAsia="Consolas" w:hAnsi="Consolas" w:cs="Consolas"/>
                <w:sz w:val="22"/>
                <w:szCs w:val="22"/>
                <w:shd w:val="clear" w:color="auto" w:fill="EAEEF3"/>
              </w:rPr>
              <w:t>E55_Type</w:t>
            </w:r>
            <w:r>
              <w:t xml:space="preserve"> approprié, tel que « assignation d’identifiant privilégié » à l’instance de </w:t>
            </w:r>
            <w:r>
              <w:rPr>
                <w:rFonts w:ascii="Consolas" w:eastAsia="Consolas" w:hAnsi="Consolas" w:cs="Consolas"/>
                <w:sz w:val="22"/>
                <w:szCs w:val="22"/>
                <w:shd w:val="clear" w:color="auto" w:fill="EAEEF3"/>
              </w:rPr>
              <w:t>E15_Assignation_d’identifiant</w:t>
            </w:r>
            <w:r>
              <w:t xml:space="preserve">, par le biais de la propriété </w:t>
            </w:r>
            <w:r>
              <w:rPr>
                <w:rFonts w:ascii="Consolas" w:eastAsia="Consolas" w:hAnsi="Consolas" w:cs="Consolas"/>
                <w:sz w:val="22"/>
                <w:szCs w:val="22"/>
                <w:shd w:val="clear" w:color="auto" w:fill="EAEEF3"/>
              </w:rPr>
              <w:t>P2_a_pour_type (est_le_type_de)</w:t>
            </w:r>
            <w:r>
              <w:t>.</w:t>
            </w:r>
          </w:p>
        </w:tc>
      </w:tr>
      <w:tr w:rsidR="00BF18CF" w14:paraId="6A757352" w14:textId="77777777" w:rsidTr="00BF18CF">
        <w:tc>
          <w:tcPr>
            <w:tcW w:w="1759" w:type="dxa"/>
          </w:tcPr>
          <w:p w14:paraId="139C206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31" w:type="dxa"/>
          </w:tcPr>
          <w:p w14:paraId="67934D1B" w14:textId="77777777" w:rsidR="00BF18CF" w:rsidRDefault="00E51347">
            <w:pPr>
              <w:numPr>
                <w:ilvl w:val="0"/>
                <w:numId w:val="19"/>
              </w:numPr>
            </w:pPr>
            <w:r>
              <w:t>Le remplacement du numéro d’inventaire « TA959a » par « GE34604 » pour un tissu liturgique du XVII</w:t>
            </w:r>
            <w:r>
              <w:rPr>
                <w:vertAlign w:val="superscript"/>
              </w:rPr>
              <w:t>e</w:t>
            </w:r>
            <w:r>
              <w:t xml:space="preserve"> siècle au Musée Benaki à Athènes</w:t>
            </w:r>
          </w:p>
          <w:p w14:paraId="1901E82B" w14:textId="77777777" w:rsidR="00BF18CF" w:rsidRDefault="00E51347">
            <w:pPr>
              <w:numPr>
                <w:ilvl w:val="0"/>
                <w:numId w:val="19"/>
              </w:numPr>
            </w:pPr>
            <w:r>
              <w:lastRenderedPageBreak/>
              <w:t>Assignation du titre uniforme « Goethe, Johann Wolfgang von, 1749-1832. Faust. 1. Theil. » à l’œuvre</w:t>
            </w:r>
          </w:p>
          <w:p w14:paraId="7934678D" w14:textId="77777777" w:rsidR="00BF18CF" w:rsidRDefault="00E51347">
            <w:pPr>
              <w:numPr>
                <w:ilvl w:val="0"/>
                <w:numId w:val="19"/>
              </w:numPr>
            </w:pPr>
            <w:r>
              <w:t>Le 1</w:t>
            </w:r>
            <w:r>
              <w:rPr>
                <w:vertAlign w:val="superscript"/>
              </w:rPr>
              <w:t>er</w:t>
            </w:r>
            <w:r>
              <w:t xml:space="preserve"> juin 2001, assignation de la vedette de nom de personne « Guillaume, de Machaut, </w:t>
            </w:r>
            <w:proofErr w:type="gramStart"/>
            <w:r>
              <w:t>ca</w:t>
            </w:r>
            <w:proofErr w:type="gramEnd"/>
            <w:r>
              <w:t>. 1300-1377 » à Guillaume de Machaut</w:t>
            </w:r>
          </w:p>
        </w:tc>
      </w:tr>
      <w:tr w:rsidR="00BF18CF" w14:paraId="49282DCD" w14:textId="77777777" w:rsidTr="00BF18CF">
        <w:tc>
          <w:tcPr>
            <w:tcW w:w="1759" w:type="dxa"/>
          </w:tcPr>
          <w:p w14:paraId="36D60E98"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31" w:type="dxa"/>
          </w:tcPr>
          <w:p w14:paraId="4CFAB615" w14:textId="77777777" w:rsidR="00BF18CF" w:rsidRDefault="00E51347">
            <w:r>
              <w:t>E15(x) ⇒ E13(x)</w:t>
            </w:r>
          </w:p>
        </w:tc>
      </w:tr>
      <w:tr w:rsidR="00BF18CF" w14:paraId="33C856B4" w14:textId="77777777" w:rsidTr="00BF18CF">
        <w:tc>
          <w:tcPr>
            <w:tcW w:w="1759" w:type="dxa"/>
          </w:tcPr>
          <w:p w14:paraId="2571FA1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31" w:type="dxa"/>
          </w:tcPr>
          <w:p w14:paraId="20937442" w14:textId="77777777" w:rsidR="00BF18CF" w:rsidRDefault="00E51347">
            <w:r>
              <w:rPr>
                <w:rFonts w:ascii="Consolas" w:eastAsia="Consolas" w:hAnsi="Consolas" w:cs="Consolas"/>
                <w:sz w:val="22"/>
                <w:szCs w:val="22"/>
                <w:shd w:val="clear" w:color="auto" w:fill="EAEEF3"/>
              </w:rPr>
              <w:t>P37_a_assigné (a_été_assigné_par)</w:t>
            </w:r>
            <w:r>
              <w:t xml:space="preserve"> : </w:t>
            </w:r>
            <w:r>
              <w:rPr>
                <w:rFonts w:ascii="Consolas" w:eastAsia="Consolas" w:hAnsi="Consolas" w:cs="Consolas"/>
                <w:sz w:val="22"/>
                <w:szCs w:val="22"/>
                <w:shd w:val="clear" w:color="auto" w:fill="EAEEF3"/>
              </w:rPr>
              <w:t>E42_Identifiant</w:t>
            </w:r>
          </w:p>
          <w:p w14:paraId="53DFDB25" w14:textId="77777777" w:rsidR="00BF18CF" w:rsidRDefault="00E51347">
            <w:r>
              <w:rPr>
                <w:rFonts w:ascii="Consolas" w:eastAsia="Consolas" w:hAnsi="Consolas" w:cs="Consolas"/>
                <w:sz w:val="22"/>
                <w:szCs w:val="22"/>
                <w:shd w:val="clear" w:color="auto" w:fill="EAEEF3"/>
              </w:rPr>
              <w:t>P38_a_retiré_l’assignation (a_été_retiré_par)</w:t>
            </w:r>
          </w:p>
          <w:p w14:paraId="4DE70C1B" w14:textId="77777777" w:rsidR="00BF18CF" w:rsidRDefault="00E51347">
            <w:r>
              <w:rPr>
                <w:rFonts w:ascii="Consolas" w:eastAsia="Consolas" w:hAnsi="Consolas" w:cs="Consolas"/>
                <w:sz w:val="22"/>
                <w:szCs w:val="22"/>
                <w:shd w:val="clear" w:color="auto" w:fill="EAEEF3"/>
              </w:rPr>
              <w:t>P142_a_mobilisé_comme_élément</w:t>
            </w:r>
            <w:r>
              <w:t xml:space="preserve"> : </w:t>
            </w:r>
            <w:r>
              <w:rPr>
                <w:rFonts w:ascii="Consolas" w:eastAsia="Consolas" w:hAnsi="Consolas" w:cs="Consolas"/>
                <w:sz w:val="22"/>
                <w:szCs w:val="22"/>
                <w:shd w:val="clear" w:color="auto" w:fill="EAEEF3"/>
              </w:rPr>
              <w:t>E90_Objet_symbolique</w:t>
            </w:r>
          </w:p>
        </w:tc>
      </w:tr>
      <w:tr w:rsidR="00BF18CF" w14:paraId="4EF63CD2" w14:textId="77777777" w:rsidTr="00BF18CF">
        <w:tc>
          <w:tcPr>
            <w:tcW w:w="1759" w:type="dxa"/>
          </w:tcPr>
          <w:p w14:paraId="27B30AA3" w14:textId="465A6AD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31" w:type="dxa"/>
          </w:tcPr>
          <w:p w14:paraId="1AABE17D" w14:textId="77777777" w:rsidR="00BF18CF" w:rsidRDefault="00BF18CF">
            <w:pPr>
              <w:pBdr>
                <w:top w:val="nil"/>
                <w:left w:val="nil"/>
                <w:bottom w:val="nil"/>
                <w:right w:val="nil"/>
                <w:between w:val="nil"/>
              </w:pBdr>
              <w:spacing w:before="36" w:after="36"/>
              <w:rPr>
                <w:color w:val="000000"/>
              </w:rPr>
            </w:pPr>
          </w:p>
        </w:tc>
      </w:tr>
      <w:tr w:rsidR="00BF18CF" w14:paraId="6CBD3CDB" w14:textId="77777777" w:rsidTr="00BF18CF">
        <w:tc>
          <w:tcPr>
            <w:tcW w:w="1759" w:type="dxa"/>
          </w:tcPr>
          <w:p w14:paraId="578817E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31" w:type="dxa"/>
          </w:tcPr>
          <w:p w14:paraId="1B0A1466" w14:textId="77777777" w:rsidR="00BF18CF" w:rsidRDefault="00BF18CF">
            <w:pPr>
              <w:pBdr>
                <w:top w:val="nil"/>
                <w:left w:val="nil"/>
                <w:bottom w:val="nil"/>
                <w:right w:val="nil"/>
                <w:between w:val="nil"/>
              </w:pBdr>
              <w:spacing w:before="36" w:after="36"/>
              <w:rPr>
                <w:color w:val="000000"/>
              </w:rPr>
            </w:pPr>
          </w:p>
        </w:tc>
      </w:tr>
    </w:tbl>
    <w:p w14:paraId="32D4996B" w14:textId="77777777" w:rsidR="00BF18CF" w:rsidRDefault="00E51347">
      <w:pPr>
        <w:pStyle w:val="Heading3"/>
      </w:pPr>
      <w:bookmarkStart w:id="133" w:name="bookmark=id.39kk8xu" w:colFirst="0" w:colLast="0"/>
      <w:bookmarkStart w:id="134" w:name="_Toc144360809"/>
      <w:bookmarkEnd w:id="133"/>
      <w:r>
        <w:t>E16 Mesurage</w:t>
      </w:r>
      <w:bookmarkEnd w:id="134"/>
    </w:p>
    <w:tbl>
      <w:tblPr>
        <w:tblStyle w:val="a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7"/>
        <w:gridCol w:w="8943"/>
      </w:tblGrid>
      <w:tr w:rsidR="00BF18CF" w14:paraId="4A49E68A" w14:textId="77777777" w:rsidTr="00BF18CF">
        <w:tc>
          <w:tcPr>
            <w:tcW w:w="1747" w:type="dxa"/>
          </w:tcPr>
          <w:p w14:paraId="210E5B17"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3" w:type="dxa"/>
          </w:tcPr>
          <w:p w14:paraId="3EC94431" w14:textId="77777777" w:rsidR="00BF18CF" w:rsidRDefault="00E51347">
            <w:r>
              <w:rPr>
                <w:rFonts w:ascii="Consolas" w:eastAsia="Consolas" w:hAnsi="Consolas" w:cs="Consolas"/>
                <w:sz w:val="22"/>
                <w:szCs w:val="22"/>
                <w:shd w:val="clear" w:color="auto" w:fill="EAEEF3"/>
              </w:rPr>
              <w:t>E13_Assignation_d’attribut</w:t>
            </w:r>
          </w:p>
        </w:tc>
      </w:tr>
      <w:tr w:rsidR="00BF18CF" w14:paraId="22C69A3D" w14:textId="77777777" w:rsidTr="00BF18CF">
        <w:tc>
          <w:tcPr>
            <w:tcW w:w="1747" w:type="dxa"/>
          </w:tcPr>
          <w:p w14:paraId="101E14B4"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3" w:type="dxa"/>
          </w:tcPr>
          <w:p w14:paraId="6D0CE553" w14:textId="77777777" w:rsidR="00BF18CF" w:rsidRDefault="00BF18CF">
            <w:pPr>
              <w:pBdr>
                <w:top w:val="nil"/>
                <w:left w:val="nil"/>
                <w:bottom w:val="nil"/>
                <w:right w:val="nil"/>
                <w:between w:val="nil"/>
              </w:pBdr>
              <w:spacing w:before="36" w:after="36"/>
              <w:rPr>
                <w:color w:val="000000"/>
              </w:rPr>
            </w:pPr>
          </w:p>
        </w:tc>
      </w:tr>
      <w:tr w:rsidR="00BF18CF" w14:paraId="1FE66B76" w14:textId="77777777" w:rsidTr="00BF18CF">
        <w:tc>
          <w:tcPr>
            <w:tcW w:w="1747" w:type="dxa"/>
          </w:tcPr>
          <w:p w14:paraId="3817DE0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3" w:type="dxa"/>
          </w:tcPr>
          <w:p w14:paraId="06AD20B7" w14:textId="77777777" w:rsidR="00BF18CF" w:rsidRDefault="00E51347">
            <w:r>
              <w:t xml:space="preserve">Cette classe comprend les actions permettant de mesurer les propriétés physiques quantitatives et les autres valeurs qui peuvent être déterminées par une procédure systématique et objective d'observation directe des états particuliers de la réalité physique. Les propriétés des instances de </w:t>
            </w:r>
            <w:r>
              <w:rPr>
                <w:rFonts w:ascii="Consolas" w:eastAsia="Consolas" w:hAnsi="Consolas" w:cs="Consolas"/>
                <w:sz w:val="22"/>
                <w:szCs w:val="22"/>
                <w:shd w:val="clear" w:color="auto" w:fill="EAEEF3"/>
              </w:rPr>
              <w:t>E90_Objet_symbolique</w:t>
            </w:r>
            <w:r>
              <w:t xml:space="preserve"> peuvent être mesurées en observant certains de leurs supports représentatifs qui peuvent ou non être nommés explicitement. Dans le cas où le support peut être nommé, la propriété </w:t>
            </w:r>
            <w:r>
              <w:rPr>
                <w:rFonts w:ascii="Consolas" w:eastAsia="Consolas" w:hAnsi="Consolas" w:cs="Consolas"/>
                <w:sz w:val="22"/>
                <w:szCs w:val="22"/>
                <w:shd w:val="clear" w:color="auto" w:fill="EAEEF3"/>
              </w:rPr>
              <w:t>P16_a_mobilisé_l’objet_spécifique (a_été_mobilisé_pour)</w:t>
            </w:r>
            <w:r>
              <w:t xml:space="preserve"> doit être utilisée pour indiquer la ou les instances de </w:t>
            </w:r>
            <w:r>
              <w:rPr>
                <w:rFonts w:ascii="Consolas" w:eastAsia="Consolas" w:hAnsi="Consolas" w:cs="Consolas"/>
                <w:sz w:val="22"/>
                <w:szCs w:val="22"/>
                <w:shd w:val="clear" w:color="auto" w:fill="EAEEF3"/>
              </w:rPr>
              <w:t>E18_Chose_matérielle</w:t>
            </w:r>
            <w:r>
              <w:t xml:space="preserve"> qui ont été utilisées comme base empirique pour l'activité de mesure.</w:t>
            </w:r>
          </w:p>
          <w:p w14:paraId="3ACCB71E" w14:textId="77777777" w:rsidR="00BF18CF" w:rsidRDefault="00E51347">
            <w:r>
              <w:t>Des exemples incluent le calcul de la valeur monétaire nominale d'une collection de monnaies ou la durée d'un film sur une cassette vidéo spécifique.</w:t>
            </w:r>
          </w:p>
          <w:p w14:paraId="5A99BAEF" w14:textId="77777777" w:rsidR="00BF18CF" w:rsidRDefault="00E51347">
            <w:r>
              <w:t>Le mesurage (</w:t>
            </w:r>
            <w:r>
              <w:rPr>
                <w:rFonts w:ascii="Consolas" w:eastAsia="Consolas" w:hAnsi="Consolas" w:cs="Consolas"/>
                <w:sz w:val="22"/>
                <w:szCs w:val="22"/>
                <w:shd w:val="clear" w:color="auto" w:fill="EAEEF3"/>
              </w:rPr>
              <w:t>E16_Mesurage</w:t>
            </w:r>
            <w:r>
              <w:t xml:space="preserve">) peut impliquer un simple comptage ou l'utilisation d'outils, tels que des étalons ou des détecteurs de radiation. L'intérêt de cette approche est dans la méthode appliquée et le soin apporté, de manière à pouvoir juger ultérieurement de la fiabilité du résultat ou de poursuivre la recherche sur les documents associés. La date de l'événement est importante pour les dimensions, qui peuvent changer de valeur au fil du temps, comme la longueur d'un objet sujet au rétrécissement. Les méthodes et dispositifs employés doivent être associés à des instances de </w:t>
            </w:r>
            <w:r>
              <w:rPr>
                <w:rFonts w:ascii="Consolas" w:eastAsia="Consolas" w:hAnsi="Consolas" w:cs="Consolas"/>
                <w:sz w:val="22"/>
                <w:szCs w:val="22"/>
                <w:shd w:val="clear" w:color="auto" w:fill="EAEEF3"/>
              </w:rPr>
              <w:t>E16_Mesurage</w:t>
            </w:r>
            <w:r>
              <w:t xml:space="preserve"> par des propriétés telles que </w:t>
            </w:r>
            <w:r>
              <w:rPr>
                <w:rFonts w:ascii="Consolas" w:eastAsia="Consolas" w:hAnsi="Consolas" w:cs="Consolas"/>
                <w:sz w:val="22"/>
                <w:szCs w:val="22"/>
                <w:shd w:val="clear" w:color="auto" w:fill="EAEEF3"/>
              </w:rPr>
              <w:t>P33_a_mobilisé_comme_technique_spécifique</w:t>
            </w:r>
            <w:r>
              <w:t xml:space="preserve"> : </w:t>
            </w:r>
            <w:r>
              <w:rPr>
                <w:rFonts w:ascii="Consolas" w:eastAsia="Consolas" w:hAnsi="Consolas" w:cs="Consolas"/>
                <w:sz w:val="22"/>
                <w:szCs w:val="22"/>
                <w:shd w:val="clear" w:color="auto" w:fill="EAEEF3"/>
              </w:rPr>
              <w:t>E29_Conceptualisation_ou_procédure</w:t>
            </w:r>
            <w:r>
              <w:t xml:space="preserve">, </w:t>
            </w:r>
            <w:r>
              <w:rPr>
                <w:rFonts w:ascii="Consolas" w:eastAsia="Consolas" w:hAnsi="Consolas" w:cs="Consolas"/>
                <w:sz w:val="22"/>
                <w:szCs w:val="22"/>
                <w:shd w:val="clear" w:color="auto" w:fill="EAEEF3"/>
              </w:rPr>
              <w:t>P125_a_mobilisé_l'objet_du_type</w:t>
            </w:r>
            <w:r>
              <w:t xml:space="preserve"> : </w:t>
            </w:r>
            <w:r>
              <w:rPr>
                <w:rFonts w:ascii="Consolas" w:eastAsia="Consolas" w:hAnsi="Consolas" w:cs="Consolas"/>
                <w:sz w:val="22"/>
                <w:szCs w:val="22"/>
                <w:shd w:val="clear" w:color="auto" w:fill="EAEEF3"/>
              </w:rPr>
              <w:t>E55_Type</w:t>
            </w:r>
            <w:r>
              <w:t xml:space="preserve">, </w:t>
            </w:r>
            <w:r>
              <w:rPr>
                <w:rFonts w:ascii="Consolas" w:eastAsia="Consolas" w:hAnsi="Consolas" w:cs="Consolas"/>
                <w:sz w:val="22"/>
                <w:szCs w:val="22"/>
                <w:shd w:val="clear" w:color="auto" w:fill="EAEEF3"/>
              </w:rPr>
              <w:t>P16_a_mobilisé_l’objet_spécifique (a_été_mobilisé_pour)</w:t>
            </w:r>
            <w:r>
              <w:t xml:space="preserve"> : </w:t>
            </w:r>
            <w:r>
              <w:rPr>
                <w:rFonts w:ascii="Consolas" w:eastAsia="Consolas" w:hAnsi="Consolas" w:cs="Consolas"/>
                <w:sz w:val="22"/>
                <w:szCs w:val="22"/>
                <w:shd w:val="clear" w:color="auto" w:fill="EAEEF3"/>
              </w:rPr>
              <w:t>E70_Chose</w:t>
            </w:r>
            <w:r>
              <w:t xml:space="preserve">, alors que les techniques de base telles que la datation au carbone 14 doivent être encodées en utilisant </w:t>
            </w:r>
            <w:r>
              <w:rPr>
                <w:rFonts w:ascii="Consolas" w:eastAsia="Consolas" w:hAnsi="Consolas" w:cs="Consolas"/>
                <w:sz w:val="22"/>
                <w:szCs w:val="22"/>
                <w:shd w:val="clear" w:color="auto" w:fill="EAEEF3"/>
              </w:rPr>
              <w:t>P2_a_pour_type (est_le_type_de)</w:t>
            </w:r>
            <w:r>
              <w:t xml:space="preserve"> : </w:t>
            </w:r>
            <w:r>
              <w:rPr>
                <w:rFonts w:ascii="Consolas" w:eastAsia="Consolas" w:hAnsi="Consolas" w:cs="Consolas"/>
                <w:sz w:val="22"/>
                <w:szCs w:val="22"/>
                <w:shd w:val="clear" w:color="auto" w:fill="EAEEF3"/>
              </w:rPr>
              <w:t>E55_Type</w:t>
            </w:r>
            <w:r>
              <w:t xml:space="preserve">. Les détails concernant les méthodes et les dispositifs réutilisés ou réutilisables dans </w:t>
            </w:r>
            <w:r>
              <w:lastRenderedPageBreak/>
              <w:t xml:space="preserve">d'autres instances de </w:t>
            </w:r>
            <w:r>
              <w:rPr>
                <w:rFonts w:ascii="Consolas" w:eastAsia="Consolas" w:hAnsi="Consolas" w:cs="Consolas"/>
                <w:sz w:val="22"/>
                <w:szCs w:val="22"/>
                <w:shd w:val="clear" w:color="auto" w:fill="EAEEF3"/>
              </w:rPr>
              <w:t>E16_Mesurage</w:t>
            </w:r>
            <w:r>
              <w:t xml:space="preserve"> doivent être documentés pour ces entités plutôt que pour les mesures elles-mêmes, tandis que les détails concernant une exécution particulière peuvent être documentés en texte libre ou en instanciant des sous-activités adéquates, si ces détails peuvent être d'intérêt pour une requête plus globale.</w:t>
            </w:r>
          </w:p>
          <w:p w14:paraId="56A55623" w14:textId="77777777" w:rsidR="00BF18CF" w:rsidRDefault="00E51347">
            <w:r>
              <w:t xml:space="preserve">Qu'une mesure soit effectuée par un instrument ou par les sens humains, celle-ci représente la transition initiale de la réalité physique à l'information sans qu'aucun autre objet d'information documenté entre les deux dans la chaîne de raisonnement puisse représenter le résultat de l'interaction de l'observateur ou de l'appareil avec la réalité. Par conséquent, les propriétés inférées des entités représentées à l'aide d'images, comme des images satellites, ne sont pas considérées comme des instances de </w:t>
            </w:r>
            <w:r>
              <w:rPr>
                <w:rFonts w:ascii="Consolas" w:eastAsia="Consolas" w:hAnsi="Consolas" w:cs="Consolas"/>
                <w:sz w:val="22"/>
                <w:szCs w:val="22"/>
                <w:shd w:val="clear" w:color="auto" w:fill="EAEEF3"/>
              </w:rPr>
              <w:t>E16_Mesurage</w:t>
            </w:r>
            <w:r>
              <w:t xml:space="preserve">, mais comme des instances subséquentes de </w:t>
            </w:r>
            <w:r>
              <w:rPr>
                <w:rFonts w:ascii="Consolas" w:eastAsia="Consolas" w:hAnsi="Consolas" w:cs="Consolas"/>
                <w:sz w:val="22"/>
                <w:szCs w:val="22"/>
                <w:shd w:val="clear" w:color="auto" w:fill="EAEEF3"/>
              </w:rPr>
              <w:t>E13_Assignation_d’attribut</w:t>
            </w:r>
            <w:r>
              <w:t xml:space="preserve">. Plutôt, seule la production des images, comprises comme des réseaux d'intensités de radiation, est considérée comme une instance de </w:t>
            </w:r>
            <w:r>
              <w:rPr>
                <w:rFonts w:ascii="Consolas" w:eastAsia="Consolas" w:hAnsi="Consolas" w:cs="Consolas"/>
                <w:sz w:val="22"/>
                <w:szCs w:val="22"/>
                <w:shd w:val="clear" w:color="auto" w:fill="EAEEF3"/>
              </w:rPr>
              <w:t>E16_Mesurage</w:t>
            </w:r>
            <w:r>
              <w:t>. Le même raisonnement vaut pour les autres données captées.</w:t>
            </w:r>
          </w:p>
        </w:tc>
      </w:tr>
      <w:tr w:rsidR="00BF18CF" w14:paraId="214EBCA3" w14:textId="77777777" w:rsidTr="00BF18CF">
        <w:tc>
          <w:tcPr>
            <w:tcW w:w="1747" w:type="dxa"/>
          </w:tcPr>
          <w:p w14:paraId="65B5532D"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43" w:type="dxa"/>
          </w:tcPr>
          <w:p w14:paraId="7844BFDC" w14:textId="77777777" w:rsidR="00BF18CF" w:rsidRDefault="00E51347">
            <w:pPr>
              <w:numPr>
                <w:ilvl w:val="0"/>
                <w:numId w:val="19"/>
              </w:numPr>
            </w:pPr>
            <w:r>
              <w:t>La mesure de la hauteur de la coupe en argent « 232 » le 31 août 1997 (fictif)</w:t>
            </w:r>
          </w:p>
          <w:p w14:paraId="008144F3" w14:textId="77777777" w:rsidR="00BF18CF" w:rsidRDefault="00E51347">
            <w:pPr>
              <w:numPr>
                <w:ilvl w:val="0"/>
                <w:numId w:val="19"/>
              </w:numPr>
            </w:pPr>
            <w:r>
              <w:t>La datation au carbone 14 de la « Schoeninger Speer II » en 1996 [une lance en bois paléolithique complète datant d'environ 400 000 ans trouvée en 1995 à Schoeningen, Niedersachsen, en Allemagne] (Kouwenhoven, 1997)</w:t>
            </w:r>
          </w:p>
          <w:p w14:paraId="7A3ED2A6" w14:textId="77777777" w:rsidR="00BF18CF" w:rsidRDefault="00E51347">
            <w:pPr>
              <w:numPr>
                <w:ilvl w:val="0"/>
                <w:numId w:val="19"/>
              </w:numPr>
            </w:pPr>
            <w:r>
              <w:t xml:space="preserve">La taille en pixels de la version au format jpeg de l'œuvre peinte </w:t>
            </w:r>
            <w:r>
              <w:rPr>
                <w:i/>
              </w:rPr>
              <w:t>Bacchus et Ariane</w:t>
            </w:r>
            <w:r>
              <w:t xml:space="preserve"> de Titien datant de 1520-1523, téléchargeable gratuitement sur la page Web de la National Gallery de </w:t>
            </w:r>
            <w:proofErr w:type="gramStart"/>
            <w:r>
              <w:t>Londres ,</w:t>
            </w:r>
            <w:proofErr w:type="gramEnd"/>
            <w:r>
              <w:t xml:space="preserve"> est de 581 600 pixels</w:t>
            </w:r>
          </w:p>
          <w:p w14:paraId="5724293C" w14:textId="77777777" w:rsidR="00BF18CF" w:rsidRDefault="00E51347">
            <w:pPr>
              <w:numPr>
                <w:ilvl w:val="0"/>
                <w:numId w:val="19"/>
              </w:numPr>
            </w:pPr>
            <w:r>
              <w:t xml:space="preserve">La note d'application de </w:t>
            </w:r>
            <w:r>
              <w:rPr>
                <w:rFonts w:ascii="Consolas" w:eastAsia="Consolas" w:hAnsi="Consolas" w:cs="Consolas"/>
                <w:sz w:val="22"/>
                <w:szCs w:val="22"/>
                <w:shd w:val="clear" w:color="auto" w:fill="EAEEF3"/>
              </w:rPr>
              <w:t>E21_Personne</w:t>
            </w:r>
            <w:r>
              <w:t xml:space="preserve"> dans la version 5.0.4 de la Définition du Modèle conceptuel de référence CIDOC, telle que téléchargée </w:t>
            </w:r>
            <w:proofErr w:type="gramStart"/>
            <w:r>
              <w:t>depuis ,</w:t>
            </w:r>
            <w:proofErr w:type="gramEnd"/>
            <w:r>
              <w:t xml:space="preserve"> est composée de 77 mots</w:t>
            </w:r>
          </w:p>
        </w:tc>
      </w:tr>
      <w:tr w:rsidR="00BF18CF" w14:paraId="1E6F42C9" w14:textId="77777777" w:rsidTr="00BF18CF">
        <w:tc>
          <w:tcPr>
            <w:tcW w:w="1747" w:type="dxa"/>
          </w:tcPr>
          <w:p w14:paraId="64A78AE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3" w:type="dxa"/>
          </w:tcPr>
          <w:p w14:paraId="0A87FFDC" w14:textId="77777777" w:rsidR="00BF18CF" w:rsidRDefault="00E51347">
            <w:r>
              <w:t>E16(x) ⇒ E13(x)</w:t>
            </w:r>
          </w:p>
        </w:tc>
      </w:tr>
      <w:tr w:rsidR="00BF18CF" w14:paraId="4E1BF3C7" w14:textId="77777777" w:rsidTr="00BF18CF">
        <w:tc>
          <w:tcPr>
            <w:tcW w:w="1747" w:type="dxa"/>
          </w:tcPr>
          <w:p w14:paraId="2D61E4C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3" w:type="dxa"/>
          </w:tcPr>
          <w:p w14:paraId="1F924BE9" w14:textId="77777777" w:rsidR="00BF18CF" w:rsidRDefault="00E51347">
            <w:r>
              <w:rPr>
                <w:rFonts w:ascii="Consolas" w:eastAsia="Consolas" w:hAnsi="Consolas" w:cs="Consolas"/>
                <w:sz w:val="22"/>
                <w:szCs w:val="22"/>
                <w:shd w:val="clear" w:color="auto" w:fill="EAEEF3"/>
              </w:rPr>
              <w:t>P39_a_mesuré (a_été_mesuré_par)</w:t>
            </w:r>
            <w:r>
              <w:t xml:space="preserve"> : </w:t>
            </w:r>
            <w:r>
              <w:rPr>
                <w:rFonts w:ascii="Consolas" w:eastAsia="Consolas" w:hAnsi="Consolas" w:cs="Consolas"/>
                <w:sz w:val="22"/>
                <w:szCs w:val="22"/>
                <w:shd w:val="clear" w:color="auto" w:fill="EAEEF3"/>
              </w:rPr>
              <w:t>E1_Entité_CRM</w:t>
            </w:r>
          </w:p>
          <w:p w14:paraId="4A76E42A" w14:textId="77777777" w:rsidR="00BF18CF" w:rsidRDefault="00E51347">
            <w:r>
              <w:rPr>
                <w:rFonts w:ascii="Consolas" w:eastAsia="Consolas" w:hAnsi="Consolas" w:cs="Consolas"/>
                <w:sz w:val="22"/>
                <w:szCs w:val="22"/>
                <w:shd w:val="clear" w:color="auto" w:fill="EAEEF3"/>
              </w:rPr>
              <w:t>P40_a_relevé_comme_dimension (a_été_relevé_par)</w:t>
            </w:r>
            <w:r>
              <w:t xml:space="preserve"> : </w:t>
            </w:r>
            <w:r>
              <w:rPr>
                <w:rFonts w:ascii="Consolas" w:eastAsia="Consolas" w:hAnsi="Consolas" w:cs="Consolas"/>
                <w:sz w:val="22"/>
                <w:szCs w:val="22"/>
                <w:shd w:val="clear" w:color="auto" w:fill="EAEEF3"/>
              </w:rPr>
              <w:t>E54_Dimension</w:t>
            </w:r>
          </w:p>
        </w:tc>
      </w:tr>
      <w:tr w:rsidR="00BF18CF" w14:paraId="48C562B1" w14:textId="77777777" w:rsidTr="00BF18CF">
        <w:tc>
          <w:tcPr>
            <w:tcW w:w="1747" w:type="dxa"/>
          </w:tcPr>
          <w:p w14:paraId="2163EEF0" w14:textId="339983B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3" w:type="dxa"/>
          </w:tcPr>
          <w:p w14:paraId="11D23845" w14:textId="77777777" w:rsidR="00BF18CF" w:rsidRDefault="00BF18CF">
            <w:pPr>
              <w:pBdr>
                <w:top w:val="nil"/>
                <w:left w:val="nil"/>
                <w:bottom w:val="nil"/>
                <w:right w:val="nil"/>
                <w:between w:val="nil"/>
              </w:pBdr>
              <w:spacing w:before="36" w:after="36"/>
              <w:rPr>
                <w:color w:val="000000"/>
              </w:rPr>
            </w:pPr>
          </w:p>
        </w:tc>
      </w:tr>
      <w:tr w:rsidR="00BF18CF" w14:paraId="3A2E60B9" w14:textId="77777777" w:rsidTr="00BF18CF">
        <w:tc>
          <w:tcPr>
            <w:tcW w:w="1747" w:type="dxa"/>
          </w:tcPr>
          <w:p w14:paraId="5767FFE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3" w:type="dxa"/>
          </w:tcPr>
          <w:p w14:paraId="4BD15ECB" w14:textId="77777777" w:rsidR="00BF18CF" w:rsidRDefault="00BF18CF">
            <w:pPr>
              <w:pBdr>
                <w:top w:val="nil"/>
                <w:left w:val="nil"/>
                <w:bottom w:val="nil"/>
                <w:right w:val="nil"/>
                <w:between w:val="nil"/>
              </w:pBdr>
              <w:spacing w:before="36" w:after="36"/>
              <w:rPr>
                <w:color w:val="000000"/>
              </w:rPr>
            </w:pPr>
          </w:p>
        </w:tc>
      </w:tr>
    </w:tbl>
    <w:p w14:paraId="20415DEB" w14:textId="77777777" w:rsidR="00BF18CF" w:rsidRDefault="00E51347">
      <w:pPr>
        <w:pStyle w:val="Heading3"/>
      </w:pPr>
      <w:bookmarkStart w:id="135" w:name="bookmark=id.1opuj5n" w:colFirst="0" w:colLast="0"/>
      <w:bookmarkStart w:id="136" w:name="_Toc144360810"/>
      <w:bookmarkEnd w:id="135"/>
      <w:r>
        <w:t>E17 Assignation de type</w:t>
      </w:r>
      <w:bookmarkEnd w:id="136"/>
    </w:p>
    <w:tbl>
      <w:tblPr>
        <w:tblStyle w:val="a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77"/>
        <w:gridCol w:w="8913"/>
      </w:tblGrid>
      <w:tr w:rsidR="00BF18CF" w14:paraId="5A2981A7" w14:textId="77777777" w:rsidTr="00BF18CF">
        <w:tc>
          <w:tcPr>
            <w:tcW w:w="1777" w:type="dxa"/>
          </w:tcPr>
          <w:p w14:paraId="06BCC981"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13" w:type="dxa"/>
          </w:tcPr>
          <w:p w14:paraId="138B1822" w14:textId="77777777" w:rsidR="00BF18CF" w:rsidRDefault="00E51347">
            <w:r>
              <w:rPr>
                <w:rFonts w:ascii="Consolas" w:eastAsia="Consolas" w:hAnsi="Consolas" w:cs="Consolas"/>
                <w:sz w:val="22"/>
                <w:szCs w:val="22"/>
                <w:shd w:val="clear" w:color="auto" w:fill="EAEEF3"/>
              </w:rPr>
              <w:t>E13_Assignation_d’attribut</w:t>
            </w:r>
          </w:p>
        </w:tc>
      </w:tr>
      <w:tr w:rsidR="00BF18CF" w14:paraId="401158DC" w14:textId="77777777" w:rsidTr="00BF18CF">
        <w:tc>
          <w:tcPr>
            <w:tcW w:w="1777" w:type="dxa"/>
          </w:tcPr>
          <w:p w14:paraId="055FD171"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13" w:type="dxa"/>
          </w:tcPr>
          <w:p w14:paraId="47F2937F" w14:textId="77777777" w:rsidR="00BF18CF" w:rsidRDefault="00BF18CF">
            <w:pPr>
              <w:pBdr>
                <w:top w:val="nil"/>
                <w:left w:val="nil"/>
                <w:bottom w:val="nil"/>
                <w:right w:val="nil"/>
                <w:between w:val="nil"/>
              </w:pBdr>
              <w:spacing w:before="36" w:after="36"/>
              <w:rPr>
                <w:color w:val="000000"/>
              </w:rPr>
            </w:pPr>
          </w:p>
        </w:tc>
      </w:tr>
      <w:tr w:rsidR="00BF18CF" w14:paraId="6C42B2E5" w14:textId="77777777" w:rsidTr="00BF18CF">
        <w:tc>
          <w:tcPr>
            <w:tcW w:w="1777" w:type="dxa"/>
          </w:tcPr>
          <w:p w14:paraId="748AD51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13" w:type="dxa"/>
          </w:tcPr>
          <w:p w14:paraId="0D1D1BFD" w14:textId="77777777" w:rsidR="00BF18CF" w:rsidRDefault="00E51347">
            <w:r>
              <w:t>Cette classe comprend les actions de classification d'éléments de toute nature. Ces éléments comprennent des objets, des spécimens, des personnes, des actions et des concepts.</w:t>
            </w:r>
          </w:p>
          <w:p w14:paraId="30C7638C" w14:textId="77777777" w:rsidR="00BF18CF" w:rsidRDefault="00E51347">
            <w:r>
              <w:lastRenderedPageBreak/>
              <w:t>Cette classe permet de documenter le contexte des actions de classification pour lesquelles la valeur dépend de l'opinion de la personne effectuant la classification et de la date à laquelle la classification a été effectuée. Cette classe englobe également la notion de « détermination », c.-à-d. l'identification systématique et moléculaire d'un spécimen en biologie.</w:t>
            </w:r>
          </w:p>
        </w:tc>
      </w:tr>
      <w:tr w:rsidR="00BF18CF" w14:paraId="57019396" w14:textId="77777777" w:rsidTr="00BF18CF">
        <w:tc>
          <w:tcPr>
            <w:tcW w:w="1777" w:type="dxa"/>
          </w:tcPr>
          <w:p w14:paraId="55D5EE81"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13" w:type="dxa"/>
          </w:tcPr>
          <w:p w14:paraId="0B2BB9B0" w14:textId="77777777" w:rsidR="00BF18CF" w:rsidRDefault="00E51347">
            <w:pPr>
              <w:numPr>
                <w:ilvl w:val="0"/>
                <w:numId w:val="19"/>
              </w:numPr>
            </w:pPr>
            <w:r>
              <w:t>La première classification de l'objet « GE34604 » comme tissu liturgique le 2 octobre</w:t>
            </w:r>
          </w:p>
          <w:p w14:paraId="277F3ADA" w14:textId="77777777" w:rsidR="00BF18CF" w:rsidRDefault="00E51347">
            <w:pPr>
              <w:numPr>
                <w:ilvl w:val="0"/>
                <w:numId w:val="19"/>
              </w:numPr>
            </w:pPr>
            <w:r>
              <w:t xml:space="preserve">L'identification d'un cactus dans le jardin de Martin Doerr comme </w:t>
            </w:r>
            <w:r>
              <w:rPr>
                <w:i/>
              </w:rPr>
              <w:t>Cereus hildmannianus</w:t>
            </w:r>
            <w:r>
              <w:t xml:space="preserve"> K. Schumann en juillet 2003</w:t>
            </w:r>
          </w:p>
        </w:tc>
      </w:tr>
      <w:tr w:rsidR="00BF18CF" w14:paraId="17E8CD87" w14:textId="77777777" w:rsidTr="00BF18CF">
        <w:tc>
          <w:tcPr>
            <w:tcW w:w="1777" w:type="dxa"/>
          </w:tcPr>
          <w:p w14:paraId="7287CBE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13" w:type="dxa"/>
          </w:tcPr>
          <w:p w14:paraId="5EA5C0F8" w14:textId="77777777" w:rsidR="00BF18CF" w:rsidRDefault="00E51347">
            <w:r>
              <w:t>E17(x) ⇒ E13(x)</w:t>
            </w:r>
          </w:p>
        </w:tc>
      </w:tr>
      <w:tr w:rsidR="00BF18CF" w14:paraId="79FD1D0C" w14:textId="77777777" w:rsidTr="00BF18CF">
        <w:tc>
          <w:tcPr>
            <w:tcW w:w="1777" w:type="dxa"/>
          </w:tcPr>
          <w:p w14:paraId="592168F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13" w:type="dxa"/>
          </w:tcPr>
          <w:p w14:paraId="71C3C887" w14:textId="77777777" w:rsidR="00BF18CF" w:rsidRDefault="00E51347">
            <w:r>
              <w:rPr>
                <w:rFonts w:ascii="Consolas" w:eastAsia="Consolas" w:hAnsi="Consolas" w:cs="Consolas"/>
                <w:sz w:val="22"/>
                <w:szCs w:val="22"/>
                <w:shd w:val="clear" w:color="auto" w:fill="EAEEF3"/>
              </w:rPr>
              <w:t>P41_a_classifié (a_été_classifié_par)</w:t>
            </w:r>
            <w:r>
              <w:t xml:space="preserve"> : </w:t>
            </w:r>
            <w:r>
              <w:rPr>
                <w:rFonts w:ascii="Consolas" w:eastAsia="Consolas" w:hAnsi="Consolas" w:cs="Consolas"/>
                <w:sz w:val="22"/>
                <w:szCs w:val="22"/>
                <w:shd w:val="clear" w:color="auto" w:fill="EAEEF3"/>
              </w:rPr>
              <w:t>E1_Entité_CRM</w:t>
            </w:r>
          </w:p>
          <w:p w14:paraId="7EF0E138" w14:textId="77777777" w:rsidR="00BF18CF" w:rsidRDefault="00E51347">
            <w:r>
              <w:rPr>
                <w:rFonts w:ascii="Consolas" w:eastAsia="Consolas" w:hAnsi="Consolas" w:cs="Consolas"/>
                <w:sz w:val="22"/>
                <w:szCs w:val="22"/>
                <w:shd w:val="clear" w:color="auto" w:fill="EAEEF3"/>
              </w:rPr>
              <w:t>P42_a_assigné (a_été_assigné_par)</w:t>
            </w:r>
            <w:r>
              <w:t xml:space="preserve"> : </w:t>
            </w:r>
            <w:r>
              <w:rPr>
                <w:rFonts w:ascii="Consolas" w:eastAsia="Consolas" w:hAnsi="Consolas" w:cs="Consolas"/>
                <w:sz w:val="22"/>
                <w:szCs w:val="22"/>
                <w:shd w:val="clear" w:color="auto" w:fill="EAEEF3"/>
              </w:rPr>
              <w:t>E55_Type</w:t>
            </w:r>
          </w:p>
        </w:tc>
      </w:tr>
      <w:tr w:rsidR="00BF18CF" w14:paraId="591EC101" w14:textId="77777777" w:rsidTr="00BF18CF">
        <w:tc>
          <w:tcPr>
            <w:tcW w:w="1777" w:type="dxa"/>
          </w:tcPr>
          <w:p w14:paraId="7E50515D" w14:textId="5E19F6C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13" w:type="dxa"/>
          </w:tcPr>
          <w:p w14:paraId="6A4E4E4D" w14:textId="77777777" w:rsidR="00BF18CF" w:rsidRDefault="00BF18CF">
            <w:pPr>
              <w:pBdr>
                <w:top w:val="nil"/>
                <w:left w:val="nil"/>
                <w:bottom w:val="nil"/>
                <w:right w:val="nil"/>
                <w:between w:val="nil"/>
              </w:pBdr>
              <w:spacing w:before="36" w:after="36"/>
              <w:rPr>
                <w:color w:val="000000"/>
              </w:rPr>
            </w:pPr>
          </w:p>
        </w:tc>
      </w:tr>
      <w:tr w:rsidR="00BF18CF" w14:paraId="37FF7021" w14:textId="77777777" w:rsidTr="00BF18CF">
        <w:tc>
          <w:tcPr>
            <w:tcW w:w="1777" w:type="dxa"/>
          </w:tcPr>
          <w:p w14:paraId="0BDF25D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13" w:type="dxa"/>
          </w:tcPr>
          <w:p w14:paraId="0ABAB6B2" w14:textId="77777777" w:rsidR="00BF18CF" w:rsidRDefault="00BF18CF">
            <w:pPr>
              <w:pBdr>
                <w:top w:val="nil"/>
                <w:left w:val="nil"/>
                <w:bottom w:val="nil"/>
                <w:right w:val="nil"/>
                <w:between w:val="nil"/>
              </w:pBdr>
              <w:spacing w:before="36" w:after="36"/>
              <w:rPr>
                <w:color w:val="000000"/>
              </w:rPr>
            </w:pPr>
          </w:p>
        </w:tc>
      </w:tr>
    </w:tbl>
    <w:p w14:paraId="5D7D74EF" w14:textId="77777777" w:rsidR="00BF18CF" w:rsidRDefault="00E51347">
      <w:pPr>
        <w:pStyle w:val="Heading3"/>
      </w:pPr>
      <w:bookmarkStart w:id="137" w:name="_Toc144360811"/>
      <w:r>
        <w:t>E18 Chose matérielle</w:t>
      </w:r>
      <w:bookmarkEnd w:id="137"/>
    </w:p>
    <w:tbl>
      <w:tblPr>
        <w:tblStyle w:val="a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02"/>
        <w:gridCol w:w="8988"/>
      </w:tblGrid>
      <w:tr w:rsidR="00BF18CF" w14:paraId="02AD7417" w14:textId="77777777" w:rsidTr="00BF18CF">
        <w:tc>
          <w:tcPr>
            <w:tcW w:w="1702" w:type="dxa"/>
          </w:tcPr>
          <w:p w14:paraId="30FBD196"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88" w:type="dxa"/>
          </w:tcPr>
          <w:p w14:paraId="47A43C63" w14:textId="77777777" w:rsidR="00BF18CF" w:rsidRDefault="00E51347">
            <w:r>
              <w:rPr>
                <w:rFonts w:ascii="Consolas" w:eastAsia="Consolas" w:hAnsi="Consolas" w:cs="Consolas"/>
                <w:sz w:val="22"/>
                <w:szCs w:val="22"/>
                <w:shd w:val="clear" w:color="auto" w:fill="EAEEF3"/>
              </w:rPr>
              <w:t>E72_Objet_juridique</w:t>
            </w:r>
          </w:p>
        </w:tc>
      </w:tr>
      <w:tr w:rsidR="00BF18CF" w14:paraId="2642152B" w14:textId="77777777" w:rsidTr="00BF18CF">
        <w:tc>
          <w:tcPr>
            <w:tcW w:w="1702" w:type="dxa"/>
          </w:tcPr>
          <w:p w14:paraId="534B4CD4"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88" w:type="dxa"/>
          </w:tcPr>
          <w:p w14:paraId="2FE3D5BF" w14:textId="77777777" w:rsidR="007C10F0"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E19_Objet_matériel</w:t>
            </w:r>
          </w:p>
          <w:p w14:paraId="0ACF3CE2" w14:textId="7CBB1364" w:rsidR="00BF18CF" w:rsidRDefault="00E51347">
            <w:r>
              <w:rPr>
                <w:rFonts w:ascii="Consolas" w:eastAsia="Consolas" w:hAnsi="Consolas" w:cs="Consolas"/>
                <w:sz w:val="22"/>
                <w:szCs w:val="22"/>
                <w:shd w:val="clear" w:color="auto" w:fill="EAEEF3"/>
              </w:rPr>
              <w:t>E24_Chose_matérielle_élaborée_par_l’humain</w:t>
            </w:r>
          </w:p>
          <w:p w14:paraId="4B5F68BE" w14:textId="77777777" w:rsidR="00BF18CF" w:rsidRDefault="00E51347">
            <w:r>
              <w:rPr>
                <w:rFonts w:ascii="Consolas" w:eastAsia="Consolas" w:hAnsi="Consolas" w:cs="Consolas"/>
                <w:sz w:val="22"/>
                <w:szCs w:val="22"/>
                <w:shd w:val="clear" w:color="auto" w:fill="EAEEF3"/>
              </w:rPr>
              <w:t>E26_Caractéristique_physique</w:t>
            </w:r>
          </w:p>
        </w:tc>
      </w:tr>
      <w:tr w:rsidR="00BF18CF" w14:paraId="24C32C3E" w14:textId="77777777" w:rsidTr="00BF18CF">
        <w:tc>
          <w:tcPr>
            <w:tcW w:w="1702" w:type="dxa"/>
          </w:tcPr>
          <w:p w14:paraId="5032EBC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88" w:type="dxa"/>
          </w:tcPr>
          <w:p w14:paraId="4C8C5DB4" w14:textId="77777777" w:rsidR="00BF18CF" w:rsidRDefault="00E51347">
            <w:r>
              <w:t>Cette classe comprend toutes les entités physiques persistantes présentant une forme raisonnablement stable, [n.d.</w:t>
            </w:r>
            <w:proofErr w:type="gramStart"/>
            <w:r>
              <w:t>t.qu’elles</w:t>
            </w:r>
            <w:proofErr w:type="gramEnd"/>
            <w:r>
              <w:t xml:space="preserve"> aient été] élaborées par l’humain ou [n.d.t. qu’elles soient] naturelles.</w:t>
            </w:r>
          </w:p>
          <w:p w14:paraId="3FF39A82" w14:textId="77777777" w:rsidR="00BF18CF" w:rsidRDefault="00E51347">
            <w:r>
              <w:t>[</w:t>
            </w:r>
            <w:proofErr w:type="gramStart"/>
            <w:r>
              <w:t>n.d.t.</w:t>
            </w:r>
            <w:proofErr w:type="gramEnd"/>
            <w:r>
              <w:t xml:space="preserve"> Selon que ces instances de </w:t>
            </w:r>
            <w:r>
              <w:rPr>
                <w:rFonts w:ascii="Consolas" w:eastAsia="Consolas" w:hAnsi="Consolas" w:cs="Consolas"/>
                <w:sz w:val="22"/>
                <w:szCs w:val="22"/>
                <w:shd w:val="clear" w:color="auto" w:fill="EAEEF3"/>
              </w:rPr>
              <w:t>E18_Chose_matérielle</w:t>
            </w:r>
            <w:r>
              <w:t xml:space="preserve"> présentent ou non des limites naturelles, le CIDOC CRM les considère soit comme des instances de </w:t>
            </w:r>
            <w:r>
              <w:rPr>
                <w:rFonts w:ascii="Consolas" w:eastAsia="Consolas" w:hAnsi="Consolas" w:cs="Consolas"/>
                <w:sz w:val="22"/>
                <w:szCs w:val="22"/>
                <w:shd w:val="clear" w:color="auto" w:fill="EAEEF3"/>
              </w:rPr>
              <w:t>E19_Objet_matériel</w:t>
            </w:r>
            <w:r>
              <w:t xml:space="preserve">, soit comme des instances de </w:t>
            </w:r>
            <w:r>
              <w:rPr>
                <w:rFonts w:ascii="Consolas" w:eastAsia="Consolas" w:hAnsi="Consolas" w:cs="Consolas"/>
                <w:sz w:val="22"/>
                <w:szCs w:val="22"/>
                <w:shd w:val="clear" w:color="auto" w:fill="EAEEF3"/>
              </w:rPr>
              <w:t>E26_Caractéristique_physique</w:t>
            </w:r>
            <w:r>
              <w:t xml:space="preserve">, comme les trous, les rivières, les terrains, etc.] La plupart des instances de </w:t>
            </w:r>
            <w:r>
              <w:rPr>
                <w:rFonts w:ascii="Consolas" w:eastAsia="Consolas" w:hAnsi="Consolas" w:cs="Consolas"/>
                <w:sz w:val="22"/>
                <w:szCs w:val="22"/>
                <w:shd w:val="clear" w:color="auto" w:fill="EAEEF3"/>
              </w:rPr>
              <w:t>E19_Objet_matériel</w:t>
            </w:r>
            <w:r>
              <w:t xml:space="preserve"> peuvent être déplacées (si celles-ci ne sont pas trop lourdes), tandis que les caractéristiques [n.d.t. (</w:t>
            </w:r>
            <w:r>
              <w:rPr>
                <w:rFonts w:ascii="Consolas" w:eastAsia="Consolas" w:hAnsi="Consolas" w:cs="Consolas"/>
                <w:sz w:val="22"/>
                <w:szCs w:val="22"/>
                <w:shd w:val="clear" w:color="auto" w:fill="EAEEF3"/>
              </w:rPr>
              <w:t>E26_Caractéristique_physique</w:t>
            </w:r>
            <w:r>
              <w:t>)] font partie intégrante de la matière environnante.</w:t>
            </w:r>
          </w:p>
          <w:p w14:paraId="7F7B3814" w14:textId="77777777" w:rsidR="00BF18CF" w:rsidRDefault="00E51347">
            <w:r>
              <w:t xml:space="preserve">Une instance de </w:t>
            </w:r>
            <w:r>
              <w:rPr>
                <w:rFonts w:ascii="Consolas" w:eastAsia="Consolas" w:hAnsi="Consolas" w:cs="Consolas"/>
                <w:sz w:val="22"/>
                <w:szCs w:val="22"/>
                <w:shd w:val="clear" w:color="auto" w:fill="EAEEF3"/>
              </w:rPr>
              <w:t>E18_Chose_matérielle</w:t>
            </w:r>
            <w:r>
              <w:t xml:space="preserve"> occupe non seulement un espace géométrique particulier à tout instant de son existence, mais au cours de cette dernière elle forme également une trajectoire dans l’espace et le temps. Celle-ci occupe un volume réel dans l’espace-temps, c.-à-d. que ce volume est de nature phénoménale [n.d.t. en d’autres termes, il peut être perçu par les sens ou lors d’une expérience.] L’espace que la matière de la chose matérielle remplit ainsi que tous ses espaces intérieurs, comme l’intérieur d’une boîte, sont inclus dans cette conception de l’espace occupé. Aux fins de descriptions plus détaillées de la présence d’une instance de </w:t>
            </w:r>
            <w:r>
              <w:rPr>
                <w:rFonts w:ascii="Consolas" w:eastAsia="Consolas" w:hAnsi="Consolas" w:cs="Consolas"/>
                <w:sz w:val="22"/>
                <w:szCs w:val="22"/>
                <w:shd w:val="clear" w:color="auto" w:fill="EAEEF3"/>
              </w:rPr>
              <w:t>E18_Chose_matérielle</w:t>
            </w:r>
            <w:r>
              <w:t xml:space="preserve"> dans l’espace et le temps, elle peut être associée à </w:t>
            </w:r>
            <w:r>
              <w:lastRenderedPageBreak/>
              <w:t xml:space="preserve">son instance spécifique de </w:t>
            </w:r>
            <w:r>
              <w:rPr>
                <w:rFonts w:ascii="Consolas" w:eastAsia="Consolas" w:hAnsi="Consolas" w:cs="Consolas"/>
                <w:sz w:val="22"/>
                <w:szCs w:val="22"/>
                <w:shd w:val="clear" w:color="auto" w:fill="EAEEF3"/>
              </w:rPr>
              <w:t>E92_Volume_spatio-temporel</w:t>
            </w:r>
            <w:r>
              <w:t xml:space="preserve"> par la propriété </w:t>
            </w:r>
            <w:r>
              <w:rPr>
                <w:rFonts w:ascii="Consolas" w:eastAsia="Consolas" w:hAnsi="Consolas" w:cs="Consolas"/>
                <w:sz w:val="22"/>
                <w:szCs w:val="22"/>
                <w:shd w:val="clear" w:color="auto" w:fill="EAEEF3"/>
              </w:rPr>
              <w:t>P196_définit (est_défini_par)</w:t>
            </w:r>
            <w:r>
              <w:t>.</w:t>
            </w:r>
          </w:p>
          <w:p w14:paraId="352342B7" w14:textId="77777777" w:rsidR="00BF18CF" w:rsidRDefault="00E51347">
            <w:r>
              <w:t>Le CIDOC CRM ne traite généralement pas des cas d’amas de matière à l’état liquide ou gazeux tant qu’ils ne sont pas confinés d’une manière identifiable au sein d’un intervalle temporel minimalement identifiable.</w:t>
            </w:r>
          </w:p>
        </w:tc>
      </w:tr>
      <w:tr w:rsidR="00BF18CF" w14:paraId="7651F7D3" w14:textId="77777777" w:rsidTr="00BF18CF">
        <w:tc>
          <w:tcPr>
            <w:tcW w:w="1702" w:type="dxa"/>
          </w:tcPr>
          <w:p w14:paraId="6E84FE1E"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88" w:type="dxa"/>
          </w:tcPr>
          <w:p w14:paraId="7F15BC8E" w14:textId="77777777" w:rsidR="00BF18CF" w:rsidRDefault="00E51347">
            <w:pPr>
              <w:numPr>
                <w:ilvl w:val="0"/>
                <w:numId w:val="19"/>
              </w:numPr>
            </w:pPr>
            <w:r>
              <w:t>Le diamant Cullinan (</w:t>
            </w:r>
            <w:r>
              <w:rPr>
                <w:rFonts w:ascii="Consolas" w:eastAsia="Consolas" w:hAnsi="Consolas" w:cs="Consolas"/>
                <w:sz w:val="22"/>
                <w:szCs w:val="22"/>
                <w:shd w:val="clear" w:color="auto" w:fill="EAEEF3"/>
              </w:rPr>
              <w:t>E19_Objet_matériel</w:t>
            </w:r>
            <w:r>
              <w:t>) (Scarratt et Shor, 2006)</w:t>
            </w:r>
          </w:p>
          <w:p w14:paraId="7FEF96EF" w14:textId="77777777" w:rsidR="00BF18CF" w:rsidRDefault="00E51347">
            <w:pPr>
              <w:numPr>
                <w:ilvl w:val="0"/>
                <w:numId w:val="19"/>
              </w:numPr>
            </w:pPr>
            <w:r>
              <w:t xml:space="preserve">La grotte </w:t>
            </w:r>
            <w:r>
              <w:rPr>
                <w:i/>
              </w:rPr>
              <w:t>Ideon Andron</w:t>
            </w:r>
            <w:r>
              <w:t xml:space="preserve"> en Crète (</w:t>
            </w:r>
            <w:r>
              <w:rPr>
                <w:rFonts w:ascii="Consolas" w:eastAsia="Consolas" w:hAnsi="Consolas" w:cs="Consolas"/>
                <w:sz w:val="22"/>
                <w:szCs w:val="22"/>
                <w:shd w:val="clear" w:color="auto" w:fill="EAEEF3"/>
              </w:rPr>
              <w:t>E26_Caractéristique_physique</w:t>
            </w:r>
            <w:r>
              <w:t>) (Smith, 1844-49)</w:t>
            </w:r>
          </w:p>
          <w:p w14:paraId="257E38B3" w14:textId="77777777" w:rsidR="00BF18CF" w:rsidRDefault="00E51347">
            <w:pPr>
              <w:numPr>
                <w:ilvl w:val="0"/>
                <w:numId w:val="19"/>
              </w:numPr>
            </w:pPr>
            <w:r>
              <w:t xml:space="preserve">La </w:t>
            </w:r>
            <w:r>
              <w:rPr>
                <w:i/>
              </w:rPr>
              <w:t>Monna Lisa</w:t>
            </w:r>
            <w:r>
              <w:t xml:space="preserve"> (</w:t>
            </w:r>
            <w:r>
              <w:rPr>
                <w:rFonts w:ascii="Consolas" w:eastAsia="Consolas" w:hAnsi="Consolas" w:cs="Consolas"/>
                <w:sz w:val="22"/>
                <w:szCs w:val="22"/>
                <w:shd w:val="clear" w:color="auto" w:fill="EAEEF3"/>
              </w:rPr>
              <w:t>E22_Objet_élaboré_par_l’humain</w:t>
            </w:r>
            <w:r>
              <w:t>) (Mohem, 2006)</w:t>
            </w:r>
          </w:p>
        </w:tc>
      </w:tr>
      <w:tr w:rsidR="00BF18CF" w14:paraId="66B040A7" w14:textId="77777777" w:rsidTr="00BF18CF">
        <w:tc>
          <w:tcPr>
            <w:tcW w:w="1702" w:type="dxa"/>
          </w:tcPr>
          <w:p w14:paraId="419D60D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88" w:type="dxa"/>
          </w:tcPr>
          <w:p w14:paraId="4D984C34" w14:textId="77777777" w:rsidR="00BF18CF" w:rsidRDefault="00E51347">
            <w:r>
              <w:t>E18(x) ⇒ E72(x)</w:t>
            </w:r>
          </w:p>
        </w:tc>
      </w:tr>
      <w:tr w:rsidR="00BF18CF" w14:paraId="0D7D36F5" w14:textId="77777777" w:rsidTr="00BF18CF">
        <w:tc>
          <w:tcPr>
            <w:tcW w:w="1702" w:type="dxa"/>
          </w:tcPr>
          <w:p w14:paraId="12AD37B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88" w:type="dxa"/>
          </w:tcPr>
          <w:p w14:paraId="1A4004CF" w14:textId="77777777" w:rsidR="00BF18CF"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P44_a_pour_état_matériel (est_l'état_matériel_de)</w:t>
            </w:r>
            <w:r>
              <w:t xml:space="preserve"> : </w:t>
            </w:r>
            <w:r>
              <w:rPr>
                <w:rFonts w:ascii="Consolas" w:eastAsia="Consolas" w:hAnsi="Consolas" w:cs="Consolas"/>
                <w:sz w:val="22"/>
                <w:szCs w:val="22"/>
                <w:shd w:val="clear" w:color="auto" w:fill="EAEEF3"/>
              </w:rPr>
              <w:t>E3_État_matériel</w:t>
            </w:r>
          </w:p>
          <w:p w14:paraId="2505470D" w14:textId="77777777" w:rsidR="00BF18CF" w:rsidRDefault="00E51347">
            <w:r>
              <w:rPr>
                <w:rFonts w:ascii="Consolas" w:eastAsia="Consolas" w:hAnsi="Consolas" w:cs="Consolas"/>
                <w:sz w:val="22"/>
                <w:szCs w:val="22"/>
                <w:shd w:val="clear" w:color="auto" w:fill="EAEEF3"/>
              </w:rPr>
              <w:t>P45_comprend (est_inclus_dans)</w:t>
            </w:r>
            <w:r>
              <w:t xml:space="preserve"> : </w:t>
            </w:r>
            <w:r>
              <w:rPr>
                <w:rFonts w:ascii="Consolas" w:eastAsia="Consolas" w:hAnsi="Consolas" w:cs="Consolas"/>
                <w:sz w:val="22"/>
                <w:szCs w:val="22"/>
                <w:shd w:val="clear" w:color="auto" w:fill="EAEEF3"/>
              </w:rPr>
              <w:t>E57_Matériau</w:t>
            </w:r>
          </w:p>
          <w:p w14:paraId="56838CFF" w14:textId="77777777" w:rsidR="00BF18CF" w:rsidRDefault="00E51347">
            <w:r>
              <w:rPr>
                <w:rFonts w:ascii="Consolas" w:eastAsia="Consolas" w:hAnsi="Consolas" w:cs="Consolas"/>
                <w:sz w:val="22"/>
                <w:szCs w:val="22"/>
                <w:shd w:val="clear" w:color="auto" w:fill="EAEEF3"/>
              </w:rPr>
              <w:t>P46_est_composé_de (fait_partie_de)</w:t>
            </w:r>
            <w:r>
              <w:t xml:space="preserve"> : </w:t>
            </w:r>
            <w:r>
              <w:rPr>
                <w:rFonts w:ascii="Consolas" w:eastAsia="Consolas" w:hAnsi="Consolas" w:cs="Consolas"/>
                <w:sz w:val="22"/>
                <w:szCs w:val="22"/>
                <w:shd w:val="clear" w:color="auto" w:fill="EAEEF3"/>
              </w:rPr>
              <w:t>E18_Chose_matérielle</w:t>
            </w:r>
          </w:p>
          <w:p w14:paraId="0FC4F339" w14:textId="77777777" w:rsidR="00BF18CF" w:rsidRDefault="00E51347">
            <w:r>
              <w:rPr>
                <w:rFonts w:ascii="Consolas" w:eastAsia="Consolas" w:hAnsi="Consolas" w:cs="Consolas"/>
                <w:sz w:val="22"/>
                <w:szCs w:val="22"/>
                <w:shd w:val="clear" w:color="auto" w:fill="EAEEF3"/>
              </w:rPr>
              <w:t>P49_a_pour_actant_détenteur_actuel_ou_antérieur (est_l'actant_détenteur_actuel_ou_antérieur_de)</w:t>
            </w:r>
            <w:r>
              <w:t xml:space="preserve"> : </w:t>
            </w:r>
            <w:r>
              <w:rPr>
                <w:rFonts w:ascii="Consolas" w:eastAsia="Consolas" w:hAnsi="Consolas" w:cs="Consolas"/>
                <w:sz w:val="22"/>
                <w:szCs w:val="22"/>
                <w:shd w:val="clear" w:color="auto" w:fill="EAEEF3"/>
              </w:rPr>
              <w:t>E39_Actant</w:t>
            </w:r>
          </w:p>
          <w:p w14:paraId="11B38A5B" w14:textId="77777777" w:rsidR="00BF18CF" w:rsidRDefault="00E51347">
            <w:r>
              <w:rPr>
                <w:rFonts w:ascii="Consolas" w:eastAsia="Consolas" w:hAnsi="Consolas" w:cs="Consolas"/>
                <w:sz w:val="22"/>
                <w:szCs w:val="22"/>
                <w:shd w:val="clear" w:color="auto" w:fill="EAEEF3"/>
              </w:rPr>
              <w:t>P50_a_pour_actant_détenteur_actuel (est_actant_détenteur_actuel_de)</w:t>
            </w:r>
            <w:r>
              <w:t xml:space="preserve"> : </w:t>
            </w:r>
            <w:r>
              <w:rPr>
                <w:rFonts w:ascii="Consolas" w:eastAsia="Consolas" w:hAnsi="Consolas" w:cs="Consolas"/>
                <w:sz w:val="22"/>
                <w:szCs w:val="22"/>
                <w:shd w:val="clear" w:color="auto" w:fill="EAEEF3"/>
              </w:rPr>
              <w:t>E39_Actant</w:t>
            </w:r>
          </w:p>
          <w:p w14:paraId="2FCF84D3" w14:textId="77777777" w:rsidR="00BF18CF" w:rsidRDefault="00E51347">
            <w:r>
              <w:rPr>
                <w:rFonts w:ascii="Consolas" w:eastAsia="Consolas" w:hAnsi="Consolas" w:cs="Consolas"/>
                <w:sz w:val="22"/>
                <w:szCs w:val="22"/>
                <w:shd w:val="clear" w:color="auto" w:fill="EAEEF3"/>
              </w:rPr>
              <w:t>P51_a_pour_propriétaire_actuel_ou_antérieur (est_l’actant_propriétaire_actuel_ou_antérieur_de)</w:t>
            </w:r>
            <w:r>
              <w:t xml:space="preserve"> : </w:t>
            </w:r>
            <w:r>
              <w:rPr>
                <w:rFonts w:ascii="Consolas" w:eastAsia="Consolas" w:hAnsi="Consolas" w:cs="Consolas"/>
                <w:sz w:val="22"/>
                <w:szCs w:val="22"/>
                <w:shd w:val="clear" w:color="auto" w:fill="EAEEF3"/>
              </w:rPr>
              <w:t>E39_Actant</w:t>
            </w:r>
          </w:p>
          <w:p w14:paraId="47275C3B" w14:textId="77777777" w:rsidR="00BF18CF" w:rsidRDefault="00E51347">
            <w:r>
              <w:rPr>
                <w:rFonts w:ascii="Consolas" w:eastAsia="Consolas" w:hAnsi="Consolas" w:cs="Consolas"/>
                <w:sz w:val="22"/>
                <w:szCs w:val="22"/>
                <w:shd w:val="clear" w:color="auto" w:fill="EAEEF3"/>
              </w:rPr>
              <w:t>P52_a_pour_propriétaire_actuel (est_l’actant_propriétaire_actuel_de)</w:t>
            </w:r>
            <w:r>
              <w:t xml:space="preserve"> : </w:t>
            </w:r>
            <w:r>
              <w:rPr>
                <w:rFonts w:ascii="Consolas" w:eastAsia="Consolas" w:hAnsi="Consolas" w:cs="Consolas"/>
                <w:sz w:val="22"/>
                <w:szCs w:val="22"/>
                <w:shd w:val="clear" w:color="auto" w:fill="EAEEF3"/>
              </w:rPr>
              <w:t>E39_Actant</w:t>
            </w:r>
          </w:p>
          <w:p w14:paraId="19C988F7" w14:textId="77777777" w:rsidR="007C10F0" w:rsidRDefault="00E51347">
            <w:r>
              <w:rPr>
                <w:rFonts w:ascii="Consolas" w:eastAsia="Consolas" w:hAnsi="Consolas" w:cs="Consolas"/>
                <w:sz w:val="22"/>
                <w:szCs w:val="22"/>
                <w:shd w:val="clear" w:color="auto" w:fill="EAEEF3"/>
              </w:rPr>
              <w:t>P53_a_pour_localisation_actuelle_ou_antérieure (est_la_localisation_actuelle_ou_antérieure_de)</w:t>
            </w:r>
            <w:r>
              <w:t xml:space="preserve"> : </w:t>
            </w:r>
            <w:r>
              <w:rPr>
                <w:rFonts w:ascii="Consolas" w:eastAsia="Consolas" w:hAnsi="Consolas" w:cs="Consolas"/>
                <w:sz w:val="22"/>
                <w:szCs w:val="22"/>
                <w:shd w:val="clear" w:color="auto" w:fill="EAEEF3"/>
              </w:rPr>
              <w:t>E53_Lieu</w:t>
            </w:r>
            <w:r>
              <w:t xml:space="preserve"> </w:t>
            </w:r>
          </w:p>
          <w:p w14:paraId="4C0A2B82" w14:textId="66B71C67" w:rsidR="00BF18CF" w:rsidRDefault="00E51347">
            <w:r>
              <w:rPr>
                <w:rFonts w:ascii="Consolas" w:eastAsia="Consolas" w:hAnsi="Consolas" w:cs="Consolas"/>
                <w:sz w:val="22"/>
                <w:szCs w:val="22"/>
                <w:shd w:val="clear" w:color="auto" w:fill="EAEEF3"/>
              </w:rPr>
              <w:t>P59_a_pour_section (se_situe_sur_ou_dans)</w:t>
            </w:r>
            <w:r>
              <w:t xml:space="preserve"> : </w:t>
            </w:r>
            <w:r>
              <w:rPr>
                <w:rFonts w:ascii="Consolas" w:eastAsia="Consolas" w:hAnsi="Consolas" w:cs="Consolas"/>
                <w:sz w:val="22"/>
                <w:szCs w:val="22"/>
                <w:shd w:val="clear" w:color="auto" w:fill="EAEEF3"/>
              </w:rPr>
              <w:t>E53_Lieu</w:t>
            </w:r>
          </w:p>
          <w:p w14:paraId="3D33FF88" w14:textId="77777777" w:rsidR="00BF18CF" w:rsidRDefault="00E51347">
            <w:r>
              <w:rPr>
                <w:rFonts w:ascii="Consolas" w:eastAsia="Consolas" w:hAnsi="Consolas" w:cs="Consolas"/>
                <w:sz w:val="22"/>
                <w:szCs w:val="22"/>
                <w:shd w:val="clear" w:color="auto" w:fill="EAEEF3"/>
              </w:rPr>
              <w:t>P128_est_le_support_de (a_pour_support)</w:t>
            </w:r>
            <w:r>
              <w:t xml:space="preserve"> : </w:t>
            </w:r>
            <w:r>
              <w:rPr>
                <w:rFonts w:ascii="Consolas" w:eastAsia="Consolas" w:hAnsi="Consolas" w:cs="Consolas"/>
                <w:sz w:val="22"/>
                <w:szCs w:val="22"/>
                <w:shd w:val="clear" w:color="auto" w:fill="EAEEF3"/>
              </w:rPr>
              <w:t>E90_Objet_symbolique</w:t>
            </w:r>
          </w:p>
          <w:p w14:paraId="0EDECE10" w14:textId="77777777" w:rsidR="00BF18CF" w:rsidRDefault="00E51347">
            <w:r>
              <w:rPr>
                <w:rFonts w:ascii="Consolas" w:eastAsia="Consolas" w:hAnsi="Consolas" w:cs="Consolas"/>
                <w:sz w:val="22"/>
                <w:szCs w:val="22"/>
                <w:shd w:val="clear" w:color="auto" w:fill="EAEEF3"/>
              </w:rPr>
              <w:t>P156_occupe (est_occupé_par)</w:t>
            </w:r>
            <w:r>
              <w:t xml:space="preserve"> : </w:t>
            </w:r>
            <w:r>
              <w:rPr>
                <w:rFonts w:ascii="Consolas" w:eastAsia="Consolas" w:hAnsi="Consolas" w:cs="Consolas"/>
                <w:sz w:val="22"/>
                <w:szCs w:val="22"/>
                <w:shd w:val="clear" w:color="auto" w:fill="EAEEF3"/>
              </w:rPr>
              <w:t>E53_Lieu</w:t>
            </w:r>
          </w:p>
          <w:p w14:paraId="1494047F" w14:textId="77777777" w:rsidR="00BF18CF" w:rsidRDefault="00E51347">
            <w:r>
              <w:rPr>
                <w:rFonts w:ascii="Consolas" w:eastAsia="Consolas" w:hAnsi="Consolas" w:cs="Consolas"/>
                <w:sz w:val="22"/>
                <w:szCs w:val="22"/>
                <w:shd w:val="clear" w:color="auto" w:fill="EAEEF3"/>
              </w:rPr>
              <w:t>P196_définit (est_défini_par)</w:t>
            </w:r>
            <w:r>
              <w:t xml:space="preserve"> : </w:t>
            </w:r>
            <w:r>
              <w:rPr>
                <w:rFonts w:ascii="Consolas" w:eastAsia="Consolas" w:hAnsi="Consolas" w:cs="Consolas"/>
                <w:sz w:val="22"/>
                <w:szCs w:val="22"/>
                <w:shd w:val="clear" w:color="auto" w:fill="EAEEF3"/>
              </w:rPr>
              <w:t>E92_Volume_spatio-temporel</w:t>
            </w:r>
          </w:p>
        </w:tc>
      </w:tr>
      <w:tr w:rsidR="00BF18CF" w14:paraId="3A13F22F" w14:textId="77777777" w:rsidTr="00BF18CF">
        <w:tc>
          <w:tcPr>
            <w:tcW w:w="1702" w:type="dxa"/>
          </w:tcPr>
          <w:p w14:paraId="17B21F09" w14:textId="42F280F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88" w:type="dxa"/>
          </w:tcPr>
          <w:p w14:paraId="275D616E" w14:textId="77777777" w:rsidR="00BF18CF" w:rsidRDefault="00E51347">
            <w:r>
              <w:t>Dans la première phrase de la note d’application, il existe une incertitude à savoir si « human-made » et « natural » font référence aux « items » ou à la « stable form ». Cette incertitude n'empêche pas la compréhension de la phrase, mais la décision a été prise de faire référence aux « items » par l’ajout de « qu’elles soient ».</w:t>
            </w:r>
          </w:p>
          <w:p w14:paraId="446F858A" w14:textId="77777777" w:rsidR="00BF18CF" w:rsidRDefault="00E51347">
            <w:r>
              <w:t>La première phrase du second paragraphe de la note d’application a été revue entièrement, c’est pour cette raison que la traduction se trouve entre crochets.</w:t>
            </w:r>
          </w:p>
          <w:p w14:paraId="0562CB0A" w14:textId="77777777" w:rsidR="00BF18CF" w:rsidRDefault="00E51347">
            <w:r>
              <w:lastRenderedPageBreak/>
              <w:t xml:space="preserve">À la fin du second paragraphe, il a été décidé d’ajouter « </w:t>
            </w:r>
            <w:r>
              <w:rPr>
                <w:rFonts w:ascii="Consolas" w:eastAsia="Consolas" w:hAnsi="Consolas" w:cs="Consolas"/>
                <w:sz w:val="22"/>
                <w:szCs w:val="22"/>
                <w:shd w:val="clear" w:color="auto" w:fill="EAEEF3"/>
              </w:rPr>
              <w:t>E26_Caractéristique_physique</w:t>
            </w:r>
            <w:r>
              <w:t xml:space="preserve"> » afin d’indiquer plus clairement le sens du terme « features ».</w:t>
            </w:r>
          </w:p>
        </w:tc>
      </w:tr>
      <w:tr w:rsidR="00BF18CF" w14:paraId="6E172659" w14:textId="77777777" w:rsidTr="00BF18CF">
        <w:tc>
          <w:tcPr>
            <w:tcW w:w="1702" w:type="dxa"/>
          </w:tcPr>
          <w:p w14:paraId="2A3ECDB7"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8988" w:type="dxa"/>
          </w:tcPr>
          <w:p w14:paraId="4666BAC0" w14:textId="77777777" w:rsidR="00BF18CF" w:rsidRDefault="00E51347">
            <w:r>
              <w:t xml:space="preserve">De Vinci, Léonard. </w:t>
            </w:r>
            <w:r>
              <w:rPr>
                <w:i/>
              </w:rPr>
              <w:t>Portrait de Lisa Gherardini, épouse de Francesco del Giocondo, dit La Joconde ou Monna Lisa</w:t>
            </w:r>
            <w:r>
              <w:t>. 1503. Huile sur bois (peuplier), 77 x 53 cm. Salle 711. Musée du Louvre.</w:t>
            </w:r>
            <w:hyperlink r:id="rId385">
              <w:r>
                <w:rPr>
                  <w:color w:val="4F81BD"/>
                </w:rPr>
                <w:t xml:space="preserve"> https://collections.louvre.fr/en/ark:/53355/cl010062370</w:t>
              </w:r>
            </w:hyperlink>
            <w:r>
              <w:t>.</w:t>
            </w:r>
          </w:p>
        </w:tc>
      </w:tr>
    </w:tbl>
    <w:p w14:paraId="092712EE" w14:textId="77777777" w:rsidR="00BF18CF" w:rsidRDefault="00E51347">
      <w:pPr>
        <w:pStyle w:val="Heading3"/>
      </w:pPr>
      <w:bookmarkStart w:id="138" w:name="bookmark=id.2nusc19" w:colFirst="0" w:colLast="0"/>
      <w:bookmarkStart w:id="139" w:name="_Toc144360812"/>
      <w:bookmarkEnd w:id="138"/>
      <w:r>
        <w:t>E19 Objet matériel</w:t>
      </w:r>
      <w:bookmarkEnd w:id="139"/>
    </w:p>
    <w:tbl>
      <w:tblPr>
        <w:tblStyle w:val="a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2"/>
        <w:gridCol w:w="8948"/>
      </w:tblGrid>
      <w:tr w:rsidR="00BF18CF" w14:paraId="1A595AA1" w14:textId="77777777" w:rsidTr="00BF18CF">
        <w:tc>
          <w:tcPr>
            <w:tcW w:w="1742" w:type="dxa"/>
          </w:tcPr>
          <w:p w14:paraId="3B0DEBD5"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8" w:type="dxa"/>
          </w:tcPr>
          <w:p w14:paraId="201D2D23" w14:textId="77777777" w:rsidR="00BF18CF" w:rsidRDefault="00E51347">
            <w:r>
              <w:rPr>
                <w:rFonts w:ascii="Consolas" w:eastAsia="Consolas" w:hAnsi="Consolas" w:cs="Consolas"/>
                <w:sz w:val="22"/>
                <w:szCs w:val="22"/>
                <w:shd w:val="clear" w:color="auto" w:fill="EAEEF3"/>
              </w:rPr>
              <w:t>E18_Chose_matérielle</w:t>
            </w:r>
          </w:p>
        </w:tc>
      </w:tr>
      <w:tr w:rsidR="00BF18CF" w14:paraId="7C8B9695" w14:textId="77777777" w:rsidTr="00BF18CF">
        <w:tc>
          <w:tcPr>
            <w:tcW w:w="1742" w:type="dxa"/>
          </w:tcPr>
          <w:p w14:paraId="70F68DD4"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8" w:type="dxa"/>
          </w:tcPr>
          <w:p w14:paraId="3DABF8D3" w14:textId="77777777" w:rsidR="00BF18CF" w:rsidRDefault="00E51347">
            <w:r>
              <w:rPr>
                <w:rFonts w:ascii="Consolas" w:eastAsia="Consolas" w:hAnsi="Consolas" w:cs="Consolas"/>
                <w:sz w:val="22"/>
                <w:szCs w:val="22"/>
                <w:shd w:val="clear" w:color="auto" w:fill="EAEEF3"/>
              </w:rPr>
              <w:t>E20_Objet_biologique</w:t>
            </w:r>
          </w:p>
          <w:p w14:paraId="09758568" w14:textId="77777777" w:rsidR="00BF18CF" w:rsidRDefault="00E51347">
            <w:r>
              <w:rPr>
                <w:rFonts w:ascii="Consolas" w:eastAsia="Consolas" w:hAnsi="Consolas" w:cs="Consolas"/>
                <w:sz w:val="22"/>
                <w:szCs w:val="22"/>
                <w:shd w:val="clear" w:color="auto" w:fill="EAEEF3"/>
              </w:rPr>
              <w:t>E22_Objet_élaboré_par_l’humain</w:t>
            </w:r>
          </w:p>
        </w:tc>
      </w:tr>
      <w:tr w:rsidR="00BF18CF" w14:paraId="76BFA85C" w14:textId="77777777" w:rsidTr="00BF18CF">
        <w:tc>
          <w:tcPr>
            <w:tcW w:w="1742" w:type="dxa"/>
          </w:tcPr>
          <w:p w14:paraId="121CCDFD"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8" w:type="dxa"/>
          </w:tcPr>
          <w:p w14:paraId="76172020" w14:textId="77777777" w:rsidR="00BF18CF" w:rsidRDefault="00E51347">
            <w:r>
              <w:t>Cette classe comprend les entités de nature matérielle qui constituent des unités pour la documentation et possèdent des limites physiques qui les séparent complètement et objectivement d’autres objets.</w:t>
            </w:r>
          </w:p>
          <w:p w14:paraId="703854D2" w14:textId="77777777" w:rsidR="00BF18CF" w:rsidRDefault="00E51347">
            <w:r>
              <w:t xml:space="preserve">Cette classe inclut aussi toutes les agrégations d’objets produits pour de quelconques buts fonctionnels, indépendamment de leur cohérence physique, comme un ensemble de pièces de jeu d’échecs. Généralement, les instances de </w:t>
            </w:r>
            <w:r>
              <w:rPr>
                <w:rFonts w:ascii="Consolas" w:eastAsia="Consolas" w:hAnsi="Consolas" w:cs="Consolas"/>
                <w:sz w:val="22"/>
                <w:szCs w:val="22"/>
                <w:shd w:val="clear" w:color="auto" w:fill="EAEEF3"/>
              </w:rPr>
              <w:t>E19_Objet_matériel</w:t>
            </w:r>
            <w:r>
              <w:t xml:space="preserve"> peuvent être déplacées (si elles ne sont pas trop lourdes).</w:t>
            </w:r>
          </w:p>
          <w:p w14:paraId="3C1AFD64" w14:textId="77777777" w:rsidR="00BF18CF" w:rsidRDefault="00E51347">
            <w:r>
              <w:t>Dans certains contextes [n.d.t. comme dans le domaine de la philosophie de la spatialité], de tels objets, à l’exception des agrégats, sont aussi appelés “objets bona fide” (Smith et Varzi, 2000, p. 401-420), c.-à-d. des objets naturellement définis.</w:t>
            </w:r>
          </w:p>
          <w:p w14:paraId="7277BDF7" w14:textId="77777777" w:rsidR="00BF18CF" w:rsidRDefault="00E51347">
            <w:r>
              <w:t>La décision de documenter un objet comme un ensemble complet plutôt que de documenter ses parties ou composants peut être motivée par des raisons purement administratives ou être le résultat de l’ordre d’acquisition des objets.</w:t>
            </w:r>
          </w:p>
        </w:tc>
      </w:tr>
      <w:tr w:rsidR="00BF18CF" w14:paraId="5EF34D52" w14:textId="77777777" w:rsidTr="00BF18CF">
        <w:tc>
          <w:tcPr>
            <w:tcW w:w="1742" w:type="dxa"/>
          </w:tcPr>
          <w:p w14:paraId="31AAC689"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8" w:type="dxa"/>
          </w:tcPr>
          <w:p w14:paraId="7F8F4C02" w14:textId="77777777" w:rsidR="00BF18CF" w:rsidRDefault="00E51347">
            <w:pPr>
              <w:numPr>
                <w:ilvl w:val="0"/>
                <w:numId w:val="19"/>
              </w:numPr>
            </w:pPr>
            <w:r>
              <w:t>John Smith</w:t>
            </w:r>
          </w:p>
          <w:p w14:paraId="3763EB8D" w14:textId="77777777" w:rsidR="00BF18CF" w:rsidRDefault="00E51347">
            <w:pPr>
              <w:numPr>
                <w:ilvl w:val="0"/>
                <w:numId w:val="19"/>
              </w:numPr>
            </w:pPr>
            <w:r>
              <w:t>L’Aphrodite de Milos (Kousser, 2005)</w:t>
            </w:r>
          </w:p>
          <w:p w14:paraId="0F505FC2" w14:textId="77777777" w:rsidR="00BF18CF" w:rsidRDefault="00E51347">
            <w:pPr>
              <w:numPr>
                <w:ilvl w:val="0"/>
                <w:numId w:val="19"/>
              </w:numPr>
            </w:pPr>
            <w:r>
              <w:t>Le palais de Knossos (Evans, 1921-1936)</w:t>
            </w:r>
          </w:p>
          <w:p w14:paraId="19765FA9" w14:textId="77777777" w:rsidR="00BF18CF" w:rsidRDefault="00E51347">
            <w:pPr>
              <w:numPr>
                <w:ilvl w:val="0"/>
                <w:numId w:val="19"/>
              </w:numPr>
            </w:pPr>
            <w:r>
              <w:t>Le diamant Cullinan (Scarratt et Shor, 2006)</w:t>
            </w:r>
          </w:p>
          <w:p w14:paraId="6D408320" w14:textId="77777777" w:rsidR="00BF18CF" w:rsidRDefault="00E51347">
            <w:pPr>
              <w:numPr>
                <w:ilvl w:val="0"/>
                <w:numId w:val="19"/>
              </w:numPr>
            </w:pPr>
            <w:r>
              <w:t>Apollo 13 au moment de son lancement (Lovell et Kluger, 1994)</w:t>
            </w:r>
          </w:p>
        </w:tc>
      </w:tr>
      <w:tr w:rsidR="00BF18CF" w14:paraId="0851DF8D" w14:textId="77777777" w:rsidTr="00BF18CF">
        <w:tc>
          <w:tcPr>
            <w:tcW w:w="1742" w:type="dxa"/>
          </w:tcPr>
          <w:p w14:paraId="36EA35C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8" w:type="dxa"/>
          </w:tcPr>
          <w:p w14:paraId="521EF2B5" w14:textId="77777777" w:rsidR="00BF18CF" w:rsidRDefault="00E51347">
            <w:r>
              <w:t>E19(x) ⇒ E18(x)</w:t>
            </w:r>
          </w:p>
        </w:tc>
      </w:tr>
      <w:tr w:rsidR="00BF18CF" w14:paraId="6C5819B1" w14:textId="77777777" w:rsidTr="00BF18CF">
        <w:tc>
          <w:tcPr>
            <w:tcW w:w="1742" w:type="dxa"/>
          </w:tcPr>
          <w:p w14:paraId="47F9D6E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8" w:type="dxa"/>
          </w:tcPr>
          <w:p w14:paraId="56B5211F" w14:textId="77777777" w:rsidR="00BF18CF" w:rsidRDefault="00E51347">
            <w:r>
              <w:rPr>
                <w:rFonts w:ascii="Consolas" w:eastAsia="Consolas" w:hAnsi="Consolas" w:cs="Consolas"/>
                <w:sz w:val="22"/>
                <w:szCs w:val="22"/>
                <w:shd w:val="clear" w:color="auto" w:fill="EAEEF3"/>
              </w:rPr>
              <w:t>P54_a_actuellement_pour_localisation_fixe (est_actuellement_la_localisation_fixe_de)</w:t>
            </w:r>
            <w:r>
              <w:t xml:space="preserve"> : </w:t>
            </w:r>
            <w:r>
              <w:rPr>
                <w:rFonts w:ascii="Consolas" w:eastAsia="Consolas" w:hAnsi="Consolas" w:cs="Consolas"/>
                <w:sz w:val="22"/>
                <w:szCs w:val="22"/>
                <w:shd w:val="clear" w:color="auto" w:fill="EAEEF3"/>
              </w:rPr>
              <w:t>E53_Lieu</w:t>
            </w:r>
          </w:p>
          <w:p w14:paraId="7DC4829E" w14:textId="77777777" w:rsidR="00BF18CF" w:rsidRDefault="00E51347">
            <w:r>
              <w:rPr>
                <w:rFonts w:ascii="Consolas" w:eastAsia="Consolas" w:hAnsi="Consolas" w:cs="Consolas"/>
                <w:sz w:val="22"/>
                <w:szCs w:val="22"/>
                <w:shd w:val="clear" w:color="auto" w:fill="EAEEF3"/>
              </w:rPr>
              <w:t>P55_a_actuellement_pour_localisation (est_actuellement_la_localisation_de)</w:t>
            </w:r>
            <w:r>
              <w:t xml:space="preserve"> : </w:t>
            </w:r>
            <w:r>
              <w:rPr>
                <w:rFonts w:ascii="Consolas" w:eastAsia="Consolas" w:hAnsi="Consolas" w:cs="Consolas"/>
                <w:sz w:val="22"/>
                <w:szCs w:val="22"/>
                <w:shd w:val="clear" w:color="auto" w:fill="EAEEF3"/>
              </w:rPr>
              <w:t>E53_Lieu</w:t>
            </w:r>
          </w:p>
          <w:p w14:paraId="76D3D7DD" w14:textId="77777777" w:rsidR="00BF18CF" w:rsidRDefault="00E51347">
            <w:r>
              <w:rPr>
                <w:rFonts w:ascii="Consolas" w:eastAsia="Consolas" w:hAnsi="Consolas" w:cs="Consolas"/>
                <w:sz w:val="22"/>
                <w:szCs w:val="22"/>
                <w:shd w:val="clear" w:color="auto" w:fill="EAEEF3"/>
              </w:rPr>
              <w:t>P56_a_pour_caractéristique (se_trouve_sur)</w:t>
            </w:r>
            <w:r>
              <w:t xml:space="preserve"> : </w:t>
            </w:r>
            <w:r>
              <w:rPr>
                <w:rFonts w:ascii="Consolas" w:eastAsia="Consolas" w:hAnsi="Consolas" w:cs="Consolas"/>
                <w:sz w:val="22"/>
                <w:szCs w:val="22"/>
                <w:shd w:val="clear" w:color="auto" w:fill="EAEEF3"/>
              </w:rPr>
              <w:t>E26_Caractéristique_physique</w:t>
            </w:r>
          </w:p>
          <w:p w14:paraId="380D2BDA" w14:textId="77777777" w:rsidR="00BF18CF" w:rsidRDefault="00E51347">
            <w:r>
              <w:rPr>
                <w:rFonts w:ascii="Consolas" w:eastAsia="Consolas" w:hAnsi="Consolas" w:cs="Consolas"/>
                <w:sz w:val="22"/>
                <w:szCs w:val="22"/>
                <w:shd w:val="clear" w:color="auto" w:fill="EAEEF3"/>
              </w:rPr>
              <w:lastRenderedPageBreak/>
              <w:t>P57_a_pour_nombre_d’éléments</w:t>
            </w:r>
            <w:r>
              <w:t xml:space="preserve"> : </w:t>
            </w:r>
            <w:r>
              <w:rPr>
                <w:rFonts w:ascii="Consolas" w:eastAsia="Consolas" w:hAnsi="Consolas" w:cs="Consolas"/>
                <w:sz w:val="22"/>
                <w:szCs w:val="22"/>
                <w:shd w:val="clear" w:color="auto" w:fill="EAEEF3"/>
              </w:rPr>
              <w:t>E60_Nombre</w:t>
            </w:r>
          </w:p>
        </w:tc>
      </w:tr>
      <w:tr w:rsidR="00BF18CF" w14:paraId="2854BBCC" w14:textId="77777777" w:rsidTr="00BF18CF">
        <w:tc>
          <w:tcPr>
            <w:tcW w:w="1742" w:type="dxa"/>
          </w:tcPr>
          <w:p w14:paraId="0ADE90CB" w14:textId="5B561367"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948" w:type="dxa"/>
          </w:tcPr>
          <w:p w14:paraId="17656808" w14:textId="77777777" w:rsidR="00BF18CF" w:rsidRDefault="00BF18CF">
            <w:pPr>
              <w:pBdr>
                <w:top w:val="nil"/>
                <w:left w:val="nil"/>
                <w:bottom w:val="nil"/>
                <w:right w:val="nil"/>
                <w:between w:val="nil"/>
              </w:pBdr>
              <w:spacing w:before="36" w:after="36"/>
              <w:rPr>
                <w:color w:val="000000"/>
              </w:rPr>
            </w:pPr>
          </w:p>
        </w:tc>
      </w:tr>
      <w:tr w:rsidR="00BF18CF" w14:paraId="693347CF" w14:textId="77777777" w:rsidTr="00BF18CF">
        <w:tc>
          <w:tcPr>
            <w:tcW w:w="1742" w:type="dxa"/>
          </w:tcPr>
          <w:p w14:paraId="55B54020"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8" w:type="dxa"/>
          </w:tcPr>
          <w:p w14:paraId="2569DC40" w14:textId="77777777" w:rsidR="00BF18CF" w:rsidRDefault="00BF18CF">
            <w:pPr>
              <w:pBdr>
                <w:top w:val="nil"/>
                <w:left w:val="nil"/>
                <w:bottom w:val="nil"/>
                <w:right w:val="nil"/>
                <w:between w:val="nil"/>
              </w:pBdr>
              <w:spacing w:before="36" w:after="36"/>
              <w:rPr>
                <w:color w:val="000000"/>
              </w:rPr>
            </w:pPr>
          </w:p>
        </w:tc>
      </w:tr>
    </w:tbl>
    <w:p w14:paraId="6F56B1C1" w14:textId="77777777" w:rsidR="00BF18CF" w:rsidRDefault="00E51347">
      <w:pPr>
        <w:pStyle w:val="Heading3"/>
      </w:pPr>
      <w:bookmarkStart w:id="140" w:name="bookmark=id.1302m92" w:colFirst="0" w:colLast="0"/>
      <w:bookmarkStart w:id="141" w:name="_Toc144360813"/>
      <w:bookmarkEnd w:id="140"/>
      <w:r>
        <w:t>E20 Objet biologique</w:t>
      </w:r>
      <w:bookmarkEnd w:id="141"/>
    </w:p>
    <w:tbl>
      <w:tblPr>
        <w:tblStyle w:val="a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97"/>
        <w:gridCol w:w="8893"/>
      </w:tblGrid>
      <w:tr w:rsidR="00BF18CF" w14:paraId="29AB82A1" w14:textId="77777777" w:rsidTr="00BF18CF">
        <w:tc>
          <w:tcPr>
            <w:tcW w:w="1797" w:type="dxa"/>
          </w:tcPr>
          <w:p w14:paraId="6BEE25FB"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893" w:type="dxa"/>
          </w:tcPr>
          <w:p w14:paraId="2A340B8A" w14:textId="77777777" w:rsidR="00BF18CF" w:rsidRDefault="00E51347">
            <w:r>
              <w:rPr>
                <w:rFonts w:ascii="Consolas" w:eastAsia="Consolas" w:hAnsi="Consolas" w:cs="Consolas"/>
                <w:sz w:val="22"/>
                <w:szCs w:val="22"/>
                <w:shd w:val="clear" w:color="auto" w:fill="EAEEF3"/>
              </w:rPr>
              <w:t>E19_Objet_matériel</w:t>
            </w:r>
          </w:p>
        </w:tc>
      </w:tr>
      <w:tr w:rsidR="00BF18CF" w14:paraId="53EA3AB4" w14:textId="77777777" w:rsidTr="00BF18CF">
        <w:tc>
          <w:tcPr>
            <w:tcW w:w="1797" w:type="dxa"/>
          </w:tcPr>
          <w:p w14:paraId="33BF17A1"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893" w:type="dxa"/>
          </w:tcPr>
          <w:p w14:paraId="44FA5DB8" w14:textId="77777777" w:rsidR="00BF18CF" w:rsidRDefault="00E51347">
            <w:r>
              <w:rPr>
                <w:rFonts w:ascii="Consolas" w:eastAsia="Consolas" w:hAnsi="Consolas" w:cs="Consolas"/>
                <w:sz w:val="22"/>
                <w:szCs w:val="22"/>
                <w:shd w:val="clear" w:color="auto" w:fill="EAEEF3"/>
              </w:rPr>
              <w:t>E21_Personne</w:t>
            </w:r>
          </w:p>
        </w:tc>
      </w:tr>
      <w:tr w:rsidR="00BF18CF" w14:paraId="0F9BE95F" w14:textId="77777777" w:rsidTr="00BF18CF">
        <w:tc>
          <w:tcPr>
            <w:tcW w:w="1797" w:type="dxa"/>
          </w:tcPr>
          <w:p w14:paraId="5BDAE39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93" w:type="dxa"/>
          </w:tcPr>
          <w:p w14:paraId="77599CF3" w14:textId="77777777" w:rsidR="00BF18CF" w:rsidRDefault="00E51347">
            <w:r>
              <w:t>Cette classe comprend les entités distinctes de nature matérielle qui vivent, ont vécu ou sont les produits naturels provenant d’organismes vivants ou issus par ces derniers.</w:t>
            </w:r>
          </w:p>
          <w:p w14:paraId="43E6FD9B" w14:textId="77777777" w:rsidR="00BF18CF" w:rsidRDefault="00E51347">
            <w:r>
              <w:t xml:space="preserve">Les objets artificiels qui intègrent des éléments biologiques, tels que des cadres d’époque victorienne contenant des papillons, peuvent être documentés à la fois comme des instances de </w:t>
            </w:r>
            <w:r>
              <w:rPr>
                <w:rFonts w:ascii="Consolas" w:eastAsia="Consolas" w:hAnsi="Consolas" w:cs="Consolas"/>
                <w:sz w:val="22"/>
                <w:szCs w:val="22"/>
                <w:shd w:val="clear" w:color="auto" w:fill="EAEEF3"/>
              </w:rPr>
              <w:t>E20_Objet_biologique</w:t>
            </w:r>
            <w:r>
              <w:t xml:space="preserve"> et </w:t>
            </w:r>
            <w:r>
              <w:rPr>
                <w:rFonts w:ascii="Consolas" w:eastAsia="Consolas" w:hAnsi="Consolas" w:cs="Consolas"/>
                <w:sz w:val="22"/>
                <w:szCs w:val="22"/>
                <w:shd w:val="clear" w:color="auto" w:fill="EAEEF3"/>
              </w:rPr>
              <w:t>E22_Objet_élaboré_par_l’humain</w:t>
            </w:r>
            <w:r>
              <w:t>.</w:t>
            </w:r>
          </w:p>
        </w:tc>
      </w:tr>
      <w:tr w:rsidR="00BF18CF" w14:paraId="5261C862" w14:textId="77777777" w:rsidTr="00BF18CF">
        <w:tc>
          <w:tcPr>
            <w:tcW w:w="1797" w:type="dxa"/>
          </w:tcPr>
          <w:p w14:paraId="6B548E9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93" w:type="dxa"/>
          </w:tcPr>
          <w:p w14:paraId="25F02A94" w14:textId="77777777" w:rsidR="00BF18CF" w:rsidRDefault="00E51347">
            <w:pPr>
              <w:numPr>
                <w:ilvl w:val="0"/>
                <w:numId w:val="19"/>
              </w:numPr>
            </w:pPr>
            <w:r>
              <w:t>Moi (fictif)</w:t>
            </w:r>
          </w:p>
          <w:p w14:paraId="099E27E4" w14:textId="77777777" w:rsidR="00BF18CF" w:rsidRDefault="00E51347">
            <w:pPr>
              <w:numPr>
                <w:ilvl w:val="0"/>
                <w:numId w:val="19"/>
              </w:numPr>
            </w:pPr>
            <w:r>
              <w:t>Toutânkhamon (Edwards, 1979)</w:t>
            </w:r>
          </w:p>
          <w:p w14:paraId="136D0B2E" w14:textId="77777777" w:rsidR="00BF18CF" w:rsidRDefault="00E51347">
            <w:pPr>
              <w:numPr>
                <w:ilvl w:val="0"/>
                <w:numId w:val="19"/>
              </w:numPr>
            </w:pPr>
            <w:r>
              <w:t>Bucéphale [le cheval d’Alexandre le Grand] (Lamb, 2005)</w:t>
            </w:r>
          </w:p>
          <w:p w14:paraId="5952A3C6" w14:textId="77777777" w:rsidR="00BF18CF" w:rsidRDefault="00E51347">
            <w:pPr>
              <w:numPr>
                <w:ilvl w:val="0"/>
                <w:numId w:val="19"/>
              </w:numPr>
            </w:pPr>
            <w:r>
              <w:t>Coprolithe de dinosaure PA 1906-344</w:t>
            </w:r>
          </w:p>
        </w:tc>
      </w:tr>
      <w:tr w:rsidR="00BF18CF" w14:paraId="1F2362E1" w14:textId="77777777" w:rsidTr="00BF18CF">
        <w:tc>
          <w:tcPr>
            <w:tcW w:w="1797" w:type="dxa"/>
          </w:tcPr>
          <w:p w14:paraId="0C512F32"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93" w:type="dxa"/>
          </w:tcPr>
          <w:p w14:paraId="218C519B" w14:textId="77777777" w:rsidR="00BF18CF" w:rsidRDefault="00E51347">
            <w:r>
              <w:t>E20(x) ⇒ E19(x)</w:t>
            </w:r>
          </w:p>
        </w:tc>
      </w:tr>
      <w:tr w:rsidR="00BF18CF" w14:paraId="34A7DF6D" w14:textId="77777777" w:rsidTr="00BF18CF">
        <w:tc>
          <w:tcPr>
            <w:tcW w:w="1797" w:type="dxa"/>
          </w:tcPr>
          <w:p w14:paraId="2B9514B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93" w:type="dxa"/>
          </w:tcPr>
          <w:p w14:paraId="1148E5E3" w14:textId="77777777" w:rsidR="00BF18CF" w:rsidRDefault="00BF18CF">
            <w:pPr>
              <w:pBdr>
                <w:top w:val="nil"/>
                <w:left w:val="nil"/>
                <w:bottom w:val="nil"/>
                <w:right w:val="nil"/>
                <w:between w:val="nil"/>
              </w:pBdr>
              <w:spacing w:before="36" w:after="36"/>
              <w:rPr>
                <w:color w:val="000000"/>
              </w:rPr>
            </w:pPr>
          </w:p>
        </w:tc>
      </w:tr>
      <w:tr w:rsidR="00BF18CF" w14:paraId="3338468F" w14:textId="77777777" w:rsidTr="00BF18CF">
        <w:tc>
          <w:tcPr>
            <w:tcW w:w="1797" w:type="dxa"/>
          </w:tcPr>
          <w:p w14:paraId="273327A6" w14:textId="1719E24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93" w:type="dxa"/>
          </w:tcPr>
          <w:p w14:paraId="7084D6FB" w14:textId="77777777" w:rsidR="00BF18CF" w:rsidRDefault="00BF18CF">
            <w:pPr>
              <w:pBdr>
                <w:top w:val="nil"/>
                <w:left w:val="nil"/>
                <w:bottom w:val="nil"/>
                <w:right w:val="nil"/>
                <w:between w:val="nil"/>
              </w:pBdr>
              <w:spacing w:before="36" w:after="36"/>
              <w:rPr>
                <w:color w:val="000000"/>
              </w:rPr>
            </w:pPr>
          </w:p>
        </w:tc>
      </w:tr>
      <w:tr w:rsidR="00BF18CF" w14:paraId="2DACAE0F" w14:textId="77777777" w:rsidTr="00BF18CF">
        <w:tc>
          <w:tcPr>
            <w:tcW w:w="1797" w:type="dxa"/>
          </w:tcPr>
          <w:p w14:paraId="10F79AA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93" w:type="dxa"/>
          </w:tcPr>
          <w:p w14:paraId="05F546E0" w14:textId="77777777" w:rsidR="00BF18CF" w:rsidRDefault="00BF18CF">
            <w:pPr>
              <w:pBdr>
                <w:top w:val="nil"/>
                <w:left w:val="nil"/>
                <w:bottom w:val="nil"/>
                <w:right w:val="nil"/>
                <w:between w:val="nil"/>
              </w:pBdr>
              <w:spacing w:before="36" w:after="36"/>
              <w:rPr>
                <w:color w:val="000000"/>
              </w:rPr>
            </w:pPr>
          </w:p>
        </w:tc>
      </w:tr>
    </w:tbl>
    <w:p w14:paraId="549E2F25" w14:textId="77777777" w:rsidR="00BF18CF" w:rsidRDefault="00E51347">
      <w:pPr>
        <w:pStyle w:val="Heading3"/>
      </w:pPr>
      <w:bookmarkStart w:id="142" w:name="bookmark=id.3mzq4wv" w:colFirst="0" w:colLast="0"/>
      <w:bookmarkStart w:id="143" w:name="_Toc144360814"/>
      <w:bookmarkEnd w:id="142"/>
      <w:r>
        <w:t>E21 Personne</w:t>
      </w:r>
      <w:bookmarkEnd w:id="143"/>
    </w:p>
    <w:tbl>
      <w:tblPr>
        <w:tblStyle w:val="a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9"/>
        <w:gridCol w:w="8901"/>
      </w:tblGrid>
      <w:tr w:rsidR="00BF18CF" w14:paraId="4A30E6E3" w14:textId="77777777" w:rsidTr="00BF18CF">
        <w:tc>
          <w:tcPr>
            <w:tcW w:w="1789" w:type="dxa"/>
          </w:tcPr>
          <w:p w14:paraId="53837309"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1" w:type="dxa"/>
          </w:tcPr>
          <w:p w14:paraId="74E0FCE1" w14:textId="77777777" w:rsidR="00BF18CF" w:rsidRDefault="00E51347">
            <w:r>
              <w:rPr>
                <w:rFonts w:ascii="Consolas" w:eastAsia="Consolas" w:hAnsi="Consolas" w:cs="Consolas"/>
                <w:sz w:val="22"/>
                <w:szCs w:val="22"/>
                <w:shd w:val="clear" w:color="auto" w:fill="EAEEF3"/>
              </w:rPr>
              <w:t>E20_Objet_biologique</w:t>
            </w:r>
          </w:p>
          <w:p w14:paraId="7652310E" w14:textId="77777777" w:rsidR="00BF18CF" w:rsidRDefault="00E51347">
            <w:r>
              <w:rPr>
                <w:rFonts w:ascii="Consolas" w:eastAsia="Consolas" w:hAnsi="Consolas" w:cs="Consolas"/>
                <w:sz w:val="22"/>
                <w:szCs w:val="22"/>
                <w:shd w:val="clear" w:color="auto" w:fill="EAEEF3"/>
              </w:rPr>
              <w:t>E39_Actant</w:t>
            </w:r>
          </w:p>
        </w:tc>
      </w:tr>
      <w:tr w:rsidR="00BF18CF" w14:paraId="4CB2768F" w14:textId="77777777" w:rsidTr="00BF18CF">
        <w:tc>
          <w:tcPr>
            <w:tcW w:w="1789" w:type="dxa"/>
          </w:tcPr>
          <w:p w14:paraId="51167598"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1" w:type="dxa"/>
          </w:tcPr>
          <w:p w14:paraId="65AA2DF8" w14:textId="77777777" w:rsidR="00BF18CF" w:rsidRDefault="00BF18CF">
            <w:pPr>
              <w:pBdr>
                <w:top w:val="nil"/>
                <w:left w:val="nil"/>
                <w:bottom w:val="nil"/>
                <w:right w:val="nil"/>
                <w:between w:val="nil"/>
              </w:pBdr>
              <w:spacing w:before="36" w:after="36"/>
              <w:rPr>
                <w:color w:val="000000"/>
              </w:rPr>
            </w:pPr>
          </w:p>
        </w:tc>
      </w:tr>
      <w:tr w:rsidR="00BF18CF" w14:paraId="5B114E29" w14:textId="77777777" w:rsidTr="00BF18CF">
        <w:tc>
          <w:tcPr>
            <w:tcW w:w="1789" w:type="dxa"/>
          </w:tcPr>
          <w:p w14:paraId="757B224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1" w:type="dxa"/>
          </w:tcPr>
          <w:p w14:paraId="0FDE6E23" w14:textId="77777777" w:rsidR="00BF18CF" w:rsidRDefault="00E51347">
            <w:r>
              <w:t>Cette classe comprend les personnes réelles qui vivent ou sont admises avoir vécu.</w:t>
            </w:r>
          </w:p>
          <w:p w14:paraId="6333E9B0" w14:textId="77777777" w:rsidR="00BF18CF" w:rsidRDefault="00E51347">
            <w:r>
              <w:t xml:space="preserve">Des personnages légendaires comme Ulysse ou le Roi Arthur sont des exemples de personnes s’inscrivant dans cette classe dans la mesure où elles sont considérées comme des figures historiques plutôt que fictives [n.d.t. dans le cadre de leur enregistrement d’origine]. Dans la mesure où il y aurait un doute quant au fait que plusieurs personnes ne constituent qu’un seul et unique individu, plusieurs </w:t>
            </w:r>
            <w:r>
              <w:lastRenderedPageBreak/>
              <w:t>instances peuvent être créées et liées afin d’indiquer leur relation. Le CIDOC CRM ne propose pas de forme spécifique de raisonnement quant aux identités possibles.</w:t>
            </w:r>
          </w:p>
          <w:p w14:paraId="5998EEE3" w14:textId="77777777" w:rsidR="00BF18CF" w:rsidRDefault="00E51347">
            <w:r>
              <w:t xml:space="preserve">En contexte bibliographique, un nom présenté selon les conventions régissant normalement l’utilisation de noms personnels sera admis correspondre à une personne réelle (une instance de </w:t>
            </w:r>
            <w:r>
              <w:rPr>
                <w:rFonts w:ascii="Consolas" w:eastAsia="Consolas" w:hAnsi="Consolas" w:cs="Consolas"/>
                <w:sz w:val="22"/>
                <w:szCs w:val="22"/>
                <w:shd w:val="clear" w:color="auto" w:fill="EAEEF3"/>
              </w:rPr>
              <w:t>E21_Personne</w:t>
            </w:r>
            <w:r>
              <w:t xml:space="preserve">) à moins que d’autres éléments n’indiquent le contraire. Le fait qu’un personnage fictif soit classifié de manière erronée comme une instance de </w:t>
            </w:r>
            <w:r>
              <w:rPr>
                <w:rFonts w:ascii="Consolas" w:eastAsia="Consolas" w:hAnsi="Consolas" w:cs="Consolas"/>
                <w:sz w:val="22"/>
                <w:szCs w:val="22"/>
                <w:shd w:val="clear" w:color="auto" w:fill="EAEEF3"/>
              </w:rPr>
              <w:t>E21_Personne</w:t>
            </w:r>
            <w:r>
              <w:t xml:space="preserve"> n’implique pas l’inclusion de tels personnages dans le concept de personne.</w:t>
            </w:r>
          </w:p>
        </w:tc>
      </w:tr>
      <w:tr w:rsidR="00BF18CF" w14:paraId="53A0881E" w14:textId="77777777" w:rsidTr="00BF18CF">
        <w:tc>
          <w:tcPr>
            <w:tcW w:w="1789" w:type="dxa"/>
          </w:tcPr>
          <w:p w14:paraId="41F0509D"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01" w:type="dxa"/>
          </w:tcPr>
          <w:p w14:paraId="3B516915" w14:textId="77777777" w:rsidR="00BF18CF" w:rsidRDefault="00E51347">
            <w:pPr>
              <w:numPr>
                <w:ilvl w:val="0"/>
                <w:numId w:val="19"/>
              </w:numPr>
            </w:pPr>
            <w:r>
              <w:t>Toutânkhamon (Edwards, 1979)</w:t>
            </w:r>
          </w:p>
          <w:p w14:paraId="3D39207F" w14:textId="77777777" w:rsidR="00BF18CF" w:rsidRDefault="00E51347">
            <w:pPr>
              <w:numPr>
                <w:ilvl w:val="0"/>
                <w:numId w:val="19"/>
              </w:numPr>
            </w:pPr>
            <w:r>
              <w:t>Nelson Mandela (Brown, 2006)</w:t>
            </w:r>
          </w:p>
        </w:tc>
      </w:tr>
      <w:tr w:rsidR="00BF18CF" w14:paraId="466EFE0F" w14:textId="77777777" w:rsidTr="00BF18CF">
        <w:tc>
          <w:tcPr>
            <w:tcW w:w="1789" w:type="dxa"/>
          </w:tcPr>
          <w:p w14:paraId="5092DAE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1" w:type="dxa"/>
          </w:tcPr>
          <w:p w14:paraId="2CE41733" w14:textId="77777777" w:rsidR="00BF18CF" w:rsidRDefault="00E51347">
            <w:r>
              <w:t>E21(x) ⊃ E20(x)</w:t>
            </w:r>
          </w:p>
          <w:p w14:paraId="455AC61C" w14:textId="77777777" w:rsidR="00BF18CF" w:rsidRDefault="00E51347">
            <w:r>
              <w:t>E21(x) ⊃ E39(x)</w:t>
            </w:r>
          </w:p>
        </w:tc>
      </w:tr>
      <w:tr w:rsidR="00BF18CF" w14:paraId="503C609C" w14:textId="77777777" w:rsidTr="00BF18CF">
        <w:tc>
          <w:tcPr>
            <w:tcW w:w="1789" w:type="dxa"/>
          </w:tcPr>
          <w:p w14:paraId="2B154FC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1" w:type="dxa"/>
          </w:tcPr>
          <w:p w14:paraId="6BA26653" w14:textId="77777777" w:rsidR="00BF18CF" w:rsidRDefault="00E51347">
            <w:r>
              <w:rPr>
                <w:rFonts w:ascii="Consolas" w:eastAsia="Consolas" w:hAnsi="Consolas" w:cs="Consolas"/>
                <w:sz w:val="22"/>
                <w:szCs w:val="22"/>
                <w:shd w:val="clear" w:color="auto" w:fill="EAEEF3"/>
              </w:rPr>
              <w:t xml:space="preserve">P152_a_pour_parent (est_le_parent_de): </w:t>
            </w:r>
            <w:r>
              <w:t xml:space="preserve">: </w:t>
            </w:r>
            <w:r>
              <w:rPr>
                <w:rFonts w:ascii="Consolas" w:eastAsia="Consolas" w:hAnsi="Consolas" w:cs="Consolas"/>
                <w:sz w:val="22"/>
                <w:szCs w:val="22"/>
                <w:shd w:val="clear" w:color="auto" w:fill="EAEEF3"/>
              </w:rPr>
              <w:t>E21_Personne</w:t>
            </w:r>
          </w:p>
        </w:tc>
      </w:tr>
      <w:tr w:rsidR="00BF18CF" w14:paraId="3898B6E8" w14:textId="77777777" w:rsidTr="00BF18CF">
        <w:tc>
          <w:tcPr>
            <w:tcW w:w="1789" w:type="dxa"/>
          </w:tcPr>
          <w:p w14:paraId="37530E39" w14:textId="5906E22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1" w:type="dxa"/>
          </w:tcPr>
          <w:p w14:paraId="08557A7A" w14:textId="77777777" w:rsidR="00BF18CF" w:rsidRDefault="00E51347">
            <w:r>
              <w:t>L’utilisation du terme « documentation » dans la définition fait ici référence aux données qui sont soumises en entrée. Le texte a été bonifié afin de clarifier de quoi il s’agit, car le terme documentation, en français, n’a pas la même acception qu’en anglais et ne recoupe pas vraiment l’usage qui en est fait ici.</w:t>
            </w:r>
          </w:p>
          <w:p w14:paraId="52483EA9" w14:textId="77777777" w:rsidR="00BF18CF" w:rsidRDefault="00E51347">
            <w:r>
              <w:t>La définition anglophone fait une distinction entre des « historical figures » et des « personae » et semble indiquer que cette distinction se situerait au niveau du soumissionnaire et de la manière dont l’individu est perçu (personnage imaginaire ou fictif). Une vérification auprès du CRM SIG confirme cette interprétation.</w:t>
            </w:r>
          </w:p>
        </w:tc>
      </w:tr>
      <w:tr w:rsidR="00BF18CF" w14:paraId="693EF5B5" w14:textId="77777777" w:rsidTr="00BF18CF">
        <w:tc>
          <w:tcPr>
            <w:tcW w:w="1789" w:type="dxa"/>
          </w:tcPr>
          <w:p w14:paraId="55ADB021"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1" w:type="dxa"/>
          </w:tcPr>
          <w:p w14:paraId="034AD7A1" w14:textId="77777777" w:rsidR="00BF18CF" w:rsidRDefault="00BF18CF">
            <w:pPr>
              <w:pBdr>
                <w:top w:val="nil"/>
                <w:left w:val="nil"/>
                <w:bottom w:val="nil"/>
                <w:right w:val="nil"/>
                <w:between w:val="nil"/>
              </w:pBdr>
              <w:spacing w:before="36" w:after="36"/>
              <w:rPr>
                <w:color w:val="000000"/>
              </w:rPr>
            </w:pPr>
          </w:p>
        </w:tc>
      </w:tr>
    </w:tbl>
    <w:p w14:paraId="2F64FFC4" w14:textId="77777777" w:rsidR="00BF18CF" w:rsidRDefault="00E51347">
      <w:pPr>
        <w:pStyle w:val="Heading3"/>
      </w:pPr>
      <w:bookmarkStart w:id="144" w:name="bookmark=id.2250f4o" w:colFirst="0" w:colLast="0"/>
      <w:bookmarkStart w:id="145" w:name="_Toc144360815"/>
      <w:bookmarkEnd w:id="144"/>
      <w:r>
        <w:t>E22 Objet élaboré par l’humain</w:t>
      </w:r>
      <w:bookmarkEnd w:id="145"/>
    </w:p>
    <w:tbl>
      <w:tblPr>
        <w:tblStyle w:val="a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13"/>
        <w:gridCol w:w="8977"/>
      </w:tblGrid>
      <w:tr w:rsidR="00BF18CF" w14:paraId="74377AFE" w14:textId="77777777" w:rsidTr="00BF18CF">
        <w:tc>
          <w:tcPr>
            <w:tcW w:w="1713" w:type="dxa"/>
          </w:tcPr>
          <w:p w14:paraId="50B4D8F8"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77" w:type="dxa"/>
          </w:tcPr>
          <w:p w14:paraId="612820F0" w14:textId="77777777" w:rsidR="007C10F0"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E19_Objet_matériel</w:t>
            </w:r>
          </w:p>
          <w:p w14:paraId="44F488F8" w14:textId="639834A2" w:rsidR="00BF18CF" w:rsidRDefault="00E51347">
            <w:r>
              <w:rPr>
                <w:rFonts w:ascii="Consolas" w:eastAsia="Consolas" w:hAnsi="Consolas" w:cs="Consolas"/>
                <w:sz w:val="22"/>
                <w:szCs w:val="22"/>
                <w:shd w:val="clear" w:color="auto" w:fill="EAEEF3"/>
              </w:rPr>
              <w:t>E24_Chose_matérielle_élaborée_par_l’humain</w:t>
            </w:r>
          </w:p>
        </w:tc>
      </w:tr>
      <w:tr w:rsidR="00BF18CF" w14:paraId="287FE7E6" w14:textId="77777777" w:rsidTr="00BF18CF">
        <w:tc>
          <w:tcPr>
            <w:tcW w:w="1713" w:type="dxa"/>
          </w:tcPr>
          <w:p w14:paraId="0F764781"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77" w:type="dxa"/>
          </w:tcPr>
          <w:p w14:paraId="47A1E2A0" w14:textId="77777777" w:rsidR="00BF18CF" w:rsidRDefault="00BF18CF">
            <w:pPr>
              <w:pBdr>
                <w:top w:val="nil"/>
                <w:left w:val="nil"/>
                <w:bottom w:val="nil"/>
                <w:right w:val="nil"/>
                <w:between w:val="nil"/>
              </w:pBdr>
              <w:spacing w:before="36" w:after="36"/>
              <w:rPr>
                <w:color w:val="000000"/>
              </w:rPr>
            </w:pPr>
          </w:p>
        </w:tc>
      </w:tr>
      <w:tr w:rsidR="00BF18CF" w14:paraId="72FFD175" w14:textId="77777777" w:rsidTr="00BF18CF">
        <w:tc>
          <w:tcPr>
            <w:tcW w:w="1713" w:type="dxa"/>
          </w:tcPr>
          <w:p w14:paraId="4DF018E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77" w:type="dxa"/>
          </w:tcPr>
          <w:p w14:paraId="0EF73DAB" w14:textId="77777777" w:rsidR="00BF18CF" w:rsidRDefault="00E51347">
            <w:r>
              <w:t>Cette classe comprend tous les objets physiques persistants, quelle que soit leur taille, qui sont créés intentionnellement par l’activité humaine et qui possèdent des limites physiques qui les séparent complètement et objectivement des autres objets.</w:t>
            </w:r>
          </w:p>
          <w:p w14:paraId="3E057900" w14:textId="77777777" w:rsidR="00BF18CF" w:rsidRDefault="00E51347">
            <w:r>
              <w:t>Cette classe inclut aussi toutes les agrégations d’objets produits pour de quelconques buts fonctionnels, indépendamment de leur cohérence physique, comme un ensemble de pièces de jeu d’échecs.</w:t>
            </w:r>
          </w:p>
        </w:tc>
      </w:tr>
      <w:tr w:rsidR="00BF18CF" w14:paraId="467DCC0D" w14:textId="77777777" w:rsidTr="00BF18CF">
        <w:tc>
          <w:tcPr>
            <w:tcW w:w="1713" w:type="dxa"/>
          </w:tcPr>
          <w:p w14:paraId="5B137B4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77" w:type="dxa"/>
          </w:tcPr>
          <w:p w14:paraId="156C28EF" w14:textId="77777777" w:rsidR="00BF18CF" w:rsidRDefault="00E51347">
            <w:pPr>
              <w:numPr>
                <w:ilvl w:val="0"/>
                <w:numId w:val="19"/>
              </w:numPr>
            </w:pPr>
            <w:r>
              <w:t>La Mallard (la locomotive à vapeur la plus rapide du monde) (Solomon, 2003)</w:t>
            </w:r>
          </w:p>
          <w:p w14:paraId="716B14C4" w14:textId="77777777" w:rsidR="00BF18CF" w:rsidRDefault="00E51347">
            <w:pPr>
              <w:numPr>
                <w:ilvl w:val="0"/>
                <w:numId w:val="19"/>
              </w:numPr>
            </w:pPr>
            <w:r>
              <w:t>Le vase Portland (Walker, 2004)</w:t>
            </w:r>
          </w:p>
          <w:p w14:paraId="34088908" w14:textId="77777777" w:rsidR="00BF18CF" w:rsidRDefault="00E51347">
            <w:pPr>
              <w:numPr>
                <w:ilvl w:val="0"/>
                <w:numId w:val="19"/>
              </w:numPr>
            </w:pPr>
            <w:r>
              <w:t>Le Colisée (the Coliseum) (Hopkins, 2005)</w:t>
            </w:r>
          </w:p>
        </w:tc>
      </w:tr>
      <w:tr w:rsidR="00BF18CF" w14:paraId="5C44BCEB" w14:textId="77777777" w:rsidTr="00BF18CF">
        <w:tc>
          <w:tcPr>
            <w:tcW w:w="1713" w:type="dxa"/>
          </w:tcPr>
          <w:p w14:paraId="6309E7E3"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77" w:type="dxa"/>
          </w:tcPr>
          <w:p w14:paraId="2EB82463" w14:textId="77777777" w:rsidR="00D21754" w:rsidRDefault="00E51347">
            <w:r>
              <w:t>E22(x) ⇒ E19(x)</w:t>
            </w:r>
          </w:p>
          <w:p w14:paraId="0E11CF27" w14:textId="2546F881" w:rsidR="00BF18CF" w:rsidRDefault="00E51347">
            <w:r>
              <w:t>E22(x) ⇒ E24(x)</w:t>
            </w:r>
          </w:p>
        </w:tc>
      </w:tr>
      <w:tr w:rsidR="00BF18CF" w14:paraId="6A99A828" w14:textId="77777777" w:rsidTr="00BF18CF">
        <w:tc>
          <w:tcPr>
            <w:tcW w:w="1713" w:type="dxa"/>
          </w:tcPr>
          <w:p w14:paraId="5410749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77" w:type="dxa"/>
          </w:tcPr>
          <w:p w14:paraId="165589F1" w14:textId="77777777" w:rsidR="00BF18CF" w:rsidRDefault="00BF18CF">
            <w:pPr>
              <w:pBdr>
                <w:top w:val="nil"/>
                <w:left w:val="nil"/>
                <w:bottom w:val="nil"/>
                <w:right w:val="nil"/>
                <w:between w:val="nil"/>
              </w:pBdr>
              <w:spacing w:before="36" w:after="36"/>
              <w:rPr>
                <w:color w:val="000000"/>
              </w:rPr>
            </w:pPr>
          </w:p>
        </w:tc>
      </w:tr>
      <w:tr w:rsidR="00BF18CF" w14:paraId="024B72CF" w14:textId="77777777" w:rsidTr="00BF18CF">
        <w:tc>
          <w:tcPr>
            <w:tcW w:w="1713" w:type="dxa"/>
          </w:tcPr>
          <w:p w14:paraId="23D4FCEC" w14:textId="5D6EE5AC"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77" w:type="dxa"/>
          </w:tcPr>
          <w:p w14:paraId="3CF79CE9" w14:textId="77777777" w:rsidR="00BF18CF" w:rsidRDefault="00BF18CF">
            <w:pPr>
              <w:pBdr>
                <w:top w:val="nil"/>
                <w:left w:val="nil"/>
                <w:bottom w:val="nil"/>
                <w:right w:val="nil"/>
                <w:between w:val="nil"/>
              </w:pBdr>
              <w:spacing w:before="36" w:after="36"/>
              <w:rPr>
                <w:color w:val="000000"/>
              </w:rPr>
            </w:pPr>
          </w:p>
        </w:tc>
      </w:tr>
      <w:tr w:rsidR="00BF18CF" w14:paraId="3DF91B50" w14:textId="77777777" w:rsidTr="00BF18CF">
        <w:tc>
          <w:tcPr>
            <w:tcW w:w="1713" w:type="dxa"/>
          </w:tcPr>
          <w:p w14:paraId="238032B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77" w:type="dxa"/>
          </w:tcPr>
          <w:p w14:paraId="08263CDA" w14:textId="77777777" w:rsidR="00BF18CF" w:rsidRDefault="00BF18CF">
            <w:pPr>
              <w:pBdr>
                <w:top w:val="nil"/>
                <w:left w:val="nil"/>
                <w:bottom w:val="nil"/>
                <w:right w:val="nil"/>
                <w:between w:val="nil"/>
              </w:pBdr>
              <w:spacing w:before="36" w:after="36"/>
              <w:rPr>
                <w:color w:val="000000"/>
              </w:rPr>
            </w:pPr>
          </w:p>
        </w:tc>
      </w:tr>
    </w:tbl>
    <w:p w14:paraId="189994AC" w14:textId="77777777" w:rsidR="00BF18CF" w:rsidRDefault="00E51347">
      <w:pPr>
        <w:pStyle w:val="Heading3"/>
      </w:pPr>
      <w:bookmarkStart w:id="146" w:name="bookmark=id.haapch" w:colFirst="0" w:colLast="0"/>
      <w:bookmarkStart w:id="147" w:name="_Toc144360816"/>
      <w:bookmarkEnd w:id="146"/>
      <w:r>
        <w:t>E24 Chose matérielle élaborée par l’humain</w:t>
      </w:r>
      <w:bookmarkEnd w:id="147"/>
    </w:p>
    <w:tbl>
      <w:tblPr>
        <w:tblStyle w:val="a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30"/>
        <w:gridCol w:w="8960"/>
      </w:tblGrid>
      <w:tr w:rsidR="00BF18CF" w14:paraId="6B63326B" w14:textId="77777777" w:rsidTr="00BF18CF">
        <w:tc>
          <w:tcPr>
            <w:tcW w:w="1730" w:type="dxa"/>
          </w:tcPr>
          <w:p w14:paraId="56E93E55"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60" w:type="dxa"/>
          </w:tcPr>
          <w:p w14:paraId="4D093764" w14:textId="77777777" w:rsidR="00BF18CF" w:rsidRDefault="00E51347">
            <w:r>
              <w:rPr>
                <w:rFonts w:ascii="Consolas" w:eastAsia="Consolas" w:hAnsi="Consolas" w:cs="Consolas"/>
                <w:sz w:val="22"/>
                <w:szCs w:val="22"/>
                <w:shd w:val="clear" w:color="auto" w:fill="EAEEF3"/>
              </w:rPr>
              <w:t>E18_Chose_matérielle</w:t>
            </w:r>
          </w:p>
          <w:p w14:paraId="759EE279" w14:textId="77777777" w:rsidR="00BF18CF" w:rsidRDefault="00E51347">
            <w:r>
              <w:rPr>
                <w:rFonts w:ascii="Consolas" w:eastAsia="Consolas" w:hAnsi="Consolas" w:cs="Consolas"/>
                <w:sz w:val="22"/>
                <w:szCs w:val="22"/>
                <w:shd w:val="clear" w:color="auto" w:fill="EAEEF3"/>
              </w:rPr>
              <w:t>E71_Chose_élaborée_par_l’humain</w:t>
            </w:r>
          </w:p>
        </w:tc>
      </w:tr>
      <w:tr w:rsidR="00BF18CF" w14:paraId="3B45F0B2" w14:textId="77777777" w:rsidTr="00BF18CF">
        <w:tc>
          <w:tcPr>
            <w:tcW w:w="1730" w:type="dxa"/>
          </w:tcPr>
          <w:p w14:paraId="57921374"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60" w:type="dxa"/>
          </w:tcPr>
          <w:p w14:paraId="1A01283A" w14:textId="77777777" w:rsidR="00BF18CF" w:rsidRDefault="00E51347">
            <w:r>
              <w:rPr>
                <w:rFonts w:ascii="Consolas" w:eastAsia="Consolas" w:hAnsi="Consolas" w:cs="Consolas"/>
                <w:sz w:val="22"/>
                <w:szCs w:val="22"/>
                <w:shd w:val="clear" w:color="auto" w:fill="EAEEF3"/>
              </w:rPr>
              <w:t>E22_Objet_élaboré_par_l’humain</w:t>
            </w:r>
          </w:p>
          <w:p w14:paraId="3970FFCE" w14:textId="77777777" w:rsidR="00BF18CF" w:rsidRDefault="00E51347">
            <w:r>
              <w:rPr>
                <w:rFonts w:ascii="Consolas" w:eastAsia="Consolas" w:hAnsi="Consolas" w:cs="Consolas"/>
                <w:sz w:val="22"/>
                <w:szCs w:val="22"/>
                <w:shd w:val="clear" w:color="auto" w:fill="EAEEF3"/>
              </w:rPr>
              <w:t>E25_Caractéristique_élaborée_par_l’humain</w:t>
            </w:r>
          </w:p>
          <w:p w14:paraId="3F12474B" w14:textId="77777777" w:rsidR="00BF18CF" w:rsidRDefault="00E51347">
            <w:r>
              <w:rPr>
                <w:rFonts w:ascii="Consolas" w:eastAsia="Consolas" w:hAnsi="Consolas" w:cs="Consolas"/>
                <w:sz w:val="22"/>
                <w:szCs w:val="22"/>
                <w:shd w:val="clear" w:color="auto" w:fill="EAEEF3"/>
              </w:rPr>
              <w:t>E78_Collection</w:t>
            </w:r>
          </w:p>
        </w:tc>
      </w:tr>
      <w:tr w:rsidR="00BF18CF" w14:paraId="75EF6246" w14:textId="77777777" w:rsidTr="00BF18CF">
        <w:tc>
          <w:tcPr>
            <w:tcW w:w="1730" w:type="dxa"/>
          </w:tcPr>
          <w:p w14:paraId="052FBE7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60" w:type="dxa"/>
          </w:tcPr>
          <w:p w14:paraId="13A9F6D4" w14:textId="77777777" w:rsidR="00BF18CF" w:rsidRDefault="00E51347">
            <w:r>
              <w:t xml:space="preserve">Cette classe comprend toutes les entités physiques persistantes de n’importe quelle taille qui sont créées volontairement par l’activité humaine. Cette classe comprend, entre autres, des instances de </w:t>
            </w:r>
            <w:r>
              <w:rPr>
                <w:rFonts w:ascii="Consolas" w:eastAsia="Consolas" w:hAnsi="Consolas" w:cs="Consolas"/>
                <w:sz w:val="22"/>
                <w:szCs w:val="22"/>
                <w:shd w:val="clear" w:color="auto" w:fill="EAEEF3"/>
              </w:rPr>
              <w:t>E22_Objet_élaboré_par_l’humain</w:t>
            </w:r>
            <w:r>
              <w:t xml:space="preserve">, comme une épée, ainsi que des instances de </w:t>
            </w:r>
            <w:r>
              <w:rPr>
                <w:rFonts w:ascii="Consolas" w:eastAsia="Consolas" w:hAnsi="Consolas" w:cs="Consolas"/>
                <w:sz w:val="22"/>
                <w:szCs w:val="22"/>
                <w:shd w:val="clear" w:color="auto" w:fill="EAEEF3"/>
              </w:rPr>
              <w:t>E25_Caractéristique_élaborée_par_l’humain</w:t>
            </w:r>
            <w:r>
              <w:t xml:space="preserve">, comme une œuvre d’art rupestre. Par exemple, une « cupule » gravée dans un substrat rocheux est considérée comme une instance de </w:t>
            </w:r>
            <w:r>
              <w:rPr>
                <w:rFonts w:ascii="Consolas" w:eastAsia="Consolas" w:hAnsi="Consolas" w:cs="Consolas"/>
                <w:sz w:val="22"/>
                <w:szCs w:val="22"/>
                <w:shd w:val="clear" w:color="auto" w:fill="EAEEF3"/>
              </w:rPr>
              <w:t>E24_Chose_matérielle_élaborée_par_l’humain</w:t>
            </w:r>
            <w:r>
              <w:t>.</w:t>
            </w:r>
          </w:p>
          <w:p w14:paraId="7A6EED91" w14:textId="77777777" w:rsidR="00BF18CF" w:rsidRDefault="00E51347">
            <w:r>
              <w:t xml:space="preserve">Les instances de </w:t>
            </w:r>
            <w:r>
              <w:rPr>
                <w:rFonts w:ascii="Consolas" w:eastAsia="Consolas" w:hAnsi="Consolas" w:cs="Consolas"/>
                <w:sz w:val="22"/>
                <w:szCs w:val="22"/>
                <w:shd w:val="clear" w:color="auto" w:fill="EAEEF3"/>
              </w:rPr>
              <w:t>E71_Chose_élaborée_par_l’humain</w:t>
            </w:r>
            <w:r>
              <w:t xml:space="preserve"> peuvent être le résultat de la modification de choses matérielles préexistantes, tant que de grandes parties ou la majorité de la matière originale et de la structure sont préservées. [</w:t>
            </w:r>
            <w:proofErr w:type="gramStart"/>
            <w:r>
              <w:t>n.d.t.</w:t>
            </w:r>
            <w:proofErr w:type="gramEnd"/>
            <w:r>
              <w:t xml:space="preserve"> Le fait que ces instances peuvent provenir d’une modification] soulève la question de savoir si elles sont nouvelles ou même élaborées par l’humain. [</w:t>
            </w:r>
            <w:proofErr w:type="gramStart"/>
            <w:r>
              <w:t>n.d.t.</w:t>
            </w:r>
            <w:proofErr w:type="gramEnd"/>
            <w:r>
              <w:t xml:space="preserve"> Afin de déterminer s’il s’agit effectivement d’une nouvelle instance de </w:t>
            </w:r>
            <w:r>
              <w:rPr>
                <w:rFonts w:ascii="Consolas" w:eastAsia="Consolas" w:hAnsi="Consolas" w:cs="Consolas"/>
                <w:sz w:val="22"/>
                <w:szCs w:val="22"/>
                <w:shd w:val="clear" w:color="auto" w:fill="EAEEF3"/>
              </w:rPr>
              <w:t>E24_Chose_matérielle_élaborée_par_l’humain</w:t>
            </w:r>
            <w:r>
              <w:t xml:space="preserve">, il faut que] les interventions de production sur ce matériau d’origine soient respectivement évidentes et suffisantes pour considérer que le produit a une identité nouvelle et distincte, une fonction prévue ainsi qu’il soit fabriqué par l’humain. La continuité substantielle de la matière et de la structure précédentes dans le nouveau produit peut être documentée en décrivant le processus de production également comme une instance de </w:t>
            </w:r>
            <w:r>
              <w:rPr>
                <w:rFonts w:ascii="Consolas" w:eastAsia="Consolas" w:hAnsi="Consolas" w:cs="Consolas"/>
                <w:sz w:val="22"/>
                <w:szCs w:val="22"/>
                <w:shd w:val="clear" w:color="auto" w:fill="EAEEF3"/>
              </w:rPr>
              <w:t>E81_Transformation</w:t>
            </w:r>
            <w:r>
              <w:t>.</w:t>
            </w:r>
          </w:p>
          <w:p w14:paraId="0C9CC99E" w14:textId="77777777" w:rsidR="00BF18CF" w:rsidRDefault="00E51347">
            <w:r>
              <w:t xml:space="preserve">Alors que les interventions de conservation et de réparation ne sont pas considérées comme produisant une nouvelle instance de </w:t>
            </w:r>
            <w:r>
              <w:rPr>
                <w:rFonts w:ascii="Consolas" w:eastAsia="Consolas" w:hAnsi="Consolas" w:cs="Consolas"/>
                <w:sz w:val="22"/>
                <w:szCs w:val="22"/>
                <w:shd w:val="clear" w:color="auto" w:fill="EAEEF3"/>
              </w:rPr>
              <w:t>E71_Chose_élaborée_par_l’humain</w:t>
            </w:r>
            <w:r>
              <w:t xml:space="preserve">, les résultats de préparation de spécimens d’histoire naturelle qui modifient substantiellement leur état naturel ou original devraient être considérés comme des instances de </w:t>
            </w:r>
            <w:r>
              <w:rPr>
                <w:rFonts w:ascii="Consolas" w:eastAsia="Consolas" w:hAnsi="Consolas" w:cs="Consolas"/>
                <w:sz w:val="22"/>
                <w:szCs w:val="22"/>
                <w:shd w:val="clear" w:color="auto" w:fill="EAEEF3"/>
              </w:rPr>
              <w:t>E71_Chose_élaborée_par_l’humain</w:t>
            </w:r>
            <w:r>
              <w:t xml:space="preserve">, y compris la découverte de composants biologiques pétrifiés au sein d’un morceau de pierre solide. D’un autre côté, griffonner un numéro de musée sur un objet naturel ne devrait pas être considéré comme une activité créant une chose élaborée par l’humain. Nonobstant cela, des parties, sections ou caractéristiques d’une instance de </w:t>
            </w:r>
            <w:r>
              <w:rPr>
                <w:rFonts w:ascii="Consolas" w:eastAsia="Consolas" w:hAnsi="Consolas" w:cs="Consolas"/>
                <w:sz w:val="22"/>
                <w:szCs w:val="22"/>
                <w:shd w:val="clear" w:color="auto" w:fill="EAEEF3"/>
              </w:rPr>
              <w:lastRenderedPageBreak/>
              <w:t>E24_Chose_matérielle_élaborée_par_l’humain</w:t>
            </w:r>
            <w:r>
              <w:t xml:space="preserve"> peuvent continuer à ne pas être élaborées par l’humain et préservées pendant le processus de production, par exemple les perles naturelles utilisées comme une partie de boucle d’oreille.</w:t>
            </w:r>
          </w:p>
        </w:tc>
      </w:tr>
      <w:tr w:rsidR="00BF18CF" w14:paraId="691DD63B" w14:textId="77777777" w:rsidTr="00BF18CF">
        <w:tc>
          <w:tcPr>
            <w:tcW w:w="1730" w:type="dxa"/>
          </w:tcPr>
          <w:p w14:paraId="7B9A1A40"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60" w:type="dxa"/>
          </w:tcPr>
          <w:p w14:paraId="61EE0F25" w14:textId="77777777" w:rsidR="00BF18CF" w:rsidRDefault="00E51347">
            <w:pPr>
              <w:numPr>
                <w:ilvl w:val="0"/>
                <w:numId w:val="19"/>
              </w:numPr>
            </w:pPr>
            <w:r>
              <w:t>Le Pont du Forth (Forth Railway Bridge) (</w:t>
            </w:r>
            <w:r>
              <w:rPr>
                <w:rFonts w:ascii="Consolas" w:eastAsia="Consolas" w:hAnsi="Consolas" w:cs="Consolas"/>
                <w:sz w:val="22"/>
                <w:szCs w:val="22"/>
                <w:shd w:val="clear" w:color="auto" w:fill="EAEEF3"/>
              </w:rPr>
              <w:t>E22_Objet_élaboré_par_l’humain</w:t>
            </w:r>
            <w:r>
              <w:t>) (The Forth Railway Bridge Centenary 1890-1990, Actes de l’Institution of Civil Engineers (ICE), 1990, Vol.88(6), p. 1079-1107)</w:t>
            </w:r>
          </w:p>
          <w:p w14:paraId="04C7EF10" w14:textId="77777777" w:rsidR="00BF18CF" w:rsidRDefault="00E51347">
            <w:pPr>
              <w:numPr>
                <w:ilvl w:val="0"/>
                <w:numId w:val="19"/>
              </w:numPr>
            </w:pPr>
            <w:r>
              <w:t>Le tunnel sous la manche (Channel Tunnel) (</w:t>
            </w:r>
            <w:r>
              <w:rPr>
                <w:rFonts w:ascii="Consolas" w:eastAsia="Consolas" w:hAnsi="Consolas" w:cs="Consolas"/>
                <w:sz w:val="22"/>
                <w:szCs w:val="22"/>
                <w:shd w:val="clear" w:color="auto" w:fill="EAEEF3"/>
              </w:rPr>
              <w:t>E25_Caractéristique_élaborée_par_l’humain</w:t>
            </w:r>
            <w:r>
              <w:t>) (Holliday, I., Marcou, G. et Vickerman, R. W., 1991)</w:t>
            </w:r>
          </w:p>
          <w:p w14:paraId="052AEC84" w14:textId="77777777" w:rsidR="00BF18CF" w:rsidRDefault="00E51347">
            <w:pPr>
              <w:numPr>
                <w:ilvl w:val="0"/>
                <w:numId w:val="19"/>
              </w:numPr>
            </w:pPr>
            <w:r>
              <w:t>La collection historique du Musée Benaki à Athènes (</w:t>
            </w:r>
            <w:r>
              <w:rPr>
                <w:rFonts w:ascii="Consolas" w:eastAsia="Consolas" w:hAnsi="Consolas" w:cs="Consolas"/>
                <w:sz w:val="22"/>
                <w:szCs w:val="22"/>
                <w:shd w:val="clear" w:color="auto" w:fill="EAEEF3"/>
              </w:rPr>
              <w:t>E78_Collection</w:t>
            </w:r>
            <w:r>
              <w:t>) (Georgoula, E., 2005)</w:t>
            </w:r>
          </w:p>
          <w:p w14:paraId="5AC0442A" w14:textId="77777777" w:rsidR="00BF18CF" w:rsidRDefault="00E51347">
            <w:pPr>
              <w:numPr>
                <w:ilvl w:val="0"/>
                <w:numId w:val="19"/>
              </w:numPr>
            </w:pPr>
            <w:r>
              <w:t>La pierre de Rosette (Rosetta Stone) (</w:t>
            </w:r>
            <w:r>
              <w:rPr>
                <w:rFonts w:ascii="Consolas" w:eastAsia="Consolas" w:hAnsi="Consolas" w:cs="Consolas"/>
                <w:sz w:val="22"/>
                <w:szCs w:val="22"/>
                <w:shd w:val="clear" w:color="auto" w:fill="EAEEF3"/>
              </w:rPr>
              <w:t>E22_Objet_élaboré_par_l’humain</w:t>
            </w:r>
            <w:r>
              <w:t>)</w:t>
            </w:r>
          </w:p>
          <w:p w14:paraId="1D03F2A6" w14:textId="77777777" w:rsidR="00BF18CF" w:rsidRDefault="00E51347">
            <w:pPr>
              <w:numPr>
                <w:ilvl w:val="0"/>
                <w:numId w:val="19"/>
              </w:numPr>
            </w:pPr>
            <w:r>
              <w:t xml:space="preserve">Ma copie de poche de </w:t>
            </w:r>
            <w:r>
              <w:rPr>
                <w:i/>
              </w:rPr>
              <w:t>Crime et Châtiment</w:t>
            </w:r>
            <w:r>
              <w:t xml:space="preserve"> </w:t>
            </w:r>
            <w:r>
              <w:rPr>
                <w:i/>
              </w:rPr>
              <w:t>Преступление и наказание</w:t>
            </w:r>
            <w:r>
              <w:t xml:space="preserve"> (</w:t>
            </w:r>
            <w:r>
              <w:rPr>
                <w:rFonts w:ascii="Consolas" w:eastAsia="Consolas" w:hAnsi="Consolas" w:cs="Consolas"/>
                <w:sz w:val="22"/>
                <w:szCs w:val="22"/>
                <w:shd w:val="clear" w:color="auto" w:fill="EAEEF3"/>
              </w:rPr>
              <w:t>E22_Objet_élaboré_par_l’humain</w:t>
            </w:r>
            <w:r>
              <w:t>) (fictif)</w:t>
            </w:r>
          </w:p>
          <w:p w14:paraId="3B8099A8" w14:textId="77777777" w:rsidR="00BF18CF" w:rsidRDefault="00E51347">
            <w:pPr>
              <w:numPr>
                <w:ilvl w:val="0"/>
                <w:numId w:val="19"/>
              </w:numPr>
            </w:pPr>
            <w:r>
              <w:t>Le disque informatique à l’Institute of Computer Science - Foundation for Research and Technology - Hellas (ICS-FORTH) qui contient la Définition canonique du CIDOC CRM v.3.2 (</w:t>
            </w:r>
            <w:r>
              <w:rPr>
                <w:rFonts w:ascii="Consolas" w:eastAsia="Consolas" w:hAnsi="Consolas" w:cs="Consolas"/>
                <w:sz w:val="22"/>
                <w:szCs w:val="22"/>
                <w:shd w:val="clear" w:color="auto" w:fill="EAEEF3"/>
              </w:rPr>
              <w:t>E22_Objet_élaboré_par_l’humain</w:t>
            </w:r>
            <w:r>
              <w:t>)</w:t>
            </w:r>
          </w:p>
          <w:p w14:paraId="4F938338" w14:textId="77777777" w:rsidR="00BF18CF" w:rsidRDefault="00E51347">
            <w:pPr>
              <w:numPr>
                <w:ilvl w:val="0"/>
                <w:numId w:val="19"/>
              </w:numPr>
            </w:pPr>
            <w:r>
              <w:t>Mon disque DVD vide (</w:t>
            </w:r>
            <w:r>
              <w:rPr>
                <w:rFonts w:ascii="Consolas" w:eastAsia="Consolas" w:hAnsi="Consolas" w:cs="Consolas"/>
                <w:sz w:val="22"/>
                <w:szCs w:val="22"/>
                <w:shd w:val="clear" w:color="auto" w:fill="EAEEF3"/>
              </w:rPr>
              <w:t>E22_Objet_élaboré_par_l’humain</w:t>
            </w:r>
            <w:r>
              <w:t>) (fictif)</w:t>
            </w:r>
          </w:p>
        </w:tc>
      </w:tr>
      <w:tr w:rsidR="00BF18CF" w14:paraId="74A10A3B" w14:textId="77777777" w:rsidTr="00BF18CF">
        <w:tc>
          <w:tcPr>
            <w:tcW w:w="1730" w:type="dxa"/>
          </w:tcPr>
          <w:p w14:paraId="38B07BF0"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60" w:type="dxa"/>
          </w:tcPr>
          <w:p w14:paraId="658F6C3E" w14:textId="77777777" w:rsidR="00BF18CF" w:rsidRDefault="00E51347">
            <w:r>
              <w:t>E24(x) ⇒ E18(x)</w:t>
            </w:r>
          </w:p>
          <w:p w14:paraId="4A38805B" w14:textId="77777777" w:rsidR="00BF18CF" w:rsidRDefault="00E51347">
            <w:r>
              <w:t>E24(x) ⇒ E71(x)</w:t>
            </w:r>
          </w:p>
        </w:tc>
      </w:tr>
      <w:tr w:rsidR="00BF18CF" w14:paraId="59191027" w14:textId="77777777" w:rsidTr="00BF18CF">
        <w:tc>
          <w:tcPr>
            <w:tcW w:w="1730" w:type="dxa"/>
          </w:tcPr>
          <w:p w14:paraId="61127E3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60" w:type="dxa"/>
          </w:tcPr>
          <w:p w14:paraId="1D808C00" w14:textId="77777777" w:rsidR="00BF18CF" w:rsidRDefault="00E51347">
            <w:r>
              <w:rPr>
                <w:rFonts w:ascii="Consolas" w:eastAsia="Consolas" w:hAnsi="Consolas" w:cs="Consolas"/>
                <w:sz w:val="22"/>
                <w:szCs w:val="22"/>
                <w:shd w:val="clear" w:color="auto" w:fill="EAEEF3"/>
              </w:rPr>
              <w:t>P62_illustre (est_illustré_par)</w:t>
            </w:r>
            <w:r>
              <w:t xml:space="preserve"> :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P62.1_mode_d’illustration</w:t>
            </w:r>
            <w:r>
              <w:t xml:space="preserve"> : </w:t>
            </w:r>
            <w:r>
              <w:rPr>
                <w:rFonts w:ascii="Consolas" w:eastAsia="Consolas" w:hAnsi="Consolas" w:cs="Consolas"/>
                <w:sz w:val="22"/>
                <w:szCs w:val="22"/>
                <w:shd w:val="clear" w:color="auto" w:fill="EAEEF3"/>
              </w:rPr>
              <w:t>E55_Type</w:t>
            </w:r>
            <w:r>
              <w:t>)</w:t>
            </w:r>
          </w:p>
          <w:p w14:paraId="6787A02F" w14:textId="77777777" w:rsidR="00BF18CF" w:rsidRDefault="00E51347">
            <w:r>
              <w:rPr>
                <w:rFonts w:ascii="Consolas" w:eastAsia="Consolas" w:hAnsi="Consolas" w:cs="Consolas"/>
                <w:sz w:val="22"/>
                <w:szCs w:val="22"/>
                <w:shd w:val="clear" w:color="auto" w:fill="EAEEF3"/>
              </w:rPr>
              <w:t>P65_représente_l’entité_visuelle (est_représenté_par)</w:t>
            </w:r>
            <w:r>
              <w:t xml:space="preserve"> : </w:t>
            </w:r>
            <w:r>
              <w:rPr>
                <w:rFonts w:ascii="Consolas" w:eastAsia="Consolas" w:hAnsi="Consolas" w:cs="Consolas"/>
                <w:sz w:val="22"/>
                <w:szCs w:val="22"/>
                <w:shd w:val="clear" w:color="auto" w:fill="EAEEF3"/>
              </w:rPr>
              <w:t>E36_Entité_visuelle</w:t>
            </w:r>
          </w:p>
        </w:tc>
      </w:tr>
      <w:tr w:rsidR="00BF18CF" w14:paraId="13162297" w14:textId="77777777" w:rsidTr="00BF18CF">
        <w:tc>
          <w:tcPr>
            <w:tcW w:w="1730" w:type="dxa"/>
          </w:tcPr>
          <w:p w14:paraId="318D8348" w14:textId="4C9F10D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60" w:type="dxa"/>
          </w:tcPr>
          <w:p w14:paraId="1CF23634" w14:textId="77777777" w:rsidR="00BF18CF" w:rsidRDefault="00BF18CF">
            <w:pPr>
              <w:pBdr>
                <w:top w:val="nil"/>
                <w:left w:val="nil"/>
                <w:bottom w:val="nil"/>
                <w:right w:val="nil"/>
                <w:between w:val="nil"/>
              </w:pBdr>
              <w:spacing w:before="36" w:after="36"/>
              <w:rPr>
                <w:color w:val="000000"/>
              </w:rPr>
            </w:pPr>
          </w:p>
        </w:tc>
      </w:tr>
      <w:tr w:rsidR="00BF18CF" w14:paraId="56FD3A44" w14:textId="77777777" w:rsidTr="00BF18CF">
        <w:tc>
          <w:tcPr>
            <w:tcW w:w="1730" w:type="dxa"/>
          </w:tcPr>
          <w:p w14:paraId="5339A91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60" w:type="dxa"/>
          </w:tcPr>
          <w:p w14:paraId="66188D9A" w14:textId="77777777" w:rsidR="00BF18CF" w:rsidRDefault="00BF18CF">
            <w:pPr>
              <w:pBdr>
                <w:top w:val="nil"/>
                <w:left w:val="nil"/>
                <w:bottom w:val="nil"/>
                <w:right w:val="nil"/>
                <w:between w:val="nil"/>
              </w:pBdr>
              <w:spacing w:before="36" w:after="36"/>
              <w:rPr>
                <w:color w:val="000000"/>
              </w:rPr>
            </w:pPr>
          </w:p>
        </w:tc>
      </w:tr>
    </w:tbl>
    <w:p w14:paraId="4BB11D11" w14:textId="77777777" w:rsidR="00BF18CF" w:rsidRDefault="00E51347">
      <w:pPr>
        <w:pStyle w:val="Heading3"/>
      </w:pPr>
      <w:bookmarkStart w:id="148" w:name="bookmark=id.319y80a" w:colFirst="0" w:colLast="0"/>
      <w:bookmarkStart w:id="149" w:name="_Toc144360817"/>
      <w:bookmarkEnd w:id="148"/>
      <w:r>
        <w:t>E25 Caractéristique élaborée par l'humain</w:t>
      </w:r>
      <w:bookmarkEnd w:id="149"/>
    </w:p>
    <w:tbl>
      <w:tblPr>
        <w:tblStyle w:val="a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9"/>
        <w:gridCol w:w="8941"/>
      </w:tblGrid>
      <w:tr w:rsidR="00BF18CF" w14:paraId="3BAE6CC3" w14:textId="77777777" w:rsidTr="00BF18CF">
        <w:tc>
          <w:tcPr>
            <w:tcW w:w="1749" w:type="dxa"/>
          </w:tcPr>
          <w:p w14:paraId="64B4F143"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1" w:type="dxa"/>
          </w:tcPr>
          <w:p w14:paraId="0C987A40" w14:textId="77777777" w:rsidR="00BF18CF" w:rsidRDefault="00E51347">
            <w:r>
              <w:rPr>
                <w:rFonts w:ascii="Consolas" w:eastAsia="Consolas" w:hAnsi="Consolas" w:cs="Consolas"/>
                <w:sz w:val="22"/>
                <w:szCs w:val="22"/>
                <w:shd w:val="clear" w:color="auto" w:fill="EAEEF3"/>
              </w:rPr>
              <w:t>E24_Chose_matérielle_élaborée_par_l’humain</w:t>
            </w:r>
          </w:p>
          <w:p w14:paraId="509693BC" w14:textId="77777777" w:rsidR="00BF18CF" w:rsidRDefault="00E51347">
            <w:r>
              <w:rPr>
                <w:rFonts w:ascii="Consolas" w:eastAsia="Consolas" w:hAnsi="Consolas" w:cs="Consolas"/>
                <w:sz w:val="22"/>
                <w:szCs w:val="22"/>
                <w:shd w:val="clear" w:color="auto" w:fill="EAEEF3"/>
              </w:rPr>
              <w:t>E26_Caractéristique_physique</w:t>
            </w:r>
          </w:p>
        </w:tc>
      </w:tr>
      <w:tr w:rsidR="00BF18CF" w14:paraId="4D342445" w14:textId="77777777" w:rsidTr="00BF18CF">
        <w:tc>
          <w:tcPr>
            <w:tcW w:w="1749" w:type="dxa"/>
          </w:tcPr>
          <w:p w14:paraId="2D8F4A09"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1" w:type="dxa"/>
          </w:tcPr>
          <w:p w14:paraId="6D1802E6" w14:textId="77777777" w:rsidR="00BF18CF" w:rsidRDefault="00BF18CF">
            <w:pPr>
              <w:pBdr>
                <w:top w:val="nil"/>
                <w:left w:val="nil"/>
                <w:bottom w:val="nil"/>
                <w:right w:val="nil"/>
                <w:between w:val="nil"/>
              </w:pBdr>
              <w:spacing w:before="36" w:after="36"/>
              <w:rPr>
                <w:color w:val="000000"/>
              </w:rPr>
            </w:pPr>
          </w:p>
        </w:tc>
      </w:tr>
      <w:tr w:rsidR="00BF18CF" w14:paraId="5695C9C8" w14:textId="77777777" w:rsidTr="00BF18CF">
        <w:tc>
          <w:tcPr>
            <w:tcW w:w="1749" w:type="dxa"/>
          </w:tcPr>
          <w:p w14:paraId="6460488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1" w:type="dxa"/>
          </w:tcPr>
          <w:p w14:paraId="5CCA43BE" w14:textId="77777777" w:rsidR="00BF18CF" w:rsidRDefault="00E51347">
            <w:r>
              <w:t>Cette classe comprend les caractéristiques physiques créées délibérément par l'activité humaine, telles que les rayures, les grottes artificielles, les chenaux artificiels, etc. En particulier, elle comprend les caractéristiques d'encodage de l'information sur des supports mécaniques ou numériques.</w:t>
            </w:r>
          </w:p>
        </w:tc>
      </w:tr>
      <w:tr w:rsidR="00BF18CF" w14:paraId="66CCF0A0" w14:textId="77777777" w:rsidTr="00BF18CF">
        <w:tc>
          <w:tcPr>
            <w:tcW w:w="1749" w:type="dxa"/>
          </w:tcPr>
          <w:p w14:paraId="4B6ADDDD"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41" w:type="dxa"/>
          </w:tcPr>
          <w:p w14:paraId="5DCE49D0" w14:textId="77777777" w:rsidR="00BF18CF" w:rsidRDefault="00E51347">
            <w:pPr>
              <w:numPr>
                <w:ilvl w:val="0"/>
                <w:numId w:val="19"/>
              </w:numPr>
            </w:pPr>
            <w:r>
              <w:t>Le Canal maritime de Manchester (Famie, 1980)</w:t>
            </w:r>
          </w:p>
          <w:p w14:paraId="4DF2AB4B" w14:textId="77777777" w:rsidR="00BF18CF" w:rsidRDefault="00E51347">
            <w:pPr>
              <w:numPr>
                <w:ilvl w:val="0"/>
                <w:numId w:val="19"/>
              </w:numPr>
            </w:pPr>
            <w:r>
              <w:t>Le nez de Michael Jackson après la chirurgie esthétique</w:t>
            </w:r>
          </w:p>
          <w:p w14:paraId="71A24A50" w14:textId="77777777" w:rsidR="00BF18CF" w:rsidRDefault="00E51347">
            <w:pPr>
              <w:numPr>
                <w:ilvl w:val="0"/>
                <w:numId w:val="19"/>
              </w:numPr>
            </w:pPr>
            <w:r>
              <w:t>Les « creux » lisibles au laser et gravés en juin 2014 sur le CD-R de Martin Doerr, copiant des chansons d'Édith Piaf</w:t>
            </w:r>
          </w:p>
          <w:p w14:paraId="7A09D8BE" w14:textId="77777777" w:rsidR="00BF18CF" w:rsidRDefault="00E51347">
            <w:pPr>
              <w:numPr>
                <w:ilvl w:val="0"/>
                <w:numId w:val="19"/>
              </w:numPr>
            </w:pPr>
            <w:r>
              <w:t>Les lettres gravées sur la pierre de Rosette</w:t>
            </w:r>
          </w:p>
        </w:tc>
      </w:tr>
      <w:tr w:rsidR="00BF18CF" w14:paraId="05392A4E" w14:textId="77777777" w:rsidTr="00BF18CF">
        <w:tc>
          <w:tcPr>
            <w:tcW w:w="1749" w:type="dxa"/>
          </w:tcPr>
          <w:p w14:paraId="5F3810D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1" w:type="dxa"/>
          </w:tcPr>
          <w:p w14:paraId="04EB562A" w14:textId="77777777" w:rsidR="00BF18CF" w:rsidRDefault="00E51347">
            <w:r>
              <w:t>E25(x) ⇒ E24(x)</w:t>
            </w:r>
          </w:p>
          <w:p w14:paraId="53552A00" w14:textId="77777777" w:rsidR="00BF18CF" w:rsidRDefault="00E51347">
            <w:r>
              <w:t>E25(x) ⇒ E26(x)</w:t>
            </w:r>
          </w:p>
        </w:tc>
      </w:tr>
      <w:tr w:rsidR="00BF18CF" w14:paraId="10C83616" w14:textId="77777777" w:rsidTr="00BF18CF">
        <w:tc>
          <w:tcPr>
            <w:tcW w:w="1749" w:type="dxa"/>
          </w:tcPr>
          <w:p w14:paraId="7D189FD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1" w:type="dxa"/>
          </w:tcPr>
          <w:p w14:paraId="34B7F895" w14:textId="77777777" w:rsidR="00BF18CF" w:rsidRDefault="00BF18CF">
            <w:pPr>
              <w:pBdr>
                <w:top w:val="nil"/>
                <w:left w:val="nil"/>
                <w:bottom w:val="nil"/>
                <w:right w:val="nil"/>
                <w:between w:val="nil"/>
              </w:pBdr>
              <w:spacing w:before="36" w:after="36"/>
              <w:rPr>
                <w:color w:val="000000"/>
              </w:rPr>
            </w:pPr>
          </w:p>
        </w:tc>
      </w:tr>
      <w:tr w:rsidR="00BF18CF" w14:paraId="30F5EE89" w14:textId="77777777" w:rsidTr="00BF18CF">
        <w:tc>
          <w:tcPr>
            <w:tcW w:w="1749" w:type="dxa"/>
          </w:tcPr>
          <w:p w14:paraId="6BCFA82E" w14:textId="166CF04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1" w:type="dxa"/>
          </w:tcPr>
          <w:p w14:paraId="1873E3C6" w14:textId="77777777" w:rsidR="00BF18CF" w:rsidRDefault="00BF18CF">
            <w:pPr>
              <w:pBdr>
                <w:top w:val="nil"/>
                <w:left w:val="nil"/>
                <w:bottom w:val="nil"/>
                <w:right w:val="nil"/>
                <w:between w:val="nil"/>
              </w:pBdr>
              <w:spacing w:before="36" w:after="36"/>
              <w:rPr>
                <w:color w:val="000000"/>
              </w:rPr>
            </w:pPr>
          </w:p>
        </w:tc>
      </w:tr>
      <w:tr w:rsidR="00BF18CF" w14:paraId="18308CED" w14:textId="77777777" w:rsidTr="00BF18CF">
        <w:tc>
          <w:tcPr>
            <w:tcW w:w="1749" w:type="dxa"/>
          </w:tcPr>
          <w:p w14:paraId="65CCBBC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1" w:type="dxa"/>
          </w:tcPr>
          <w:p w14:paraId="7A4DDD52" w14:textId="77777777" w:rsidR="00BF18CF" w:rsidRDefault="00BF18CF">
            <w:pPr>
              <w:pBdr>
                <w:top w:val="nil"/>
                <w:left w:val="nil"/>
                <w:bottom w:val="nil"/>
                <w:right w:val="nil"/>
                <w:between w:val="nil"/>
              </w:pBdr>
              <w:spacing w:before="36" w:after="36"/>
              <w:rPr>
                <w:color w:val="000000"/>
              </w:rPr>
            </w:pPr>
          </w:p>
        </w:tc>
      </w:tr>
    </w:tbl>
    <w:p w14:paraId="199B1693" w14:textId="77777777" w:rsidR="00BF18CF" w:rsidRDefault="00E51347">
      <w:pPr>
        <w:pStyle w:val="Heading3"/>
      </w:pPr>
      <w:bookmarkStart w:id="150" w:name="bookmark=id.1gf8i83" w:colFirst="0" w:colLast="0"/>
      <w:bookmarkStart w:id="151" w:name="_Toc144360818"/>
      <w:bookmarkEnd w:id="150"/>
      <w:r>
        <w:t>E26 Caractéristique physique</w:t>
      </w:r>
      <w:bookmarkEnd w:id="151"/>
    </w:p>
    <w:tbl>
      <w:tblPr>
        <w:tblStyle w:val="a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7"/>
        <w:gridCol w:w="8943"/>
      </w:tblGrid>
      <w:tr w:rsidR="00BF18CF" w14:paraId="0794FDA9" w14:textId="77777777" w:rsidTr="00BF18CF">
        <w:tc>
          <w:tcPr>
            <w:tcW w:w="1747" w:type="dxa"/>
          </w:tcPr>
          <w:p w14:paraId="6DBDBAE6"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3" w:type="dxa"/>
          </w:tcPr>
          <w:p w14:paraId="22B7FDEC" w14:textId="77777777" w:rsidR="00BF18CF" w:rsidRDefault="00E51347">
            <w:r>
              <w:rPr>
                <w:rFonts w:ascii="Consolas" w:eastAsia="Consolas" w:hAnsi="Consolas" w:cs="Consolas"/>
                <w:sz w:val="22"/>
                <w:szCs w:val="22"/>
                <w:shd w:val="clear" w:color="auto" w:fill="EAEEF3"/>
              </w:rPr>
              <w:t>E18_Chose_matérielle</w:t>
            </w:r>
          </w:p>
        </w:tc>
      </w:tr>
      <w:tr w:rsidR="00BF18CF" w14:paraId="6449E1A0" w14:textId="77777777" w:rsidTr="00BF18CF">
        <w:tc>
          <w:tcPr>
            <w:tcW w:w="1747" w:type="dxa"/>
          </w:tcPr>
          <w:p w14:paraId="79D3F556"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3" w:type="dxa"/>
          </w:tcPr>
          <w:p w14:paraId="5377E63E" w14:textId="77777777" w:rsidR="00BF18CF" w:rsidRDefault="00E51347">
            <w:r>
              <w:rPr>
                <w:rFonts w:ascii="Consolas" w:eastAsia="Consolas" w:hAnsi="Consolas" w:cs="Consolas"/>
                <w:sz w:val="22"/>
                <w:szCs w:val="22"/>
                <w:shd w:val="clear" w:color="auto" w:fill="EAEEF3"/>
              </w:rPr>
              <w:t>E25_Caractéristique_élaborée_par_l’humain</w:t>
            </w:r>
          </w:p>
          <w:p w14:paraId="39C8B80F" w14:textId="77777777" w:rsidR="00BF18CF" w:rsidRDefault="00E51347">
            <w:r>
              <w:rPr>
                <w:rFonts w:ascii="Consolas" w:eastAsia="Consolas" w:hAnsi="Consolas" w:cs="Consolas"/>
                <w:sz w:val="22"/>
                <w:szCs w:val="22"/>
                <w:shd w:val="clear" w:color="auto" w:fill="EAEEF3"/>
              </w:rPr>
              <w:t>E27_Site</w:t>
            </w:r>
          </w:p>
        </w:tc>
      </w:tr>
      <w:tr w:rsidR="00BF18CF" w14:paraId="01CFE67A" w14:textId="77777777" w:rsidTr="00BF18CF">
        <w:tc>
          <w:tcPr>
            <w:tcW w:w="1747" w:type="dxa"/>
          </w:tcPr>
          <w:p w14:paraId="0161B09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3" w:type="dxa"/>
          </w:tcPr>
          <w:p w14:paraId="1BC02ED4" w14:textId="77777777" w:rsidR="00BF18CF" w:rsidRDefault="00E51347">
            <w:r>
              <w:t>Cette classe comprend des caractéristiques identifiables qui sont physiquement attachées de manière intégrale à des objets physiques particuliers.</w:t>
            </w:r>
          </w:p>
          <w:p w14:paraId="36D147AB" w14:textId="77777777" w:rsidR="00BF18CF" w:rsidRDefault="00E51347">
            <w:r>
              <w:t xml:space="preserve">Les instances de </w:t>
            </w:r>
            <w:r>
              <w:rPr>
                <w:rFonts w:ascii="Consolas" w:eastAsia="Consolas" w:hAnsi="Consolas" w:cs="Consolas"/>
                <w:sz w:val="22"/>
                <w:szCs w:val="22"/>
                <w:shd w:val="clear" w:color="auto" w:fill="EAEEF3"/>
              </w:rPr>
              <w:t>E26_Caractéristique_physique</w:t>
            </w:r>
            <w:r>
              <w:t xml:space="preserve"> partagent de nombreux attributs avec les instances de </w:t>
            </w:r>
            <w:r>
              <w:rPr>
                <w:rFonts w:ascii="Consolas" w:eastAsia="Consolas" w:hAnsi="Consolas" w:cs="Consolas"/>
                <w:sz w:val="22"/>
                <w:szCs w:val="22"/>
                <w:shd w:val="clear" w:color="auto" w:fill="EAEEF3"/>
              </w:rPr>
              <w:t>E19_Objet_matériel</w:t>
            </w:r>
            <w:r>
              <w:t>. Elles peuvent avoir une étendue géométrique à une, deux ou trois dimensions, mais il n'y a pas de limites naturelles qui les séparent complètement et objectivement des objets auxquels elles s'intègrent. Par exemple, l'embrasure d'une porte est une caractéristique, mais la porte elle-même, étant fixée par des charnières, ne l'est pas.</w:t>
            </w:r>
          </w:p>
          <w:p w14:paraId="15B7497F" w14:textId="77777777" w:rsidR="00BF18CF" w:rsidRDefault="00E51347">
            <w:r>
              <w:t xml:space="preserve">Les instances de </w:t>
            </w:r>
            <w:r>
              <w:rPr>
                <w:rFonts w:ascii="Consolas" w:eastAsia="Consolas" w:hAnsi="Consolas" w:cs="Consolas"/>
                <w:sz w:val="22"/>
                <w:szCs w:val="22"/>
                <w:shd w:val="clear" w:color="auto" w:fill="EAEEF3"/>
              </w:rPr>
              <w:t>E26_Caractéristique_physique</w:t>
            </w:r>
            <w:r>
              <w:t xml:space="preserve"> peuvent être des caractéristiques au sens strict, telles que des rayures, des trous, des reliefs, des couleurs de surface, des zones de réflexion dans un cristal d'opale ou un changement de densité dans un morceau de bois. Au sens large, ce sont des parties d'objets particuliers aux limites partiellement imaginaires, comme le noyau de la Terre, une zone de propriété à la surface de la Terre, un paysage ou la tête d'une statue de marbre contiguë. Ces parties peuvent être mesurées et datées, et il est parfois possible d'indiquer qui ou quoi en est ou en était le responsable. Les instances de </w:t>
            </w:r>
            <w:r>
              <w:rPr>
                <w:rFonts w:ascii="Consolas" w:eastAsia="Consolas" w:hAnsi="Consolas" w:cs="Consolas"/>
                <w:sz w:val="22"/>
                <w:szCs w:val="22"/>
                <w:shd w:val="clear" w:color="auto" w:fill="EAEEF3"/>
              </w:rPr>
              <w:t>E26_Caractéristique_physique</w:t>
            </w:r>
            <w:r>
              <w:t xml:space="preserve"> ne peuvent pas être séparées de l'objet auquel elles s'intègrent, mais un segment de cet objet intégrant une caractéristique complète peut être identifié (ou parfois retiré).</w:t>
            </w:r>
          </w:p>
          <w:p w14:paraId="338B4B2E" w14:textId="77777777" w:rsidR="00BF18CF" w:rsidRDefault="00E51347">
            <w:r>
              <w:t>Cette définition coïncide avec celle des « objets fiat » [n.d.t. dont les limites sont artificielles] (Smith et Varzi, 2000, pp. 401-420), à l'exception des agrégats d</w:t>
            </w:r>
            <w:proofErr w:type="gramStart"/>
            <w:r>
              <w:t>'«</w:t>
            </w:r>
            <w:proofErr w:type="gramEnd"/>
            <w:r>
              <w:t> objets bona fide » [n.d.t. dont les limites sont naturelles].</w:t>
            </w:r>
          </w:p>
        </w:tc>
      </w:tr>
      <w:tr w:rsidR="00BF18CF" w14:paraId="4CF9196F" w14:textId="77777777" w:rsidTr="00BF18CF">
        <w:tc>
          <w:tcPr>
            <w:tcW w:w="1747" w:type="dxa"/>
          </w:tcPr>
          <w:p w14:paraId="1FC983BB"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43" w:type="dxa"/>
          </w:tcPr>
          <w:p w14:paraId="10CF5343" w14:textId="77777777" w:rsidR="00BF18CF" w:rsidRDefault="00E51347">
            <w:pPr>
              <w:numPr>
                <w:ilvl w:val="0"/>
                <w:numId w:val="19"/>
              </w:numPr>
            </w:pPr>
            <w:r>
              <w:t>Le temple d'Abou Simbel avant son démontage, qui a été taillé dans la roche solide (Hawass, 2000)</w:t>
            </w:r>
          </w:p>
          <w:p w14:paraId="7CB9EFE7" w14:textId="77777777" w:rsidR="00BF18CF" w:rsidRDefault="00E51347">
            <w:pPr>
              <w:numPr>
                <w:ilvl w:val="0"/>
                <w:numId w:val="19"/>
              </w:numPr>
            </w:pPr>
            <w:r>
              <w:t>La signature d'Albrecht Dürer sur son œuvre peinte de Charles le Grand (Strauss, 1974)</w:t>
            </w:r>
          </w:p>
          <w:p w14:paraId="04356476" w14:textId="77777777" w:rsidR="00BF18CF" w:rsidRDefault="00E51347">
            <w:pPr>
              <w:numPr>
                <w:ilvl w:val="0"/>
                <w:numId w:val="19"/>
              </w:numPr>
            </w:pPr>
            <w:r>
              <w:t>Les dommages causés au nez du Grand Sphinx de Gizeh (Temple, 2009)</w:t>
            </w:r>
          </w:p>
          <w:p w14:paraId="0F5BB9F1" w14:textId="77777777" w:rsidR="00BF18CF" w:rsidRDefault="00E51347">
            <w:pPr>
              <w:numPr>
                <w:ilvl w:val="0"/>
                <w:numId w:val="19"/>
              </w:numPr>
            </w:pPr>
            <w:r>
              <w:t>Le nez de Michael Jackson avant la chirurgie esthétique</w:t>
            </w:r>
          </w:p>
        </w:tc>
      </w:tr>
      <w:tr w:rsidR="00BF18CF" w14:paraId="05B9F642" w14:textId="77777777" w:rsidTr="00BF18CF">
        <w:tc>
          <w:tcPr>
            <w:tcW w:w="1747" w:type="dxa"/>
          </w:tcPr>
          <w:p w14:paraId="0B518AB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3" w:type="dxa"/>
          </w:tcPr>
          <w:p w14:paraId="5243950D" w14:textId="77777777" w:rsidR="00BF18CF" w:rsidRDefault="00E51347">
            <w:r>
              <w:t>E26(x) ⇒ E18(x)</w:t>
            </w:r>
          </w:p>
        </w:tc>
      </w:tr>
      <w:tr w:rsidR="00BF18CF" w14:paraId="40ABB6EF" w14:textId="77777777" w:rsidTr="00BF18CF">
        <w:tc>
          <w:tcPr>
            <w:tcW w:w="1747" w:type="dxa"/>
          </w:tcPr>
          <w:p w14:paraId="4A28EFF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3" w:type="dxa"/>
          </w:tcPr>
          <w:p w14:paraId="1F8B5E41" w14:textId="77777777" w:rsidR="00BF18CF" w:rsidRDefault="00BF18CF">
            <w:pPr>
              <w:pBdr>
                <w:top w:val="nil"/>
                <w:left w:val="nil"/>
                <w:bottom w:val="nil"/>
                <w:right w:val="nil"/>
                <w:between w:val="nil"/>
              </w:pBdr>
              <w:spacing w:before="36" w:after="36"/>
              <w:rPr>
                <w:color w:val="000000"/>
              </w:rPr>
            </w:pPr>
          </w:p>
        </w:tc>
      </w:tr>
      <w:tr w:rsidR="00BF18CF" w14:paraId="3D374D3A" w14:textId="77777777" w:rsidTr="00BF18CF">
        <w:tc>
          <w:tcPr>
            <w:tcW w:w="1747" w:type="dxa"/>
          </w:tcPr>
          <w:p w14:paraId="1695C811" w14:textId="7747519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3" w:type="dxa"/>
          </w:tcPr>
          <w:p w14:paraId="0B28F478" w14:textId="77777777" w:rsidR="00BF18CF" w:rsidRDefault="00BF18CF">
            <w:pPr>
              <w:pBdr>
                <w:top w:val="nil"/>
                <w:left w:val="nil"/>
                <w:bottom w:val="nil"/>
                <w:right w:val="nil"/>
                <w:between w:val="nil"/>
              </w:pBdr>
              <w:spacing w:before="36" w:after="36"/>
              <w:rPr>
                <w:color w:val="000000"/>
              </w:rPr>
            </w:pPr>
          </w:p>
        </w:tc>
      </w:tr>
      <w:tr w:rsidR="00BF18CF" w14:paraId="0FBD7B24" w14:textId="77777777" w:rsidTr="00BF18CF">
        <w:tc>
          <w:tcPr>
            <w:tcW w:w="1747" w:type="dxa"/>
          </w:tcPr>
          <w:p w14:paraId="0D9A754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3" w:type="dxa"/>
          </w:tcPr>
          <w:p w14:paraId="7992CC88" w14:textId="77777777" w:rsidR="00BF18CF" w:rsidRDefault="00BF18CF">
            <w:pPr>
              <w:pBdr>
                <w:top w:val="nil"/>
                <w:left w:val="nil"/>
                <w:bottom w:val="nil"/>
                <w:right w:val="nil"/>
                <w:between w:val="nil"/>
              </w:pBdr>
              <w:spacing w:before="36" w:after="36"/>
              <w:rPr>
                <w:color w:val="000000"/>
              </w:rPr>
            </w:pPr>
          </w:p>
        </w:tc>
      </w:tr>
    </w:tbl>
    <w:p w14:paraId="7329BFC2" w14:textId="77777777" w:rsidR="00BF18CF" w:rsidRDefault="00E51347">
      <w:pPr>
        <w:pStyle w:val="Heading3"/>
      </w:pPr>
      <w:bookmarkStart w:id="152" w:name="bookmark=id.40ew0vw" w:colFirst="0" w:colLast="0"/>
      <w:bookmarkStart w:id="153" w:name="_Toc144360819"/>
      <w:bookmarkEnd w:id="152"/>
      <w:r>
        <w:t>E27 Site</w:t>
      </w:r>
      <w:bookmarkEnd w:id="153"/>
    </w:p>
    <w:tbl>
      <w:tblPr>
        <w:tblStyle w:val="afffffc"/>
        <w:tblW w:w="10688"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2"/>
        <w:gridCol w:w="8886"/>
        <w:gridCol w:w="60"/>
      </w:tblGrid>
      <w:tr w:rsidR="00BF18CF" w14:paraId="04F43C08" w14:textId="77777777" w:rsidTr="00BF18CF">
        <w:tc>
          <w:tcPr>
            <w:tcW w:w="1742" w:type="dxa"/>
          </w:tcPr>
          <w:p w14:paraId="23AE71B6"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gridSpan w:val="2"/>
          </w:tcPr>
          <w:p w14:paraId="764D0CE2" w14:textId="77777777" w:rsidR="00BF18CF" w:rsidRDefault="00E51347">
            <w:r>
              <w:rPr>
                <w:rFonts w:ascii="Consolas" w:eastAsia="Consolas" w:hAnsi="Consolas" w:cs="Consolas"/>
                <w:sz w:val="22"/>
                <w:szCs w:val="22"/>
                <w:shd w:val="clear" w:color="auto" w:fill="EAEEF3"/>
              </w:rPr>
              <w:t>E26_Caractéristique_physique</w:t>
            </w:r>
          </w:p>
        </w:tc>
      </w:tr>
      <w:tr w:rsidR="00BF18CF" w14:paraId="1B315792" w14:textId="77777777" w:rsidTr="00BF18CF">
        <w:trPr>
          <w:gridAfter w:val="1"/>
          <w:wAfter w:w="60" w:type="dxa"/>
        </w:trPr>
        <w:tc>
          <w:tcPr>
            <w:tcW w:w="1742" w:type="dxa"/>
          </w:tcPr>
          <w:p w14:paraId="28AFB12F"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886" w:type="dxa"/>
          </w:tcPr>
          <w:p w14:paraId="772D2D57" w14:textId="77777777" w:rsidR="00BF18CF" w:rsidRDefault="00BF18CF">
            <w:pPr>
              <w:pBdr>
                <w:top w:val="nil"/>
                <w:left w:val="nil"/>
                <w:bottom w:val="nil"/>
                <w:right w:val="nil"/>
                <w:between w:val="nil"/>
              </w:pBdr>
              <w:spacing w:before="36" w:after="36"/>
              <w:rPr>
                <w:color w:val="000000"/>
              </w:rPr>
            </w:pPr>
          </w:p>
        </w:tc>
      </w:tr>
      <w:tr w:rsidR="00BF18CF" w14:paraId="210C160C" w14:textId="77777777" w:rsidTr="00BF18CF">
        <w:trPr>
          <w:gridAfter w:val="1"/>
          <w:wAfter w:w="60" w:type="dxa"/>
        </w:trPr>
        <w:tc>
          <w:tcPr>
            <w:tcW w:w="1742" w:type="dxa"/>
          </w:tcPr>
          <w:p w14:paraId="4EF9445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86" w:type="dxa"/>
          </w:tcPr>
          <w:p w14:paraId="4BBFC8AC" w14:textId="77777777" w:rsidR="00BF18CF" w:rsidRDefault="00E51347">
            <w:r>
              <w:t>Cette classe comprend des étendues de terre ou des fonds marins.</w:t>
            </w:r>
          </w:p>
          <w:p w14:paraId="17824D1F" w14:textId="77777777" w:rsidR="00BF18CF" w:rsidRDefault="00E51347">
            <w:r>
              <w:t xml:space="preserve">Contrairement à la notion purement géométrique de </w:t>
            </w:r>
            <w:r>
              <w:rPr>
                <w:rFonts w:ascii="Consolas" w:eastAsia="Consolas" w:hAnsi="Consolas" w:cs="Consolas"/>
                <w:sz w:val="22"/>
                <w:szCs w:val="22"/>
                <w:shd w:val="clear" w:color="auto" w:fill="EAEEF3"/>
              </w:rPr>
              <w:t>E53_Lieu</w:t>
            </w:r>
            <w:r>
              <w:t>, cette classe décrit des regroupements de matière à la surface de la Terre ou d'un autre corps céleste, qui peuvent être représentés par des photographies, des œuvres peintes et des cartes.</w:t>
            </w:r>
          </w:p>
          <w:p w14:paraId="7CD5618B" w14:textId="77777777" w:rsidR="00BF18CF" w:rsidRDefault="00E51347">
            <w:r>
              <w:t xml:space="preserve">Les instances de </w:t>
            </w:r>
            <w:r>
              <w:rPr>
                <w:rFonts w:ascii="Consolas" w:eastAsia="Consolas" w:hAnsi="Consolas" w:cs="Consolas"/>
                <w:sz w:val="22"/>
                <w:szCs w:val="22"/>
                <w:shd w:val="clear" w:color="auto" w:fill="EAEEF3"/>
              </w:rPr>
              <w:t>E27_Site</w:t>
            </w:r>
            <w:r>
              <w:t xml:space="preserve"> sont composées d'éléments matériels relativement immobiles et de caractéristiques dans une configuration particulière à un emplacement particulier.</w:t>
            </w:r>
          </w:p>
        </w:tc>
      </w:tr>
      <w:tr w:rsidR="00BF18CF" w14:paraId="09E7AB33" w14:textId="77777777" w:rsidTr="00BF18CF">
        <w:trPr>
          <w:gridAfter w:val="1"/>
          <w:wAfter w:w="60" w:type="dxa"/>
        </w:trPr>
        <w:tc>
          <w:tcPr>
            <w:tcW w:w="1742" w:type="dxa"/>
          </w:tcPr>
          <w:p w14:paraId="67B68A45"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86" w:type="dxa"/>
          </w:tcPr>
          <w:p w14:paraId="60E376F2" w14:textId="77777777" w:rsidR="00BF18CF" w:rsidRDefault="00E51347">
            <w:pPr>
              <w:numPr>
                <w:ilvl w:val="0"/>
                <w:numId w:val="19"/>
              </w:numPr>
            </w:pPr>
            <w:r>
              <w:t>Le bassin du fleuve Amazone (Hegen, 1966)</w:t>
            </w:r>
          </w:p>
          <w:p w14:paraId="115701C0" w14:textId="77777777" w:rsidR="00BF18CF" w:rsidRDefault="00E51347">
            <w:pPr>
              <w:numPr>
                <w:ilvl w:val="0"/>
                <w:numId w:val="19"/>
              </w:numPr>
            </w:pPr>
            <w:r>
              <w:t>Cnossos (Evans, 1921)</w:t>
            </w:r>
          </w:p>
          <w:p w14:paraId="51EAE270" w14:textId="77777777" w:rsidR="00BF18CF" w:rsidRDefault="00E51347">
            <w:pPr>
              <w:numPr>
                <w:ilvl w:val="0"/>
                <w:numId w:val="19"/>
              </w:numPr>
            </w:pPr>
            <w:r>
              <w:t>Le site d'atterrissage d'Apollo 11 (Siegler et Smrekar, 2014)</w:t>
            </w:r>
          </w:p>
          <w:p w14:paraId="3AFDCBAA" w14:textId="77777777" w:rsidR="00BF18CF" w:rsidRDefault="00E51347">
            <w:pPr>
              <w:numPr>
                <w:ilvl w:val="0"/>
                <w:numId w:val="19"/>
              </w:numPr>
            </w:pPr>
            <w:r>
              <w:t>L'aéroport d'Heathrow (Wicks, 2014)</w:t>
            </w:r>
          </w:p>
          <w:p w14:paraId="357AFE98" w14:textId="77777777" w:rsidR="00BF18CF" w:rsidRDefault="00E51347">
            <w:pPr>
              <w:numPr>
                <w:ilvl w:val="0"/>
                <w:numId w:val="19"/>
              </w:numPr>
            </w:pPr>
            <w:r>
              <w:t>Le port submergé de l'occupation minoenne de Gournia, en Crète (Watrous, 2012)</w:t>
            </w:r>
          </w:p>
          <w:p w14:paraId="4A85CBC9" w14:textId="77777777" w:rsidR="00BF18CF" w:rsidRDefault="00E51347">
            <w:pPr>
              <w:numPr>
                <w:ilvl w:val="0"/>
                <w:numId w:val="19"/>
              </w:numPr>
            </w:pPr>
            <w:r>
              <w:t>L'île de Crète</w:t>
            </w:r>
          </w:p>
        </w:tc>
      </w:tr>
      <w:tr w:rsidR="00BF18CF" w14:paraId="3C4AC0A1" w14:textId="77777777" w:rsidTr="00BF18CF">
        <w:trPr>
          <w:gridAfter w:val="1"/>
          <w:wAfter w:w="60" w:type="dxa"/>
        </w:trPr>
        <w:tc>
          <w:tcPr>
            <w:tcW w:w="1742" w:type="dxa"/>
          </w:tcPr>
          <w:p w14:paraId="179F7A7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86" w:type="dxa"/>
          </w:tcPr>
          <w:p w14:paraId="5C296D16" w14:textId="77777777" w:rsidR="00BF18CF" w:rsidRDefault="00E51347">
            <w:r>
              <w:t>E27(x) ⇒ E26(x)</w:t>
            </w:r>
          </w:p>
        </w:tc>
      </w:tr>
      <w:tr w:rsidR="00BF18CF" w14:paraId="7D6FE2A0" w14:textId="77777777" w:rsidTr="00BF18CF">
        <w:trPr>
          <w:gridAfter w:val="1"/>
          <w:wAfter w:w="60" w:type="dxa"/>
        </w:trPr>
        <w:tc>
          <w:tcPr>
            <w:tcW w:w="1742" w:type="dxa"/>
          </w:tcPr>
          <w:p w14:paraId="1ACCBFF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86" w:type="dxa"/>
          </w:tcPr>
          <w:p w14:paraId="3BEC907D" w14:textId="77777777" w:rsidR="00BF18CF" w:rsidRDefault="00BF18CF">
            <w:pPr>
              <w:pBdr>
                <w:top w:val="nil"/>
                <w:left w:val="nil"/>
                <w:bottom w:val="nil"/>
                <w:right w:val="nil"/>
                <w:between w:val="nil"/>
              </w:pBdr>
              <w:spacing w:before="36" w:after="36"/>
              <w:rPr>
                <w:color w:val="000000"/>
              </w:rPr>
            </w:pPr>
          </w:p>
        </w:tc>
      </w:tr>
      <w:tr w:rsidR="00BF18CF" w14:paraId="34CA9EA0" w14:textId="77777777" w:rsidTr="00BF18CF">
        <w:trPr>
          <w:gridAfter w:val="1"/>
          <w:wAfter w:w="60" w:type="dxa"/>
        </w:trPr>
        <w:tc>
          <w:tcPr>
            <w:tcW w:w="1742" w:type="dxa"/>
          </w:tcPr>
          <w:p w14:paraId="4855FE73" w14:textId="5E24D29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86" w:type="dxa"/>
          </w:tcPr>
          <w:p w14:paraId="260F5207" w14:textId="77777777" w:rsidR="00BF18CF" w:rsidRDefault="00BF18CF">
            <w:pPr>
              <w:pBdr>
                <w:top w:val="nil"/>
                <w:left w:val="nil"/>
                <w:bottom w:val="nil"/>
                <w:right w:val="nil"/>
                <w:between w:val="nil"/>
              </w:pBdr>
              <w:spacing w:before="36" w:after="36"/>
              <w:rPr>
                <w:color w:val="000000"/>
              </w:rPr>
            </w:pPr>
          </w:p>
        </w:tc>
      </w:tr>
      <w:tr w:rsidR="00BF18CF" w14:paraId="230EFD76" w14:textId="77777777" w:rsidTr="00BF18CF">
        <w:trPr>
          <w:gridAfter w:val="1"/>
          <w:wAfter w:w="60" w:type="dxa"/>
        </w:trPr>
        <w:tc>
          <w:tcPr>
            <w:tcW w:w="1742" w:type="dxa"/>
          </w:tcPr>
          <w:p w14:paraId="5C342FEC"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8886" w:type="dxa"/>
          </w:tcPr>
          <w:p w14:paraId="591F5BBB" w14:textId="77777777" w:rsidR="00BF18CF" w:rsidRDefault="00BF18CF">
            <w:pPr>
              <w:pBdr>
                <w:top w:val="nil"/>
                <w:left w:val="nil"/>
                <w:bottom w:val="nil"/>
                <w:right w:val="nil"/>
                <w:between w:val="nil"/>
              </w:pBdr>
              <w:spacing w:before="36" w:after="36"/>
              <w:rPr>
                <w:color w:val="000000"/>
              </w:rPr>
            </w:pPr>
          </w:p>
        </w:tc>
      </w:tr>
    </w:tbl>
    <w:p w14:paraId="111E5A42" w14:textId="77777777" w:rsidR="00BF18CF" w:rsidRDefault="00E51347">
      <w:pPr>
        <w:pStyle w:val="Heading3"/>
      </w:pPr>
      <w:bookmarkStart w:id="154" w:name="bookmark=id.2fk6b3p" w:colFirst="0" w:colLast="0"/>
      <w:bookmarkStart w:id="155" w:name="_Toc144360820"/>
      <w:bookmarkEnd w:id="154"/>
      <w:r>
        <w:t>E28 Objet conceptuel</w:t>
      </w:r>
      <w:bookmarkEnd w:id="155"/>
    </w:p>
    <w:tbl>
      <w:tblPr>
        <w:tblStyle w:val="afffffd"/>
        <w:tblW w:w="1068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0"/>
        <w:gridCol w:w="8946"/>
      </w:tblGrid>
      <w:tr w:rsidR="00BF18CF" w14:paraId="207BCCAC" w14:textId="77777777" w:rsidTr="00BF18CF">
        <w:tc>
          <w:tcPr>
            <w:tcW w:w="1740" w:type="dxa"/>
          </w:tcPr>
          <w:p w14:paraId="547946E7"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4BA1FD36" w14:textId="77777777" w:rsidR="00BF18CF" w:rsidRDefault="00E51347">
            <w:r>
              <w:rPr>
                <w:rFonts w:ascii="Consolas" w:eastAsia="Consolas" w:hAnsi="Consolas" w:cs="Consolas"/>
                <w:sz w:val="22"/>
                <w:szCs w:val="22"/>
                <w:shd w:val="clear" w:color="auto" w:fill="EAEEF3"/>
              </w:rPr>
              <w:t>E71_Chose_élaborée_par_l’humain</w:t>
            </w:r>
          </w:p>
        </w:tc>
      </w:tr>
      <w:tr w:rsidR="00BF18CF" w14:paraId="66D94293" w14:textId="77777777" w:rsidTr="00BF18CF">
        <w:tc>
          <w:tcPr>
            <w:tcW w:w="1740" w:type="dxa"/>
          </w:tcPr>
          <w:p w14:paraId="4867A3F9"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0B098248" w14:textId="77777777" w:rsidR="00D21754"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E55_Type</w:t>
            </w:r>
            <w:r>
              <w:t xml:space="preserve"> </w:t>
            </w:r>
            <w:r>
              <w:rPr>
                <w:rFonts w:ascii="Consolas" w:eastAsia="Consolas" w:hAnsi="Consolas" w:cs="Consolas"/>
                <w:sz w:val="22"/>
                <w:szCs w:val="22"/>
                <w:shd w:val="clear" w:color="auto" w:fill="EAEEF3"/>
              </w:rPr>
              <w:t>E89_Objet_propositionnel</w:t>
            </w:r>
          </w:p>
          <w:p w14:paraId="4B0A57DB" w14:textId="6958B44B" w:rsidR="00BF18CF" w:rsidRDefault="00E51347">
            <w:r>
              <w:rPr>
                <w:rFonts w:ascii="Consolas" w:eastAsia="Consolas" w:hAnsi="Consolas" w:cs="Consolas"/>
                <w:sz w:val="22"/>
                <w:szCs w:val="22"/>
                <w:shd w:val="clear" w:color="auto" w:fill="EAEEF3"/>
              </w:rPr>
              <w:t>E90_Objet_symbolique</w:t>
            </w:r>
          </w:p>
        </w:tc>
      </w:tr>
      <w:tr w:rsidR="00BF18CF" w14:paraId="7729B534" w14:textId="77777777" w:rsidTr="00BF18CF">
        <w:tc>
          <w:tcPr>
            <w:tcW w:w="1740" w:type="dxa"/>
          </w:tcPr>
          <w:p w14:paraId="37DBEF5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0B79088A" w14:textId="77777777" w:rsidR="00BF18CF" w:rsidRDefault="00E51347">
            <w:r>
              <w:t>Cette classe comprend les productions immatérielles de l’esprit et d’autres données produites par l’humain qui sont devenus des objets de discours à propos de leur identité, les circonstances de leur création ou leur rôle historique. La création de ce type d’information peut avoir été soutenue par l’utilisation de dispositifs techniques tels que des caméras ou des ordinateurs.</w:t>
            </w:r>
          </w:p>
          <w:p w14:paraId="3D495140" w14:textId="77777777" w:rsidR="00BF18CF" w:rsidRDefault="00E51347">
            <w:r>
              <w:t xml:space="preserve">Les instances de cette classe sont typiquement créées, inventées ou pensées par quelqu’un et peuvent alors être documentées ou communiquées entre personnes. Les instances de </w:t>
            </w:r>
            <w:r>
              <w:rPr>
                <w:rFonts w:ascii="Consolas" w:eastAsia="Consolas" w:hAnsi="Consolas" w:cs="Consolas"/>
                <w:sz w:val="22"/>
                <w:szCs w:val="22"/>
                <w:shd w:val="clear" w:color="auto" w:fill="EAEEF3"/>
              </w:rPr>
              <w:t>E28_Objet_conceptuel</w:t>
            </w:r>
            <w:r>
              <w:t xml:space="preserve"> ont la faculté d’exister sur plus d’un support à la fois, par exemple du papier, des signaux électroniques, des marques, des médias sonores, des peintures, des photos, la mémoire humaine, etc.</w:t>
            </w:r>
          </w:p>
          <w:p w14:paraId="40BEEA27" w14:textId="77777777" w:rsidR="00BF18CF" w:rsidRDefault="00E51347">
            <w:r>
              <w:t>Ces instances ne peuvent être détruites. Elles existent aussi longtemps qu’elles peuvent être trouvées sur au moins un support, y compris la mémoire humaine. Leur existence cesse lorsque le dernier support, incluant la mémoire humaine, est perdu.</w:t>
            </w:r>
          </w:p>
        </w:tc>
      </w:tr>
      <w:tr w:rsidR="00BF18CF" w14:paraId="718A333F" w14:textId="77777777" w:rsidTr="00BF18CF">
        <w:tc>
          <w:tcPr>
            <w:tcW w:w="1740" w:type="dxa"/>
          </w:tcPr>
          <w:p w14:paraId="16198055"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6" w:type="dxa"/>
          </w:tcPr>
          <w:p w14:paraId="6B5CFAD8" w14:textId="77777777" w:rsidR="00BF18CF" w:rsidRDefault="00E51347">
            <w:pPr>
              <w:numPr>
                <w:ilvl w:val="0"/>
                <w:numId w:val="19"/>
              </w:numPr>
            </w:pPr>
            <w:r>
              <w:t>L</w:t>
            </w:r>
            <w:proofErr w:type="gramStart"/>
            <w:r>
              <w:t>’«</w:t>
            </w:r>
            <w:proofErr w:type="gramEnd"/>
            <w:r>
              <w:t xml:space="preserve"> Hymne à la joie » dans la 9</w:t>
            </w:r>
            <w:r>
              <w:rPr>
                <w:vertAlign w:val="superscript"/>
              </w:rPr>
              <w:t>e</w:t>
            </w:r>
            <w:r>
              <w:t xml:space="preserve"> Symphonie de Beethoven (</w:t>
            </w:r>
            <w:r>
              <w:rPr>
                <w:rFonts w:ascii="Consolas" w:eastAsia="Consolas" w:hAnsi="Consolas" w:cs="Consolas"/>
                <w:sz w:val="22"/>
                <w:szCs w:val="22"/>
                <w:shd w:val="clear" w:color="auto" w:fill="EAEEF3"/>
              </w:rPr>
              <w:t>E73_Objet_informationnel</w:t>
            </w:r>
            <w:r>
              <w:t>) (Kershaw, 1999)</w:t>
            </w:r>
          </w:p>
          <w:p w14:paraId="6910129F" w14:textId="77777777" w:rsidR="00BF18CF" w:rsidRDefault="00E51347">
            <w:pPr>
              <w:numPr>
                <w:ilvl w:val="0"/>
                <w:numId w:val="19"/>
              </w:numPr>
            </w:pPr>
            <w:r>
              <w:t>La définition du terme « ontologie » dans l’</w:t>
            </w:r>
            <w:r>
              <w:rPr>
                <w:i/>
              </w:rPr>
              <w:t>Oxford English Dictionary</w:t>
            </w:r>
            <w:r>
              <w:t xml:space="preserve"> (</w:t>
            </w:r>
            <w:r>
              <w:rPr>
                <w:rFonts w:ascii="Consolas" w:eastAsia="Consolas" w:hAnsi="Consolas" w:cs="Consolas"/>
                <w:sz w:val="22"/>
                <w:szCs w:val="22"/>
                <w:shd w:val="clear" w:color="auto" w:fill="EAEEF3"/>
              </w:rPr>
              <w:t>E73_Objet_informationnel</w:t>
            </w:r>
            <w:r>
              <w:t>) (Oxford University Press, 1988)</w:t>
            </w:r>
          </w:p>
          <w:p w14:paraId="28A75C2B" w14:textId="77777777" w:rsidR="00BF18CF" w:rsidRDefault="00E51347">
            <w:pPr>
              <w:numPr>
                <w:ilvl w:val="0"/>
                <w:numId w:val="19"/>
              </w:numPr>
            </w:pPr>
            <w:r>
              <w:t>La nouvelle de la victoire de Marathon, apportée par le célèbre coureur Philippidès (Lagos et Karyanos, 2020)</w:t>
            </w:r>
          </w:p>
          <w:p w14:paraId="3787A182" w14:textId="77777777" w:rsidR="00BF18CF" w:rsidRDefault="00E51347">
            <w:r>
              <w:t>[Note explicative : Dans les exemples suivants, nous illustrons la distinction entre un objet propositionnel, ses noms et ses formes encodées. Les équations de Maxwell sont un bon exemple, parce qu’elles relèvent des lois fondamentales de la physique et que leur contenu mathématique produit des résultats identiques et sans ambiguïté indépendamment de leur formulation et de leur encodage.]</w:t>
            </w:r>
          </w:p>
          <w:p w14:paraId="2C97BD64" w14:textId="77147712" w:rsidR="000B3AA3" w:rsidRDefault="00E51347" w:rsidP="000B3AA3">
            <w:pPr>
              <w:pStyle w:val="ListParagraph"/>
              <w:numPr>
                <w:ilvl w:val="0"/>
                <w:numId w:val="19"/>
              </w:numPr>
            </w:pPr>
            <w:r>
              <w:t>« Équations de Maxwell » [point d’accès sujet préféré selon LCSH] (</w:t>
            </w:r>
            <w:r w:rsidRPr="00D21754">
              <w:rPr>
                <w:rFonts w:ascii="Consolas" w:eastAsia="Consolas" w:hAnsi="Consolas" w:cs="Consolas"/>
                <w:sz w:val="22"/>
                <w:szCs w:val="22"/>
                <w:shd w:val="clear" w:color="auto" w:fill="EAEEF3"/>
              </w:rPr>
              <w:t>E41_Appellation</w:t>
            </w:r>
            <w:r>
              <w:t>) (Ball, D., 1962) http://lccn.loc.gov/sh85082387 en date du 19 novembre 2012.</w:t>
            </w:r>
            <w:r w:rsidR="000B3AA3">
              <w:br/>
            </w:r>
            <w:r>
              <w:t xml:space="preserve">**Explication : Il s’agit seulement du nom des équations de Maxwell tel que standardisé par la </w:t>
            </w:r>
            <w:r w:rsidRPr="000B3AA3">
              <w:rPr>
                <w:i/>
              </w:rPr>
              <w:t>Library of Congress</w:t>
            </w:r>
            <w:r>
              <w:t xml:space="preserve"> et non les équations elles-mêmes.</w:t>
            </w:r>
          </w:p>
          <w:p w14:paraId="0DCF9A7B" w14:textId="1D254D7D" w:rsidR="000B3AA3" w:rsidRDefault="00E51347" w:rsidP="000B3AA3">
            <w:pPr>
              <w:pStyle w:val="ListParagraph"/>
              <w:numPr>
                <w:ilvl w:val="0"/>
                <w:numId w:val="19"/>
              </w:numPr>
            </w:pPr>
            <w:r>
              <w:t>« Équations, Maxwell » [variante de point d’accès sujet selon la même source] (</w:t>
            </w:r>
            <w:r w:rsidRPr="000B3AA3">
              <w:rPr>
                <w:rFonts w:ascii="Consolas" w:eastAsia="Consolas" w:hAnsi="Consolas" w:cs="Consolas"/>
                <w:sz w:val="22"/>
                <w:szCs w:val="22"/>
                <w:shd w:val="clear" w:color="auto" w:fill="EAEEF3"/>
              </w:rPr>
              <w:t>E41_Appellation</w:t>
            </w:r>
            <w:r>
              <w:t>)</w:t>
            </w:r>
            <w:r w:rsidR="000B3AA3">
              <w:br/>
            </w:r>
            <w:r>
              <w:t xml:space="preserve">**Explication : Il s’agit d’un autre nom pour les équations, standardisé par la </w:t>
            </w:r>
            <w:r w:rsidRPr="000B3AA3">
              <w:rPr>
                <w:i/>
              </w:rPr>
              <w:t>Library of Congress,</w:t>
            </w:r>
            <w:r>
              <w:t xml:space="preserve"> et non les équations elles-mêmes.</w:t>
            </w:r>
          </w:p>
          <w:p w14:paraId="29C05205" w14:textId="24194C7F" w:rsidR="000B3AA3" w:rsidRDefault="00E51347" w:rsidP="000B3AA3">
            <w:pPr>
              <w:pStyle w:val="ListParagraph"/>
              <w:numPr>
                <w:ilvl w:val="0"/>
                <w:numId w:val="19"/>
              </w:numPr>
            </w:pPr>
            <w:r>
              <w:t>Les équations de Maxwell (</w:t>
            </w:r>
            <w:r w:rsidRPr="000B3AA3">
              <w:rPr>
                <w:rFonts w:ascii="Consolas" w:eastAsia="Consolas" w:hAnsi="Consolas" w:cs="Consolas"/>
                <w:sz w:val="22"/>
                <w:szCs w:val="22"/>
                <w:shd w:val="clear" w:color="auto" w:fill="EAEEF3"/>
              </w:rPr>
              <w:t>E89_Objet_propositionnel</w:t>
            </w:r>
            <w:r>
              <w:t>)</w:t>
            </w:r>
            <w:r w:rsidR="000B3AA3">
              <w:br/>
            </w:r>
            <w:r>
              <w:t xml:space="preserve">**Explication : Il s’agit du contenu propositionnel à proprement parler des </w:t>
            </w:r>
            <w:r>
              <w:lastRenderedPageBreak/>
              <w:t>équations, indépendamment de toute notation particulière ou formalisme mathématique.</w:t>
            </w:r>
          </w:p>
          <w:p w14:paraId="2393A0BD" w14:textId="2FCEE52F" w:rsidR="00BF18CF" w:rsidRDefault="00E51347" w:rsidP="000B3AA3">
            <w:pPr>
              <w:pStyle w:val="ListParagraph"/>
              <w:numPr>
                <w:ilvl w:val="0"/>
                <w:numId w:val="19"/>
              </w:numPr>
            </w:pPr>
            <w:r>
              <w:t>L’encodage des équations de Maxwell comme dans https://upload.wikimedia.org/wikipedia/commons/c/c4/Maxwell%27sEquations.svg en date du 9 novembre 2022.</w:t>
            </w:r>
            <w:r w:rsidR="000B3AA3">
              <w:t xml:space="preserve"> </w:t>
            </w:r>
            <w:r>
              <w:t>(</w:t>
            </w:r>
            <w:r w:rsidRPr="000B3AA3">
              <w:rPr>
                <w:rFonts w:ascii="Consolas" w:eastAsia="Consolas" w:hAnsi="Consolas" w:cs="Consolas"/>
                <w:sz w:val="22"/>
                <w:szCs w:val="22"/>
                <w:shd w:val="clear" w:color="auto" w:fill="EAEEF3"/>
              </w:rPr>
              <w:t>E73_Objet_informationnel</w:t>
            </w:r>
            <w:r>
              <w:t>)</w:t>
            </w:r>
            <w:r w:rsidR="000B3AA3">
              <w:br/>
            </w:r>
            <w:r>
              <w:t>**Explication : Il s’agit d’un encodage possible du contenu propositionnel des équations.</w:t>
            </w:r>
          </w:p>
        </w:tc>
      </w:tr>
      <w:tr w:rsidR="00BF18CF" w14:paraId="4FB205A3" w14:textId="77777777" w:rsidTr="00BF18CF">
        <w:tc>
          <w:tcPr>
            <w:tcW w:w="1740" w:type="dxa"/>
          </w:tcPr>
          <w:p w14:paraId="5DDCE7C1"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46" w:type="dxa"/>
          </w:tcPr>
          <w:p w14:paraId="7EB3B84B" w14:textId="77777777" w:rsidR="00BF18CF" w:rsidRDefault="00E51347">
            <w:r>
              <w:t>E28(x) ⇒ E71(x)</w:t>
            </w:r>
          </w:p>
        </w:tc>
      </w:tr>
      <w:tr w:rsidR="00BF18CF" w14:paraId="5F4C6436" w14:textId="77777777" w:rsidTr="00BF18CF">
        <w:tc>
          <w:tcPr>
            <w:tcW w:w="1740" w:type="dxa"/>
          </w:tcPr>
          <w:p w14:paraId="7B8F29B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3E41043D" w14:textId="77777777" w:rsidR="00BF18CF" w:rsidRDefault="00BF18CF">
            <w:pPr>
              <w:pBdr>
                <w:top w:val="nil"/>
                <w:left w:val="nil"/>
                <w:bottom w:val="nil"/>
                <w:right w:val="nil"/>
                <w:between w:val="nil"/>
              </w:pBdr>
              <w:spacing w:before="36" w:after="36"/>
              <w:rPr>
                <w:color w:val="000000"/>
              </w:rPr>
            </w:pPr>
          </w:p>
        </w:tc>
      </w:tr>
      <w:tr w:rsidR="00BF18CF" w14:paraId="02E1D04C" w14:textId="77777777" w:rsidTr="00BF18CF">
        <w:tc>
          <w:tcPr>
            <w:tcW w:w="1740" w:type="dxa"/>
          </w:tcPr>
          <w:p w14:paraId="10AD5379" w14:textId="147E4A0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6467F2FD" w14:textId="77777777" w:rsidR="00BF18CF" w:rsidRDefault="00BF18CF">
            <w:pPr>
              <w:pBdr>
                <w:top w:val="nil"/>
                <w:left w:val="nil"/>
                <w:bottom w:val="nil"/>
                <w:right w:val="nil"/>
                <w:between w:val="nil"/>
              </w:pBdr>
              <w:spacing w:before="36" w:after="36"/>
              <w:rPr>
                <w:color w:val="000000"/>
              </w:rPr>
            </w:pPr>
          </w:p>
        </w:tc>
      </w:tr>
      <w:tr w:rsidR="00BF18CF" w14:paraId="5A0024D4" w14:textId="77777777" w:rsidTr="00BF18CF">
        <w:tc>
          <w:tcPr>
            <w:tcW w:w="1740" w:type="dxa"/>
          </w:tcPr>
          <w:p w14:paraId="2C0094C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2D596839" w14:textId="77777777" w:rsidR="00BF18CF" w:rsidRDefault="00BF18CF">
            <w:pPr>
              <w:pBdr>
                <w:top w:val="nil"/>
                <w:left w:val="nil"/>
                <w:bottom w:val="nil"/>
                <w:right w:val="nil"/>
                <w:between w:val="nil"/>
              </w:pBdr>
              <w:spacing w:before="36" w:after="36"/>
              <w:rPr>
                <w:color w:val="000000"/>
              </w:rPr>
            </w:pPr>
          </w:p>
        </w:tc>
      </w:tr>
    </w:tbl>
    <w:p w14:paraId="5291B5DA" w14:textId="77777777" w:rsidR="00BF18CF" w:rsidRDefault="00E51347">
      <w:pPr>
        <w:pStyle w:val="Heading3"/>
      </w:pPr>
      <w:bookmarkStart w:id="156" w:name="bookmark=id.upglbi" w:colFirst="0" w:colLast="0"/>
      <w:bookmarkStart w:id="157" w:name="_Toc144360821"/>
      <w:bookmarkEnd w:id="156"/>
      <w:r>
        <w:t>E29 Conceptualisation ou procédure</w:t>
      </w:r>
      <w:bookmarkEnd w:id="157"/>
    </w:p>
    <w:tbl>
      <w:tblPr>
        <w:tblStyle w:val="a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8"/>
        <w:gridCol w:w="8902"/>
      </w:tblGrid>
      <w:tr w:rsidR="00BF18CF" w14:paraId="792E59FC" w14:textId="77777777" w:rsidTr="00BF18CF">
        <w:tc>
          <w:tcPr>
            <w:tcW w:w="1788" w:type="dxa"/>
          </w:tcPr>
          <w:p w14:paraId="3AFA480F"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2" w:type="dxa"/>
          </w:tcPr>
          <w:p w14:paraId="2EAB3573" w14:textId="77777777" w:rsidR="00BF18CF" w:rsidRDefault="00E51347">
            <w:r>
              <w:rPr>
                <w:rFonts w:ascii="Consolas" w:eastAsia="Consolas" w:hAnsi="Consolas" w:cs="Consolas"/>
                <w:sz w:val="22"/>
                <w:szCs w:val="22"/>
                <w:shd w:val="clear" w:color="auto" w:fill="EAEEF3"/>
              </w:rPr>
              <w:t>E73_Objet_informationnel</w:t>
            </w:r>
          </w:p>
        </w:tc>
      </w:tr>
      <w:tr w:rsidR="00BF18CF" w14:paraId="486755AF" w14:textId="77777777" w:rsidTr="00BF18CF">
        <w:tc>
          <w:tcPr>
            <w:tcW w:w="1788" w:type="dxa"/>
          </w:tcPr>
          <w:p w14:paraId="023F1741"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2" w:type="dxa"/>
          </w:tcPr>
          <w:p w14:paraId="496BD215" w14:textId="77777777" w:rsidR="00BF18CF" w:rsidRDefault="00BF18CF">
            <w:pPr>
              <w:pBdr>
                <w:top w:val="nil"/>
                <w:left w:val="nil"/>
                <w:bottom w:val="nil"/>
                <w:right w:val="nil"/>
                <w:between w:val="nil"/>
              </w:pBdr>
              <w:spacing w:before="36" w:after="36"/>
              <w:rPr>
                <w:color w:val="000000"/>
              </w:rPr>
            </w:pPr>
          </w:p>
        </w:tc>
      </w:tr>
      <w:tr w:rsidR="00BF18CF" w14:paraId="7B84FE0B" w14:textId="77777777" w:rsidTr="00BF18CF">
        <w:tc>
          <w:tcPr>
            <w:tcW w:w="1788" w:type="dxa"/>
          </w:tcPr>
          <w:p w14:paraId="3F4EF43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2" w:type="dxa"/>
          </w:tcPr>
          <w:p w14:paraId="52FAB891" w14:textId="77777777" w:rsidR="00BF18CF" w:rsidRDefault="00E51347">
            <w:r>
              <w:t>Cette classe comprend des plans documentés concernant l'exécution d'actions dans l'objectif d'atteindre un résultat d'une qualité, d'une forme et d'un contenu spécifique. Plus particulièrement, cette classe comprend des plans pour :</w:t>
            </w:r>
          </w:p>
          <w:p w14:paraId="7787786D" w14:textId="77777777" w:rsidR="00BF18CF" w:rsidRDefault="00E51347">
            <w:pPr>
              <w:numPr>
                <w:ilvl w:val="0"/>
                <w:numId w:val="19"/>
              </w:numPr>
            </w:pPr>
            <w:proofErr w:type="gramStart"/>
            <w:r>
              <w:t>des</w:t>
            </w:r>
            <w:proofErr w:type="gramEnd"/>
            <w:r>
              <w:t xml:space="preserve"> activités humaines délibérées qui peuvent avoir pour résultat de nouvelles instances de </w:t>
            </w:r>
            <w:r>
              <w:rPr>
                <w:rFonts w:ascii="Consolas" w:eastAsia="Consolas" w:hAnsi="Consolas" w:cs="Consolas"/>
                <w:sz w:val="22"/>
                <w:szCs w:val="22"/>
                <w:shd w:val="clear" w:color="auto" w:fill="EAEEF3"/>
              </w:rPr>
              <w:t>E71_Chose_élaborée_par_l’humain</w:t>
            </w:r>
            <w:r>
              <w:t>;</w:t>
            </w:r>
          </w:p>
          <w:p w14:paraId="2323E110" w14:textId="77777777" w:rsidR="00BF18CF" w:rsidRDefault="00E51347">
            <w:pPr>
              <w:numPr>
                <w:ilvl w:val="0"/>
                <w:numId w:val="19"/>
              </w:numPr>
            </w:pPr>
            <w:proofErr w:type="gramStart"/>
            <w:r>
              <w:t>mettre</w:t>
            </w:r>
            <w:proofErr w:type="gramEnd"/>
            <w:r>
              <w:t xml:space="preserve"> en place ou guider l'exécution d'une instance de </w:t>
            </w:r>
            <w:r>
              <w:rPr>
                <w:rFonts w:ascii="Consolas" w:eastAsia="Consolas" w:hAnsi="Consolas" w:cs="Consolas"/>
                <w:sz w:val="22"/>
                <w:szCs w:val="22"/>
                <w:shd w:val="clear" w:color="auto" w:fill="EAEEF3"/>
              </w:rPr>
              <w:t>E7_Activité</w:t>
            </w:r>
            <w:r>
              <w:t>.</w:t>
            </w:r>
          </w:p>
          <w:p w14:paraId="327DF935" w14:textId="77777777" w:rsidR="00BF18CF" w:rsidRDefault="00E51347">
            <w:r>
              <w:t xml:space="preserve">Les instances de </w:t>
            </w:r>
            <w:r>
              <w:rPr>
                <w:rFonts w:ascii="Consolas" w:eastAsia="Consolas" w:hAnsi="Consolas" w:cs="Consolas"/>
                <w:sz w:val="22"/>
                <w:szCs w:val="22"/>
                <w:shd w:val="clear" w:color="auto" w:fill="EAEEF3"/>
              </w:rPr>
              <w:t>E29_Conceptualisation_ou_procédure</w:t>
            </w:r>
            <w:r>
              <w:t xml:space="preserve"> peuvent être structurées en parties et en séquences, ou dépendre d'autres instances.</w:t>
            </w:r>
          </w:p>
          <w:p w14:paraId="25CE2A4A" w14:textId="77777777" w:rsidR="00BF18CF" w:rsidRDefault="00E51347">
            <w:r>
              <w:t xml:space="preserve">Ceci est modélisé à l'aide de </w:t>
            </w:r>
            <w:r>
              <w:rPr>
                <w:rFonts w:ascii="Consolas" w:eastAsia="Consolas" w:hAnsi="Consolas" w:cs="Consolas"/>
                <w:sz w:val="22"/>
                <w:szCs w:val="22"/>
                <w:shd w:val="clear" w:color="auto" w:fill="EAEEF3"/>
              </w:rPr>
              <w:t>P69_est_associé_à (est_associé_à)</w:t>
            </w:r>
            <w:r>
              <w:t xml:space="preserve"> : </w:t>
            </w:r>
            <w:r>
              <w:rPr>
                <w:rFonts w:ascii="Consolas" w:eastAsia="Consolas" w:hAnsi="Consolas" w:cs="Consolas"/>
                <w:sz w:val="22"/>
                <w:szCs w:val="22"/>
                <w:shd w:val="clear" w:color="auto" w:fill="EAEEF3"/>
              </w:rPr>
              <w:t>E29_Conceptualisation_ou_procédure</w:t>
            </w:r>
            <w:r>
              <w:t>.</w:t>
            </w:r>
          </w:p>
          <w:p w14:paraId="71393006" w14:textId="77777777" w:rsidR="00BF18CF" w:rsidRDefault="00E51347">
            <w:r>
              <w:t>Les conceptualisations ou procédures peuvent être considérées comme l'un ou l'autre des éléments suivants :</w:t>
            </w:r>
          </w:p>
          <w:p w14:paraId="39F43989" w14:textId="77777777" w:rsidR="00BF18CF" w:rsidRDefault="00E51347">
            <w:pPr>
              <w:numPr>
                <w:ilvl w:val="0"/>
                <w:numId w:val="19"/>
              </w:numPr>
            </w:pPr>
            <w:r>
              <w:t>Un schéma représentant les activités évoquées par la conceptualisation ou la procédure;</w:t>
            </w:r>
          </w:p>
          <w:p w14:paraId="69501136" w14:textId="77777777" w:rsidR="00BF18CF" w:rsidRDefault="00E51347">
            <w:pPr>
              <w:numPr>
                <w:ilvl w:val="0"/>
                <w:numId w:val="19"/>
              </w:numPr>
            </w:pPr>
            <w:r>
              <w:t>Un schéma des produits qui résulte de leur application;</w:t>
            </w:r>
          </w:p>
          <w:p w14:paraId="3FB139A8" w14:textId="77777777" w:rsidR="00BF18CF" w:rsidRDefault="00E51347">
            <w:pPr>
              <w:numPr>
                <w:ilvl w:val="0"/>
                <w:numId w:val="19"/>
              </w:numPr>
            </w:pPr>
            <w:r>
              <w:t>Un produit intellectuel indépendant, lequel peut ne jamais avoir eu d'application (p. ex. les réputés plans de Léonard de Vinci pour des machines volantes).</w:t>
            </w:r>
          </w:p>
          <w:p w14:paraId="0CFDB13C" w14:textId="77777777" w:rsidR="00BF18CF" w:rsidRDefault="00E51347">
            <w:r>
              <w:t>Du fait que les conceptualisations ou procédures peuvent ne jamais avoir d'application ou qu'elles peuvent n'être que partiellement exécutées, le CIDOC CRM modélise une relation imprécise entre le plan et le produit auquel il est relié.</w:t>
            </w:r>
          </w:p>
        </w:tc>
      </w:tr>
      <w:tr w:rsidR="00BF18CF" w14:paraId="422C33DC" w14:textId="77777777" w:rsidTr="00BF18CF">
        <w:tc>
          <w:tcPr>
            <w:tcW w:w="1788" w:type="dxa"/>
          </w:tcPr>
          <w:p w14:paraId="3812F57E"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02" w:type="dxa"/>
          </w:tcPr>
          <w:p w14:paraId="4A60A23D" w14:textId="77777777" w:rsidR="00BF18CF" w:rsidRDefault="00E51347">
            <w:pPr>
              <w:numPr>
                <w:ilvl w:val="0"/>
                <w:numId w:val="19"/>
              </w:numPr>
            </w:pPr>
            <w:r>
              <w:t>La procédure de normalisation de l'Organisation internationale de normalisation (ISO)</w:t>
            </w:r>
          </w:p>
          <w:p w14:paraId="783CD23A" w14:textId="77777777" w:rsidR="00BF18CF" w:rsidRDefault="00E51347">
            <w:pPr>
              <w:numPr>
                <w:ilvl w:val="0"/>
                <w:numId w:val="19"/>
              </w:numPr>
            </w:pPr>
            <w:r>
              <w:t>La notation musicale de l'</w:t>
            </w:r>
            <w:r>
              <w:rPr>
                <w:i/>
              </w:rPr>
              <w:t>Ode à la joie</w:t>
            </w:r>
            <w:r>
              <w:t xml:space="preserve"> de Ludwig van Beethoven</w:t>
            </w:r>
          </w:p>
          <w:p w14:paraId="5059F3A1" w14:textId="77777777" w:rsidR="00BF18CF" w:rsidRDefault="00E51347">
            <w:pPr>
              <w:numPr>
                <w:ilvl w:val="0"/>
                <w:numId w:val="19"/>
              </w:numPr>
            </w:pPr>
            <w:r>
              <w:t>Les dessins architecturaux pour la cathédrale de Cologne en Allemagne</w:t>
            </w:r>
          </w:p>
          <w:p w14:paraId="25E44B5F" w14:textId="77777777" w:rsidR="00BF18CF" w:rsidRDefault="00E51347">
            <w:pPr>
              <w:numPr>
                <w:ilvl w:val="0"/>
                <w:numId w:val="19"/>
              </w:numPr>
            </w:pPr>
            <w:r>
              <w:t xml:space="preserve">Les dessins du folio « 860 » du </w:t>
            </w:r>
            <w:r>
              <w:rPr>
                <w:i/>
              </w:rPr>
              <w:t>Codex Atlanticus</w:t>
            </w:r>
            <w:r>
              <w:t xml:space="preserve"> (1486-1490) de Léonard de Vinci qui se trouvent à la Biblioteca Ambrosiana à Milan</w:t>
            </w:r>
          </w:p>
        </w:tc>
      </w:tr>
      <w:tr w:rsidR="00BF18CF" w14:paraId="12A72BB9" w14:textId="77777777" w:rsidTr="00BF18CF">
        <w:tc>
          <w:tcPr>
            <w:tcW w:w="1788" w:type="dxa"/>
          </w:tcPr>
          <w:p w14:paraId="34CE492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2" w:type="dxa"/>
          </w:tcPr>
          <w:p w14:paraId="68DA1D69" w14:textId="77777777" w:rsidR="00BF18CF" w:rsidRDefault="00E51347">
            <w:r>
              <w:t>E29(x) ⇒ E73(x)</w:t>
            </w:r>
          </w:p>
        </w:tc>
      </w:tr>
      <w:tr w:rsidR="00BF18CF" w14:paraId="7C052265" w14:textId="77777777" w:rsidTr="00BF18CF">
        <w:tc>
          <w:tcPr>
            <w:tcW w:w="1788" w:type="dxa"/>
          </w:tcPr>
          <w:p w14:paraId="3245253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2" w:type="dxa"/>
          </w:tcPr>
          <w:p w14:paraId="21B23E26" w14:textId="77777777" w:rsidR="00BF18CF" w:rsidRDefault="00E51347">
            <w:r>
              <w:rPr>
                <w:rFonts w:ascii="Consolas" w:eastAsia="Consolas" w:hAnsi="Consolas" w:cs="Consolas"/>
                <w:sz w:val="22"/>
                <w:szCs w:val="22"/>
                <w:shd w:val="clear" w:color="auto" w:fill="EAEEF3"/>
              </w:rPr>
              <w:t xml:space="preserve">P68_prévoit_l’usage_de (usage_prévu_de) </w:t>
            </w:r>
            <w:r>
              <w:t xml:space="preserve">: </w:t>
            </w:r>
            <w:r>
              <w:rPr>
                <w:rFonts w:ascii="Consolas" w:eastAsia="Consolas" w:hAnsi="Consolas" w:cs="Consolas"/>
                <w:sz w:val="22"/>
                <w:szCs w:val="22"/>
                <w:shd w:val="clear" w:color="auto" w:fill="EAEEF3"/>
              </w:rPr>
              <w:t>E57_Matériau</w:t>
            </w:r>
          </w:p>
          <w:p w14:paraId="4E06F8FE" w14:textId="77777777" w:rsidR="00BF18CF" w:rsidRDefault="00E51347">
            <w:r>
              <w:rPr>
                <w:rFonts w:ascii="Consolas" w:eastAsia="Consolas" w:hAnsi="Consolas" w:cs="Consolas"/>
                <w:sz w:val="22"/>
                <w:szCs w:val="22"/>
                <w:shd w:val="clear" w:color="auto" w:fill="EAEEF3"/>
              </w:rPr>
              <w:t xml:space="preserve">P69_est_associé_à (est_associé_à) </w:t>
            </w:r>
            <w:r>
              <w:t xml:space="preserve">: </w:t>
            </w:r>
            <w:r>
              <w:rPr>
                <w:rFonts w:ascii="Consolas" w:eastAsia="Consolas" w:hAnsi="Consolas" w:cs="Consolas"/>
                <w:sz w:val="22"/>
                <w:szCs w:val="22"/>
                <w:shd w:val="clear" w:color="auto" w:fill="EAEEF3"/>
              </w:rPr>
              <w:t>E29_Conceptualisation_ou_procédure</w:t>
            </w:r>
          </w:p>
          <w:p w14:paraId="7C8B0328" w14:textId="77777777" w:rsidR="00BF18CF" w:rsidRDefault="00E51347">
            <w:r>
              <w:t>(</w:t>
            </w:r>
            <w:r>
              <w:rPr>
                <w:rFonts w:ascii="Consolas" w:eastAsia="Consolas" w:hAnsi="Consolas" w:cs="Consolas"/>
                <w:sz w:val="22"/>
                <w:szCs w:val="22"/>
                <w:shd w:val="clear" w:color="auto" w:fill="EAEEF3"/>
              </w:rPr>
              <w:t>P69.1_a_pour_type</w:t>
            </w:r>
            <w:r>
              <w:t xml:space="preserve"> : </w:t>
            </w:r>
            <w:r>
              <w:rPr>
                <w:rFonts w:ascii="Consolas" w:eastAsia="Consolas" w:hAnsi="Consolas" w:cs="Consolas"/>
                <w:sz w:val="22"/>
                <w:szCs w:val="22"/>
                <w:shd w:val="clear" w:color="auto" w:fill="EAEEF3"/>
              </w:rPr>
              <w:t>E55_Type</w:t>
            </w:r>
            <w:r>
              <w:t>)</w:t>
            </w:r>
          </w:p>
        </w:tc>
      </w:tr>
      <w:tr w:rsidR="00BF18CF" w14:paraId="22995A7D" w14:textId="77777777" w:rsidTr="00BF18CF">
        <w:tc>
          <w:tcPr>
            <w:tcW w:w="1788" w:type="dxa"/>
          </w:tcPr>
          <w:p w14:paraId="6C05691C" w14:textId="6FBE6D2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2" w:type="dxa"/>
          </w:tcPr>
          <w:p w14:paraId="269E5115" w14:textId="77777777" w:rsidR="00BF18CF" w:rsidRDefault="00BF18CF">
            <w:pPr>
              <w:pBdr>
                <w:top w:val="nil"/>
                <w:left w:val="nil"/>
                <w:bottom w:val="nil"/>
                <w:right w:val="nil"/>
                <w:between w:val="nil"/>
              </w:pBdr>
              <w:spacing w:before="36" w:after="36"/>
              <w:rPr>
                <w:color w:val="000000"/>
              </w:rPr>
            </w:pPr>
          </w:p>
        </w:tc>
      </w:tr>
      <w:tr w:rsidR="00BF18CF" w14:paraId="4F46E95B" w14:textId="77777777" w:rsidTr="00BF18CF">
        <w:tc>
          <w:tcPr>
            <w:tcW w:w="1788" w:type="dxa"/>
          </w:tcPr>
          <w:p w14:paraId="7031284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2" w:type="dxa"/>
          </w:tcPr>
          <w:p w14:paraId="28E40956" w14:textId="77777777" w:rsidR="00BF18CF" w:rsidRDefault="00BF18CF">
            <w:pPr>
              <w:pBdr>
                <w:top w:val="nil"/>
                <w:left w:val="nil"/>
                <w:bottom w:val="nil"/>
                <w:right w:val="nil"/>
                <w:between w:val="nil"/>
              </w:pBdr>
              <w:spacing w:before="36" w:after="36"/>
              <w:rPr>
                <w:color w:val="000000"/>
              </w:rPr>
            </w:pPr>
          </w:p>
        </w:tc>
      </w:tr>
    </w:tbl>
    <w:p w14:paraId="6E731BFA" w14:textId="77777777" w:rsidR="00BF18CF" w:rsidRDefault="00E51347">
      <w:pPr>
        <w:pStyle w:val="Heading3"/>
      </w:pPr>
      <w:bookmarkStart w:id="158" w:name="bookmark=id.3ep43zb" w:colFirst="0" w:colLast="0"/>
      <w:bookmarkStart w:id="159" w:name="_Toc144360822"/>
      <w:bookmarkEnd w:id="158"/>
      <w:r>
        <w:t>E30 Droit</w:t>
      </w:r>
      <w:bookmarkEnd w:id="159"/>
    </w:p>
    <w:tbl>
      <w:tblPr>
        <w:tblStyle w:val="affffff"/>
        <w:tblW w:w="1068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0"/>
        <w:gridCol w:w="8946"/>
      </w:tblGrid>
      <w:tr w:rsidR="00BF18CF" w14:paraId="24F0B4F2" w14:textId="77777777" w:rsidTr="00BF18CF">
        <w:tc>
          <w:tcPr>
            <w:tcW w:w="1740" w:type="dxa"/>
          </w:tcPr>
          <w:p w14:paraId="51053071"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4F204B2C" w14:textId="77777777" w:rsidR="00BF18CF" w:rsidRDefault="00E51347">
            <w:r>
              <w:rPr>
                <w:rFonts w:ascii="Consolas" w:eastAsia="Consolas" w:hAnsi="Consolas" w:cs="Consolas"/>
                <w:sz w:val="22"/>
                <w:szCs w:val="22"/>
                <w:shd w:val="clear" w:color="auto" w:fill="EAEEF3"/>
              </w:rPr>
              <w:t>E89_Objet_propositionnel</w:t>
            </w:r>
          </w:p>
        </w:tc>
      </w:tr>
      <w:tr w:rsidR="00BF18CF" w14:paraId="7053C2DF" w14:textId="77777777" w:rsidTr="00BF18CF">
        <w:tc>
          <w:tcPr>
            <w:tcW w:w="1740" w:type="dxa"/>
          </w:tcPr>
          <w:p w14:paraId="415A7936"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46E8E987" w14:textId="77777777" w:rsidR="00BF18CF" w:rsidRDefault="00BF18CF">
            <w:pPr>
              <w:pBdr>
                <w:top w:val="nil"/>
                <w:left w:val="nil"/>
                <w:bottom w:val="nil"/>
                <w:right w:val="nil"/>
                <w:between w:val="nil"/>
              </w:pBdr>
              <w:spacing w:before="36" w:after="36"/>
              <w:rPr>
                <w:color w:val="000000"/>
              </w:rPr>
            </w:pPr>
          </w:p>
        </w:tc>
      </w:tr>
      <w:tr w:rsidR="00BF18CF" w14:paraId="59AAC644" w14:textId="77777777" w:rsidTr="00BF18CF">
        <w:tc>
          <w:tcPr>
            <w:tcW w:w="1740" w:type="dxa"/>
          </w:tcPr>
          <w:p w14:paraId="5867D54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226CFC5A" w14:textId="77777777" w:rsidR="00BF18CF" w:rsidRDefault="00E51347">
            <w:r>
              <w:t>Cette classe comprend les privilèges juridiques concernant des choses matérielles et immatérielles ou leurs dérivés.</w:t>
            </w:r>
          </w:p>
          <w:p w14:paraId="4A19C516" w14:textId="77777777" w:rsidR="00BF18CF" w:rsidRDefault="00E51347">
            <w:r>
              <w:t>Ces privilèges incluent notamment les droits de reproduction et de propriété.</w:t>
            </w:r>
          </w:p>
        </w:tc>
      </w:tr>
      <w:tr w:rsidR="00BF18CF" w14:paraId="16D0939C" w14:textId="77777777" w:rsidTr="00BF18CF">
        <w:tc>
          <w:tcPr>
            <w:tcW w:w="1740" w:type="dxa"/>
          </w:tcPr>
          <w:p w14:paraId="0785006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6" w:type="dxa"/>
          </w:tcPr>
          <w:p w14:paraId="146D9097" w14:textId="77777777" w:rsidR="00BF18CF" w:rsidRDefault="00E51347">
            <w:pPr>
              <w:numPr>
                <w:ilvl w:val="0"/>
                <w:numId w:val="19"/>
              </w:numPr>
            </w:pPr>
            <w:r>
              <w:t>Le droit d'auteur détenu par l'ISO sur la norme ISO 21127</w:t>
            </w:r>
          </w:p>
          <w:p w14:paraId="4A50BF88" w14:textId="77777777" w:rsidR="00BF18CF" w:rsidRDefault="00E51347">
            <w:pPr>
              <w:numPr>
                <w:ilvl w:val="0"/>
                <w:numId w:val="19"/>
              </w:numPr>
            </w:pPr>
            <w:r>
              <w:t xml:space="preserve">Le droit de propriété détenu par le Louvre sur la </w:t>
            </w:r>
            <w:r>
              <w:rPr>
                <w:i/>
              </w:rPr>
              <w:t>Monna Lisa</w:t>
            </w:r>
          </w:p>
        </w:tc>
      </w:tr>
      <w:tr w:rsidR="00BF18CF" w14:paraId="517A0E09" w14:textId="77777777" w:rsidTr="00BF18CF">
        <w:tc>
          <w:tcPr>
            <w:tcW w:w="1740" w:type="dxa"/>
          </w:tcPr>
          <w:p w14:paraId="5ABB7AE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6" w:type="dxa"/>
          </w:tcPr>
          <w:p w14:paraId="656792DD" w14:textId="77777777" w:rsidR="00BF18CF" w:rsidRDefault="00E51347">
            <w:r>
              <w:t>E30(x) ⇒ E89(x)</w:t>
            </w:r>
          </w:p>
        </w:tc>
      </w:tr>
      <w:tr w:rsidR="00BF18CF" w14:paraId="0BFE1678" w14:textId="77777777" w:rsidTr="00BF18CF">
        <w:tc>
          <w:tcPr>
            <w:tcW w:w="1740" w:type="dxa"/>
          </w:tcPr>
          <w:p w14:paraId="527962B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15CD9C9E" w14:textId="77777777" w:rsidR="00BF18CF" w:rsidRDefault="00BF18CF">
            <w:pPr>
              <w:pBdr>
                <w:top w:val="nil"/>
                <w:left w:val="nil"/>
                <w:bottom w:val="nil"/>
                <w:right w:val="nil"/>
                <w:between w:val="nil"/>
              </w:pBdr>
              <w:spacing w:before="36" w:after="36"/>
              <w:rPr>
                <w:color w:val="000000"/>
              </w:rPr>
            </w:pPr>
          </w:p>
        </w:tc>
      </w:tr>
      <w:tr w:rsidR="00BF18CF" w14:paraId="4EFA95EE" w14:textId="77777777" w:rsidTr="00BF18CF">
        <w:tc>
          <w:tcPr>
            <w:tcW w:w="1740" w:type="dxa"/>
          </w:tcPr>
          <w:p w14:paraId="2DB0AE7F" w14:textId="6B469BD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6E22FAC0" w14:textId="77777777" w:rsidR="00BF18CF" w:rsidRDefault="00BF18CF">
            <w:pPr>
              <w:pBdr>
                <w:top w:val="nil"/>
                <w:left w:val="nil"/>
                <w:bottom w:val="nil"/>
                <w:right w:val="nil"/>
                <w:between w:val="nil"/>
              </w:pBdr>
              <w:spacing w:before="36" w:after="36"/>
              <w:rPr>
                <w:color w:val="000000"/>
              </w:rPr>
            </w:pPr>
          </w:p>
        </w:tc>
      </w:tr>
      <w:tr w:rsidR="00BF18CF" w14:paraId="7CD85E0A" w14:textId="77777777" w:rsidTr="00BF18CF">
        <w:tc>
          <w:tcPr>
            <w:tcW w:w="1740" w:type="dxa"/>
          </w:tcPr>
          <w:p w14:paraId="7E56A0C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5C63D467" w14:textId="77777777" w:rsidR="00BF18CF" w:rsidRDefault="00BF18CF">
            <w:pPr>
              <w:pBdr>
                <w:top w:val="nil"/>
                <w:left w:val="nil"/>
                <w:bottom w:val="nil"/>
                <w:right w:val="nil"/>
                <w:between w:val="nil"/>
              </w:pBdr>
              <w:spacing w:before="36" w:after="36"/>
              <w:rPr>
                <w:color w:val="000000"/>
              </w:rPr>
            </w:pPr>
          </w:p>
        </w:tc>
      </w:tr>
    </w:tbl>
    <w:p w14:paraId="139C91AF" w14:textId="77777777" w:rsidR="00BF18CF" w:rsidRDefault="00E51347">
      <w:pPr>
        <w:pStyle w:val="Heading3"/>
      </w:pPr>
      <w:bookmarkStart w:id="160" w:name="bookmark=id.1tuee74" w:colFirst="0" w:colLast="0"/>
      <w:bookmarkStart w:id="161" w:name="_Toc144360823"/>
      <w:bookmarkEnd w:id="160"/>
      <w:r>
        <w:t>E31 Document</w:t>
      </w:r>
      <w:bookmarkEnd w:id="161"/>
    </w:p>
    <w:tbl>
      <w:tblPr>
        <w:tblStyle w:val="affffff0"/>
        <w:tblW w:w="1068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0"/>
        <w:gridCol w:w="8946"/>
      </w:tblGrid>
      <w:tr w:rsidR="00BF18CF" w14:paraId="368A362B" w14:textId="77777777" w:rsidTr="00BF18CF">
        <w:tc>
          <w:tcPr>
            <w:tcW w:w="1740" w:type="dxa"/>
          </w:tcPr>
          <w:p w14:paraId="788D9759"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6AF43B0C" w14:textId="77777777" w:rsidR="00BF18CF" w:rsidRDefault="00E51347">
            <w:r>
              <w:rPr>
                <w:rFonts w:ascii="Consolas" w:eastAsia="Consolas" w:hAnsi="Consolas" w:cs="Consolas"/>
                <w:sz w:val="22"/>
                <w:szCs w:val="22"/>
                <w:shd w:val="clear" w:color="auto" w:fill="EAEEF3"/>
              </w:rPr>
              <w:t>E73_Objet_informationnel</w:t>
            </w:r>
          </w:p>
        </w:tc>
      </w:tr>
      <w:tr w:rsidR="00BF18CF" w14:paraId="3DE8C0DB" w14:textId="77777777" w:rsidTr="00BF18CF">
        <w:tc>
          <w:tcPr>
            <w:tcW w:w="1740" w:type="dxa"/>
          </w:tcPr>
          <w:p w14:paraId="6F4CDE5E"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72FBB8AD" w14:textId="77777777" w:rsidR="00BF18CF" w:rsidRDefault="00E51347">
            <w:r>
              <w:rPr>
                <w:rFonts w:ascii="Consolas" w:eastAsia="Consolas" w:hAnsi="Consolas" w:cs="Consolas"/>
                <w:sz w:val="22"/>
                <w:szCs w:val="22"/>
                <w:shd w:val="clear" w:color="auto" w:fill="EAEEF3"/>
              </w:rPr>
              <w:t>E32_Document_de_référence</w:t>
            </w:r>
          </w:p>
        </w:tc>
      </w:tr>
      <w:tr w:rsidR="00BF18CF" w14:paraId="42E29CED" w14:textId="77777777" w:rsidTr="00BF18CF">
        <w:tc>
          <w:tcPr>
            <w:tcW w:w="1740" w:type="dxa"/>
          </w:tcPr>
          <w:p w14:paraId="253B5CB7"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946" w:type="dxa"/>
          </w:tcPr>
          <w:p w14:paraId="71609312" w14:textId="77777777" w:rsidR="00BF18CF" w:rsidRDefault="00E51347">
            <w:r>
              <w:t>Cette classe comprend les entités immatérielles et identifiables qui contiennent des informations à propos de la réalité.</w:t>
            </w:r>
          </w:p>
          <w:p w14:paraId="20F71B64" w14:textId="77777777" w:rsidR="00BF18CF" w:rsidRDefault="00E51347">
            <w:r>
              <w:t xml:space="preserve">Ces informations peuvent être exprimées sous forme de textes, de graphiques, d'images, d'audiogrammes, de vidéogrammes ou sous d’autres formes similaires. Les bases de données documentaires sont considérées comme des instances de </w:t>
            </w:r>
            <w:r>
              <w:rPr>
                <w:rFonts w:ascii="Consolas" w:eastAsia="Consolas" w:hAnsi="Consolas" w:cs="Consolas"/>
                <w:sz w:val="22"/>
                <w:szCs w:val="22"/>
                <w:shd w:val="clear" w:color="auto" w:fill="EAEEF3"/>
              </w:rPr>
              <w:t>E31_Document</w:t>
            </w:r>
            <w:r>
              <w:t xml:space="preserve">. Cette classe ne doit pas être confondue avec le concept de « document » utilisé dans le domaine des technologies de l’information, ce dernier se rapportant plutôt à la classe </w:t>
            </w:r>
            <w:r>
              <w:rPr>
                <w:rFonts w:ascii="Consolas" w:eastAsia="Consolas" w:hAnsi="Consolas" w:cs="Consolas"/>
                <w:sz w:val="22"/>
                <w:szCs w:val="22"/>
                <w:shd w:val="clear" w:color="auto" w:fill="EAEEF3"/>
              </w:rPr>
              <w:t>E73_Objet_informationnel</w:t>
            </w:r>
            <w:r>
              <w:t>.</w:t>
            </w:r>
          </w:p>
        </w:tc>
      </w:tr>
      <w:tr w:rsidR="00BF18CF" w14:paraId="4CC3B22E" w14:textId="77777777" w:rsidTr="00BF18CF">
        <w:tc>
          <w:tcPr>
            <w:tcW w:w="1740" w:type="dxa"/>
          </w:tcPr>
          <w:p w14:paraId="0AAB028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6" w:type="dxa"/>
          </w:tcPr>
          <w:p w14:paraId="5D8C7AA9" w14:textId="77777777" w:rsidR="00BF18CF" w:rsidRDefault="00E51347">
            <w:pPr>
              <w:numPr>
                <w:ilvl w:val="0"/>
                <w:numId w:val="19"/>
              </w:numPr>
            </w:pPr>
            <w:r>
              <w:t>L’</w:t>
            </w:r>
            <w:r>
              <w:rPr>
                <w:i/>
              </w:rPr>
              <w:t>Encyclopaedia Britannica</w:t>
            </w:r>
            <w:r>
              <w:t xml:space="preserve"> (</w:t>
            </w:r>
            <w:r>
              <w:rPr>
                <w:rFonts w:ascii="Consolas" w:eastAsia="Consolas" w:hAnsi="Consolas" w:cs="Consolas"/>
                <w:sz w:val="22"/>
                <w:szCs w:val="22"/>
                <w:shd w:val="clear" w:color="auto" w:fill="EAEEF3"/>
              </w:rPr>
              <w:t>E32_Document_de_référence</w:t>
            </w:r>
            <w:r>
              <w:t>) (Kogan, 1958)</w:t>
            </w:r>
          </w:p>
          <w:p w14:paraId="714A9722" w14:textId="77777777" w:rsidR="00BF18CF" w:rsidRDefault="00E51347">
            <w:pPr>
              <w:numPr>
                <w:ilvl w:val="0"/>
                <w:numId w:val="19"/>
              </w:numPr>
            </w:pPr>
            <w:r>
              <w:t>Le contenu visuel de la photo des dirigeants alliés à la Conférence de Yalta, publiée par UPI en 1945 (</w:t>
            </w:r>
            <w:r>
              <w:rPr>
                <w:rFonts w:ascii="Consolas" w:eastAsia="Consolas" w:hAnsi="Consolas" w:cs="Consolas"/>
                <w:sz w:val="22"/>
                <w:szCs w:val="22"/>
                <w:shd w:val="clear" w:color="auto" w:fill="EAEEF3"/>
              </w:rPr>
              <w:t>E36_Entité_visuelle</w:t>
            </w:r>
            <w:r>
              <w:t>)</w:t>
            </w:r>
          </w:p>
          <w:p w14:paraId="5594E936" w14:textId="77777777" w:rsidR="00BF18CF" w:rsidRDefault="00E51347">
            <w:pPr>
              <w:numPr>
                <w:ilvl w:val="0"/>
                <w:numId w:val="19"/>
              </w:numPr>
            </w:pPr>
            <w:r>
              <w:t xml:space="preserve">Le </w:t>
            </w:r>
            <w:r>
              <w:rPr>
                <w:i/>
              </w:rPr>
              <w:t>Livre du Jugement Dernier</w:t>
            </w:r>
          </w:p>
        </w:tc>
      </w:tr>
      <w:tr w:rsidR="00BF18CF" w14:paraId="66457EE8" w14:textId="77777777" w:rsidTr="00BF18CF">
        <w:tc>
          <w:tcPr>
            <w:tcW w:w="1740" w:type="dxa"/>
          </w:tcPr>
          <w:p w14:paraId="0A97685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6" w:type="dxa"/>
          </w:tcPr>
          <w:p w14:paraId="6D8A1B48" w14:textId="77777777" w:rsidR="00BF18CF" w:rsidRDefault="00E51347">
            <w:r>
              <w:t>E31(x) ⇒ E73(x)</w:t>
            </w:r>
          </w:p>
        </w:tc>
      </w:tr>
      <w:tr w:rsidR="00BF18CF" w14:paraId="3C7F569A" w14:textId="77777777" w:rsidTr="00BF18CF">
        <w:tc>
          <w:tcPr>
            <w:tcW w:w="1740" w:type="dxa"/>
          </w:tcPr>
          <w:p w14:paraId="13227DE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2D449E72" w14:textId="77777777" w:rsidR="00BF18CF" w:rsidRDefault="00E51347">
            <w:r>
              <w:rPr>
                <w:rFonts w:ascii="Consolas" w:eastAsia="Consolas" w:hAnsi="Consolas" w:cs="Consolas"/>
                <w:sz w:val="22"/>
                <w:szCs w:val="22"/>
                <w:shd w:val="clear" w:color="auto" w:fill="EAEEF3"/>
              </w:rPr>
              <w:t>P70_documente (est_documenté_dans)</w:t>
            </w:r>
            <w:r>
              <w:t xml:space="preserve"> : </w:t>
            </w:r>
            <w:r>
              <w:rPr>
                <w:rFonts w:ascii="Consolas" w:eastAsia="Consolas" w:hAnsi="Consolas" w:cs="Consolas"/>
                <w:sz w:val="22"/>
                <w:szCs w:val="22"/>
                <w:shd w:val="clear" w:color="auto" w:fill="EAEEF3"/>
              </w:rPr>
              <w:t>E1_Entité_CRM</w:t>
            </w:r>
          </w:p>
        </w:tc>
      </w:tr>
      <w:tr w:rsidR="00BF18CF" w14:paraId="0B355199" w14:textId="77777777" w:rsidTr="00BF18CF">
        <w:tc>
          <w:tcPr>
            <w:tcW w:w="1740" w:type="dxa"/>
          </w:tcPr>
          <w:p w14:paraId="7C2A2DF4" w14:textId="57EA6FD7"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7931EBF0" w14:textId="77777777" w:rsidR="00BF18CF" w:rsidRDefault="00E51347">
            <w:r>
              <w:t>L’acronyme UPI, pour United Press International, ne semble pas avoir d’équivalent en français, et à donc été laissé dans sa version anglaise.</w:t>
            </w:r>
          </w:p>
        </w:tc>
      </w:tr>
      <w:tr w:rsidR="00BF18CF" w:rsidRPr="00103833" w14:paraId="39546878" w14:textId="77777777" w:rsidTr="00BF18CF">
        <w:tc>
          <w:tcPr>
            <w:tcW w:w="1740" w:type="dxa"/>
          </w:tcPr>
          <w:p w14:paraId="1788145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5A819C42" w14:textId="77777777" w:rsidR="00BF18CF" w:rsidRPr="00EE61A5" w:rsidRDefault="00E51347">
            <w:pPr>
              <w:rPr>
                <w:lang w:val="en-CA"/>
              </w:rPr>
            </w:pPr>
            <w:r w:rsidRPr="00EE61A5">
              <w:rPr>
                <w:lang w:val="en-CA"/>
              </w:rPr>
              <w:t xml:space="preserve">Wikipédia. « United Press International ». Dans </w:t>
            </w:r>
            <w:r w:rsidRPr="00EE61A5">
              <w:rPr>
                <w:i/>
                <w:lang w:val="en-CA"/>
              </w:rPr>
              <w:t>Wikipédia</w:t>
            </w:r>
            <w:r w:rsidRPr="00EE61A5">
              <w:rPr>
                <w:lang w:val="en-CA"/>
              </w:rPr>
              <w:t>. San Francisco, US-CA: Wikipédia, 15 mai 2021.</w:t>
            </w:r>
            <w:hyperlink r:id="rId386">
              <w:r w:rsidRPr="00EE61A5">
                <w:rPr>
                  <w:color w:val="4F81BD"/>
                  <w:lang w:val="en-CA"/>
                </w:rPr>
                <w:t xml:space="preserve"> https://fr.wikipedia.org/w/index.php?title=United_Press_International&amp;oldid=182934531</w:t>
              </w:r>
            </w:hyperlink>
            <w:r w:rsidRPr="00EE61A5">
              <w:rPr>
                <w:lang w:val="en-CA"/>
              </w:rPr>
              <w:t>.</w:t>
            </w:r>
          </w:p>
        </w:tc>
      </w:tr>
    </w:tbl>
    <w:p w14:paraId="76388AEC" w14:textId="77777777" w:rsidR="00BF18CF" w:rsidRDefault="00E51347">
      <w:pPr>
        <w:pStyle w:val="Heading3"/>
      </w:pPr>
      <w:bookmarkStart w:id="162" w:name="bookmark=id.4du1wux" w:colFirst="0" w:colLast="0"/>
      <w:bookmarkStart w:id="163" w:name="_Toc144360824"/>
      <w:bookmarkEnd w:id="162"/>
      <w:r>
        <w:t>E32 Document de référence</w:t>
      </w:r>
      <w:bookmarkEnd w:id="163"/>
    </w:p>
    <w:tbl>
      <w:tblPr>
        <w:tblStyle w:val="a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0"/>
        <w:gridCol w:w="8950"/>
      </w:tblGrid>
      <w:tr w:rsidR="00BF18CF" w14:paraId="282584A2" w14:textId="77777777" w:rsidTr="00BF18CF">
        <w:tc>
          <w:tcPr>
            <w:tcW w:w="1740" w:type="dxa"/>
          </w:tcPr>
          <w:p w14:paraId="72367CF0"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50" w:type="dxa"/>
          </w:tcPr>
          <w:p w14:paraId="2F63F11C" w14:textId="77777777" w:rsidR="00BF18CF" w:rsidRDefault="00E51347">
            <w:r>
              <w:rPr>
                <w:rFonts w:ascii="Consolas" w:eastAsia="Consolas" w:hAnsi="Consolas" w:cs="Consolas"/>
                <w:sz w:val="22"/>
                <w:szCs w:val="22"/>
                <w:shd w:val="clear" w:color="auto" w:fill="EAEEF3"/>
              </w:rPr>
              <w:t>E31_Document</w:t>
            </w:r>
          </w:p>
        </w:tc>
      </w:tr>
      <w:tr w:rsidR="00BF18CF" w14:paraId="3ED75982" w14:textId="77777777" w:rsidTr="00BF18CF">
        <w:tc>
          <w:tcPr>
            <w:tcW w:w="1740" w:type="dxa"/>
          </w:tcPr>
          <w:p w14:paraId="425DFCF0"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50" w:type="dxa"/>
          </w:tcPr>
          <w:p w14:paraId="2ABD64F8" w14:textId="77777777" w:rsidR="00BF18CF" w:rsidRDefault="00BF18CF">
            <w:pPr>
              <w:pBdr>
                <w:top w:val="nil"/>
                <w:left w:val="nil"/>
                <w:bottom w:val="nil"/>
                <w:right w:val="nil"/>
                <w:between w:val="nil"/>
              </w:pBdr>
              <w:spacing w:before="36" w:after="36"/>
              <w:rPr>
                <w:color w:val="000000"/>
              </w:rPr>
            </w:pPr>
          </w:p>
        </w:tc>
      </w:tr>
      <w:tr w:rsidR="00BF18CF" w14:paraId="40543F87" w14:textId="77777777" w:rsidTr="00BF18CF">
        <w:tc>
          <w:tcPr>
            <w:tcW w:w="1740" w:type="dxa"/>
          </w:tcPr>
          <w:p w14:paraId="66919AC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50" w:type="dxa"/>
          </w:tcPr>
          <w:p w14:paraId="7AEBBA3A" w14:textId="77777777" w:rsidR="00BF18CF" w:rsidRDefault="00E51347">
            <w:r>
              <w:t>Cette classe comprend les encyclopédies, les thésaurus, les listes d'autorité et autres documents qui définissent des terminologies ou des systèmes conceptuels afin de favoriser un usage uniforme.</w:t>
            </w:r>
          </w:p>
        </w:tc>
      </w:tr>
      <w:tr w:rsidR="00BF18CF" w14:paraId="2F016B02" w14:textId="77777777" w:rsidTr="00BF18CF">
        <w:tc>
          <w:tcPr>
            <w:tcW w:w="1740" w:type="dxa"/>
          </w:tcPr>
          <w:p w14:paraId="7B15ECA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50" w:type="dxa"/>
          </w:tcPr>
          <w:p w14:paraId="13243E2D" w14:textId="77777777" w:rsidR="00BF18CF" w:rsidRDefault="00E51347">
            <w:pPr>
              <w:numPr>
                <w:ilvl w:val="0"/>
                <w:numId w:val="19"/>
              </w:numPr>
            </w:pPr>
            <w:r>
              <w:t>Le dictionnaire Webster (Herbert, 1994)</w:t>
            </w:r>
          </w:p>
          <w:p w14:paraId="7071FBB8" w14:textId="77777777" w:rsidR="00BF18CF" w:rsidRPr="00EE61A5" w:rsidRDefault="00E51347">
            <w:pPr>
              <w:numPr>
                <w:ilvl w:val="0"/>
                <w:numId w:val="19"/>
              </w:numPr>
              <w:rPr>
                <w:lang w:val="en-CA"/>
              </w:rPr>
            </w:pPr>
            <w:r w:rsidRPr="00EE61A5">
              <w:rPr>
                <w:lang w:val="en-CA"/>
              </w:rPr>
              <w:t>L'</w:t>
            </w:r>
            <w:r w:rsidRPr="00EE61A5">
              <w:rPr>
                <w:i/>
                <w:lang w:val="en-CA"/>
              </w:rPr>
              <w:t>Art and Architecture Thesaurus</w:t>
            </w:r>
            <w:r w:rsidRPr="00EE61A5">
              <w:rPr>
                <w:lang w:val="en-CA"/>
              </w:rPr>
              <w:t xml:space="preserve"> du Getty Research Institute (Getty Trust, 1990)</w:t>
            </w:r>
          </w:p>
          <w:p w14:paraId="5FD2A499" w14:textId="77777777" w:rsidR="00BF18CF" w:rsidRDefault="00E51347">
            <w:pPr>
              <w:numPr>
                <w:ilvl w:val="0"/>
                <w:numId w:val="19"/>
              </w:numPr>
            </w:pPr>
            <w:r>
              <w:t>Le modèle conceptuel de référence du CIDOC (Gergatsoulis, M. &amp; al, 2010)</w:t>
            </w:r>
          </w:p>
        </w:tc>
      </w:tr>
      <w:tr w:rsidR="00BF18CF" w14:paraId="68A58EE2" w14:textId="77777777" w:rsidTr="00BF18CF">
        <w:tc>
          <w:tcPr>
            <w:tcW w:w="1740" w:type="dxa"/>
          </w:tcPr>
          <w:p w14:paraId="6472F50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50" w:type="dxa"/>
          </w:tcPr>
          <w:p w14:paraId="292E19EE" w14:textId="77777777" w:rsidR="00BF18CF" w:rsidRDefault="00E51347">
            <w:r>
              <w:t>E32(x) ⇒ E31(x)</w:t>
            </w:r>
          </w:p>
        </w:tc>
      </w:tr>
      <w:tr w:rsidR="00BF18CF" w14:paraId="6D34D5EB" w14:textId="77777777" w:rsidTr="00BF18CF">
        <w:tc>
          <w:tcPr>
            <w:tcW w:w="1740" w:type="dxa"/>
          </w:tcPr>
          <w:p w14:paraId="3267629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50" w:type="dxa"/>
          </w:tcPr>
          <w:p w14:paraId="433F4487" w14:textId="77777777" w:rsidR="00BF18CF" w:rsidRDefault="00E51347">
            <w:r>
              <w:rPr>
                <w:rFonts w:ascii="Consolas" w:eastAsia="Consolas" w:hAnsi="Consolas" w:cs="Consolas"/>
                <w:sz w:val="22"/>
                <w:szCs w:val="22"/>
                <w:shd w:val="clear" w:color="auto" w:fill="EAEEF3"/>
              </w:rPr>
              <w:t>P71_énumère (est_énuméré_par)</w:t>
            </w:r>
            <w:r>
              <w:t xml:space="preserve"> : </w:t>
            </w:r>
            <w:r>
              <w:rPr>
                <w:rFonts w:ascii="Consolas" w:eastAsia="Consolas" w:hAnsi="Consolas" w:cs="Consolas"/>
                <w:sz w:val="22"/>
                <w:szCs w:val="22"/>
                <w:shd w:val="clear" w:color="auto" w:fill="EAEEF3"/>
              </w:rPr>
              <w:t>E1_Entité_CRM</w:t>
            </w:r>
          </w:p>
        </w:tc>
      </w:tr>
      <w:tr w:rsidR="00BF18CF" w14:paraId="1D4A3B4C" w14:textId="77777777" w:rsidTr="00BF18CF">
        <w:tc>
          <w:tcPr>
            <w:tcW w:w="1740" w:type="dxa"/>
          </w:tcPr>
          <w:p w14:paraId="1EFF8146" w14:textId="1768061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50" w:type="dxa"/>
          </w:tcPr>
          <w:p w14:paraId="4B0F194B" w14:textId="77777777" w:rsidR="00BF18CF" w:rsidRDefault="00BF18CF">
            <w:pPr>
              <w:pBdr>
                <w:top w:val="nil"/>
                <w:left w:val="nil"/>
                <w:bottom w:val="nil"/>
                <w:right w:val="nil"/>
                <w:between w:val="nil"/>
              </w:pBdr>
              <w:spacing w:before="36" w:after="36"/>
              <w:rPr>
                <w:color w:val="000000"/>
              </w:rPr>
            </w:pPr>
          </w:p>
        </w:tc>
      </w:tr>
      <w:tr w:rsidR="00BF18CF" w14:paraId="56B6E131" w14:textId="77777777" w:rsidTr="00BF18CF">
        <w:tc>
          <w:tcPr>
            <w:tcW w:w="1740" w:type="dxa"/>
          </w:tcPr>
          <w:p w14:paraId="43D19F69"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8950" w:type="dxa"/>
          </w:tcPr>
          <w:p w14:paraId="5BDD5FF3" w14:textId="77777777" w:rsidR="00BF18CF" w:rsidRDefault="00BF18CF">
            <w:pPr>
              <w:pBdr>
                <w:top w:val="nil"/>
                <w:left w:val="nil"/>
                <w:bottom w:val="nil"/>
                <w:right w:val="nil"/>
                <w:between w:val="nil"/>
              </w:pBdr>
              <w:spacing w:before="36" w:after="36"/>
              <w:rPr>
                <w:color w:val="000000"/>
              </w:rPr>
            </w:pPr>
          </w:p>
        </w:tc>
      </w:tr>
    </w:tbl>
    <w:p w14:paraId="40E9EE91" w14:textId="77777777" w:rsidR="00BF18CF" w:rsidRDefault="00E51347">
      <w:pPr>
        <w:pStyle w:val="Heading3"/>
      </w:pPr>
      <w:bookmarkStart w:id="164" w:name="bookmark=id.2szc72q" w:colFirst="0" w:colLast="0"/>
      <w:bookmarkStart w:id="165" w:name="_Toc144360825"/>
      <w:bookmarkEnd w:id="164"/>
      <w:r>
        <w:t>E33 Objet linguistique</w:t>
      </w:r>
      <w:bookmarkEnd w:id="165"/>
    </w:p>
    <w:tbl>
      <w:tblPr>
        <w:tblStyle w:val="a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70"/>
        <w:gridCol w:w="8920"/>
      </w:tblGrid>
      <w:tr w:rsidR="00BF18CF" w14:paraId="3B0EB49A" w14:textId="77777777" w:rsidTr="00BF18CF">
        <w:tc>
          <w:tcPr>
            <w:tcW w:w="1770" w:type="dxa"/>
          </w:tcPr>
          <w:p w14:paraId="6971FB61"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20" w:type="dxa"/>
          </w:tcPr>
          <w:p w14:paraId="54C595BF" w14:textId="77777777" w:rsidR="00BF18CF" w:rsidRDefault="00E51347">
            <w:r>
              <w:rPr>
                <w:rFonts w:ascii="Consolas" w:eastAsia="Consolas" w:hAnsi="Consolas" w:cs="Consolas"/>
                <w:sz w:val="22"/>
                <w:szCs w:val="22"/>
                <w:shd w:val="clear" w:color="auto" w:fill="EAEEF3"/>
              </w:rPr>
              <w:t>E73_Objet_informationnel</w:t>
            </w:r>
          </w:p>
        </w:tc>
      </w:tr>
      <w:tr w:rsidR="00BF18CF" w14:paraId="28B5AFF0" w14:textId="77777777" w:rsidTr="00BF18CF">
        <w:tc>
          <w:tcPr>
            <w:tcW w:w="1770" w:type="dxa"/>
          </w:tcPr>
          <w:p w14:paraId="3E334738"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20" w:type="dxa"/>
          </w:tcPr>
          <w:p w14:paraId="50400FED" w14:textId="77777777" w:rsidR="00BF18CF" w:rsidRDefault="00E51347">
            <w:r>
              <w:rPr>
                <w:rFonts w:ascii="Consolas" w:eastAsia="Consolas" w:hAnsi="Consolas" w:cs="Consolas"/>
                <w:sz w:val="22"/>
                <w:szCs w:val="22"/>
                <w:shd w:val="clear" w:color="auto" w:fill="EAEEF3"/>
              </w:rPr>
              <w:t>E34_Inscription</w:t>
            </w:r>
          </w:p>
          <w:p w14:paraId="44AFD61B" w14:textId="77777777" w:rsidR="00BF18CF" w:rsidRDefault="00E51347">
            <w:r>
              <w:rPr>
                <w:rFonts w:ascii="Consolas" w:eastAsia="Consolas" w:hAnsi="Consolas" w:cs="Consolas"/>
                <w:sz w:val="22"/>
                <w:szCs w:val="22"/>
                <w:shd w:val="clear" w:color="auto" w:fill="EAEEF3"/>
              </w:rPr>
              <w:t>E35_Titre</w:t>
            </w:r>
          </w:p>
        </w:tc>
      </w:tr>
      <w:tr w:rsidR="00BF18CF" w14:paraId="3D619B6A" w14:textId="77777777" w:rsidTr="00BF18CF">
        <w:tc>
          <w:tcPr>
            <w:tcW w:w="1770" w:type="dxa"/>
          </w:tcPr>
          <w:p w14:paraId="5D2B53C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20" w:type="dxa"/>
          </w:tcPr>
          <w:p w14:paraId="62396E47" w14:textId="77777777" w:rsidR="00BF18CF" w:rsidRDefault="00E51347">
            <w:r>
              <w:t>Cette classe comprend les expressions identifiables en une ou plusieurs langues naturelles.</w:t>
            </w:r>
          </w:p>
          <w:p w14:paraId="50487F18" w14:textId="77777777" w:rsidR="00BF18CF" w:rsidRDefault="00E51347">
            <w:r>
              <w:t xml:space="preserve">Les instances de </w:t>
            </w:r>
            <w:r>
              <w:rPr>
                <w:rFonts w:ascii="Consolas" w:eastAsia="Consolas" w:hAnsi="Consolas" w:cs="Consolas"/>
                <w:sz w:val="22"/>
                <w:szCs w:val="22"/>
                <w:shd w:val="clear" w:color="auto" w:fill="EAEEF3"/>
              </w:rPr>
              <w:t>E33_Objet_linguistique</w:t>
            </w:r>
            <w:r>
              <w:t xml:space="preserve"> peuvent prendre plusieurs formes d’expression comme des textes écrits ou des discours enregistrés ou en langue des signes. Toutefois, le CIDOC CRM traite les instances de </w:t>
            </w:r>
            <w:r>
              <w:rPr>
                <w:rFonts w:ascii="Consolas" w:eastAsia="Consolas" w:hAnsi="Consolas" w:cs="Consolas"/>
                <w:sz w:val="22"/>
                <w:szCs w:val="22"/>
                <w:shd w:val="clear" w:color="auto" w:fill="EAEEF3"/>
              </w:rPr>
              <w:t>E33_Objet_linguistique</w:t>
            </w:r>
            <w:r>
              <w:t xml:space="preserve"> indépendamment du médium ou de la méthode qui permet leur expression.</w:t>
            </w:r>
          </w:p>
          <w:p w14:paraId="0840ABBE" w14:textId="77777777" w:rsidR="00BF18CF" w:rsidRDefault="00E51347">
            <w:r>
              <w:t xml:space="preserve">Des expressions en langage formel (p. ex. du code informatique ou des formules mathématiques) ne sont pas considérées par le CIDOC CRM comme des instances de </w:t>
            </w:r>
            <w:r>
              <w:rPr>
                <w:rFonts w:ascii="Consolas" w:eastAsia="Consolas" w:hAnsi="Consolas" w:cs="Consolas"/>
                <w:sz w:val="22"/>
                <w:szCs w:val="22"/>
                <w:shd w:val="clear" w:color="auto" w:fill="EAEEF3"/>
              </w:rPr>
              <w:t>E33_Objet_linguistique</w:t>
            </w:r>
            <w:r>
              <w:t xml:space="preserve">. De telles expressions devraient être modélisées comme des instances de </w:t>
            </w:r>
            <w:r>
              <w:rPr>
                <w:rFonts w:ascii="Consolas" w:eastAsia="Consolas" w:hAnsi="Consolas" w:cs="Consolas"/>
                <w:sz w:val="22"/>
                <w:szCs w:val="22"/>
                <w:shd w:val="clear" w:color="auto" w:fill="EAEEF3"/>
              </w:rPr>
              <w:t>E73_Objet_informationnel</w:t>
            </w:r>
            <w:r>
              <w:t>.</w:t>
            </w:r>
          </w:p>
          <w:p w14:paraId="34093A57" w14:textId="77777777" w:rsidR="00BF18CF" w:rsidRDefault="00E51347">
            <w:r>
              <w:t xml:space="preserve">De manière générale, une instance de </w:t>
            </w:r>
            <w:r>
              <w:rPr>
                <w:rFonts w:ascii="Consolas" w:eastAsia="Consolas" w:hAnsi="Consolas" w:cs="Consolas"/>
                <w:sz w:val="22"/>
                <w:szCs w:val="22"/>
                <w:shd w:val="clear" w:color="auto" w:fill="EAEEF3"/>
              </w:rPr>
              <w:t>E33_Objet_linguistique</w:t>
            </w:r>
            <w:r>
              <w:t xml:space="preserve"> peut contenir de l’information non-linguistique, laquelle possède souvent une valeur artistique ou esthétique. Ce n’est que lorsque le contenu d’une instance de </w:t>
            </w:r>
            <w:r>
              <w:rPr>
                <w:rFonts w:ascii="Consolas" w:eastAsia="Consolas" w:hAnsi="Consolas" w:cs="Consolas"/>
                <w:sz w:val="22"/>
                <w:szCs w:val="22"/>
                <w:shd w:val="clear" w:color="auto" w:fill="EAEEF3"/>
              </w:rPr>
              <w:t>E33_Objet_linguistique</w:t>
            </w:r>
            <w:r>
              <w:t xml:space="preserve"> peut entièrement être exprimé par une série de symboles codés de manière binaire que ces contenus peuvent être documentés dans une base de connaissances par la propriété </w:t>
            </w:r>
            <w:r>
              <w:rPr>
                <w:rFonts w:ascii="Consolas" w:eastAsia="Consolas" w:hAnsi="Consolas" w:cs="Consolas"/>
                <w:sz w:val="22"/>
                <w:szCs w:val="22"/>
                <w:shd w:val="clear" w:color="auto" w:fill="EAEEF3"/>
              </w:rPr>
              <w:t>P190_a_pour_contenu_symbolique</w:t>
            </w:r>
            <w:r>
              <w:t xml:space="preserve"> : </w:t>
            </w:r>
            <w:r>
              <w:rPr>
                <w:rFonts w:ascii="Consolas" w:eastAsia="Consolas" w:hAnsi="Consolas" w:cs="Consolas"/>
                <w:sz w:val="22"/>
                <w:szCs w:val="22"/>
                <w:shd w:val="clear" w:color="auto" w:fill="EAEEF3"/>
              </w:rPr>
              <w:t>E62_Chaîne_de_caractères</w:t>
            </w:r>
            <w:r>
              <w:t>. Sinon, ces contenus devraient être considérés comme une ressource numérique identifiable qui n’est disponible qu'indépendamment de la base de connaissances.</w:t>
            </w:r>
          </w:p>
          <w:p w14:paraId="610FFCC9" w14:textId="77777777" w:rsidR="00BF18CF" w:rsidRDefault="00E51347">
            <w:r>
              <w:t xml:space="preserve">Dans d’autres cas, comme les pages d’un manuscrit enluminé ou des enregistrements de paroles dans un langage ayant aussi un système écrit, la part linguistique de l’instance de </w:t>
            </w:r>
            <w:r>
              <w:rPr>
                <w:rFonts w:ascii="Consolas" w:eastAsia="Consolas" w:hAnsi="Consolas" w:cs="Consolas"/>
                <w:sz w:val="22"/>
                <w:szCs w:val="22"/>
                <w:shd w:val="clear" w:color="auto" w:fill="EAEEF3"/>
              </w:rPr>
              <w:t>E33_Objet_linguistique</w:t>
            </w:r>
            <w:r>
              <w:t xml:space="preserve"> peut être documentée dans une base de connaissances avec une note </w:t>
            </w:r>
            <w:r>
              <w:rPr>
                <w:rFonts w:ascii="Consolas" w:eastAsia="Consolas" w:hAnsi="Consolas" w:cs="Consolas"/>
                <w:sz w:val="22"/>
                <w:szCs w:val="22"/>
                <w:shd w:val="clear" w:color="auto" w:fill="EAEEF3"/>
              </w:rPr>
              <w:t>P3_a_pour_note</w:t>
            </w:r>
            <w:r>
              <w:t xml:space="preserve"> : </w:t>
            </w:r>
            <w:r>
              <w:rPr>
                <w:rFonts w:ascii="Consolas" w:eastAsia="Consolas" w:hAnsi="Consolas" w:cs="Consolas"/>
                <w:sz w:val="22"/>
                <w:szCs w:val="22"/>
                <w:shd w:val="clear" w:color="auto" w:fill="EAEEF3"/>
              </w:rPr>
              <w:t>E62_Chaîne_de_caractères</w:t>
            </w:r>
            <w:r>
              <w:t xml:space="preserve">. Sinon, ces contenus peuvent être décrits en utilisant la propriété </w:t>
            </w:r>
            <w:r>
              <w:rPr>
                <w:rFonts w:ascii="Consolas" w:eastAsia="Consolas" w:hAnsi="Consolas" w:cs="Consolas"/>
                <w:sz w:val="22"/>
                <w:szCs w:val="22"/>
                <w:shd w:val="clear" w:color="auto" w:fill="EAEEF3"/>
              </w:rPr>
              <w:t>P165_inclut (est_inclus_dans)</w:t>
            </w:r>
            <w:r>
              <w:t xml:space="preserve"> : </w:t>
            </w:r>
            <w:r>
              <w:rPr>
                <w:rFonts w:ascii="Consolas" w:eastAsia="Consolas" w:hAnsi="Consolas" w:cs="Consolas"/>
                <w:sz w:val="22"/>
                <w:szCs w:val="22"/>
                <w:shd w:val="clear" w:color="auto" w:fill="EAEEF3"/>
              </w:rPr>
              <w:t>E73_Objet_informationnel</w:t>
            </w:r>
            <w:r>
              <w:t>, lequel représente un objet différent doté de sa propre identité.</w:t>
            </w:r>
          </w:p>
        </w:tc>
      </w:tr>
      <w:tr w:rsidR="00BF18CF" w14:paraId="6661292D" w14:textId="77777777" w:rsidTr="00BF18CF">
        <w:tc>
          <w:tcPr>
            <w:tcW w:w="1770" w:type="dxa"/>
          </w:tcPr>
          <w:p w14:paraId="6493F6A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20" w:type="dxa"/>
          </w:tcPr>
          <w:p w14:paraId="1B6ACAB3" w14:textId="77777777" w:rsidR="00BF18CF" w:rsidRDefault="00E51347">
            <w:pPr>
              <w:numPr>
                <w:ilvl w:val="0"/>
                <w:numId w:val="19"/>
              </w:numPr>
            </w:pPr>
            <w:r>
              <w:t xml:space="preserve">Le texte du manuscrit </w:t>
            </w:r>
            <w:r>
              <w:rPr>
                <w:i/>
              </w:rPr>
              <w:t>Ellesmere</w:t>
            </w:r>
            <w:r>
              <w:t xml:space="preserve"> de Chaucer (Hilmo, 2004)</w:t>
            </w:r>
          </w:p>
          <w:p w14:paraId="6AEF00ED" w14:textId="77777777" w:rsidR="00BF18CF" w:rsidRDefault="00E51347">
            <w:pPr>
              <w:numPr>
                <w:ilvl w:val="0"/>
                <w:numId w:val="19"/>
              </w:numPr>
            </w:pPr>
            <w:r>
              <w:t xml:space="preserve">Les paroles de la chanson </w:t>
            </w:r>
            <w:r>
              <w:rPr>
                <w:i/>
              </w:rPr>
              <w:t>Blue Suede Shoes</w:t>
            </w:r>
            <w:r>
              <w:t xml:space="preserve"> (Cooper, 2008)</w:t>
            </w:r>
          </w:p>
          <w:p w14:paraId="6E03845F" w14:textId="77777777" w:rsidR="00BF18CF" w:rsidRDefault="00E51347">
            <w:pPr>
              <w:numPr>
                <w:ilvl w:val="0"/>
                <w:numId w:val="19"/>
              </w:numPr>
            </w:pPr>
            <w:r>
              <w:t xml:space="preserve">Le texte du </w:t>
            </w:r>
            <w:r>
              <w:rPr>
                <w:i/>
              </w:rPr>
              <w:t>Jabberwocky</w:t>
            </w:r>
            <w:r>
              <w:t xml:space="preserve"> de Lewis Carroll (Carroll, 1981)</w:t>
            </w:r>
          </w:p>
          <w:p w14:paraId="17FA2F85" w14:textId="77777777" w:rsidR="00BF18CF" w:rsidRDefault="00E51347">
            <w:pPr>
              <w:numPr>
                <w:ilvl w:val="0"/>
                <w:numId w:val="19"/>
              </w:numPr>
            </w:pPr>
            <w:r>
              <w:t xml:space="preserve">Le texte du « Doktoro Jekyll kaj Sinjoro Hyde » (une traduction en esperanto de </w:t>
            </w:r>
            <w:r>
              <w:rPr>
                <w:i/>
              </w:rPr>
              <w:t>L'Étrange Cas du docteur Jekyll et de M. Hyde</w:t>
            </w:r>
            <w:r>
              <w:t xml:space="preserve"> (</w:t>
            </w:r>
            <w:r>
              <w:rPr>
                <w:i/>
              </w:rPr>
              <w:t>Dr Jekyll and Mr Hyde</w:t>
            </w:r>
            <w:r>
              <w:t>)) (Stevenson, 1909)</w:t>
            </w:r>
          </w:p>
          <w:p w14:paraId="73FDB04B" w14:textId="77777777" w:rsidR="00BF18CF" w:rsidRDefault="00E51347">
            <w:pPr>
              <w:numPr>
                <w:ilvl w:val="0"/>
                <w:numId w:val="19"/>
              </w:numPr>
            </w:pPr>
            <w:r>
              <w:t>La conversation, en dialecte local, enregistrée en 1958 dans le comté de Telemark en Norvège et enregistrée sur bande magnétique or.7-</w:t>
            </w:r>
            <w:proofErr w:type="gramStart"/>
            <w:r>
              <w:t>89.s</w:t>
            </w:r>
            <w:proofErr w:type="gramEnd"/>
            <w:r>
              <w:t xml:space="preserve">1 </w:t>
            </w:r>
            <w:r>
              <w:lastRenderedPageBreak/>
              <w:t>(00.15:46-00:34), Collection des langues de la bibliothèque universitaire de Bergen, Norvège (en date de 2020)</w:t>
            </w:r>
          </w:p>
        </w:tc>
      </w:tr>
      <w:tr w:rsidR="00BF18CF" w14:paraId="3BECEF12" w14:textId="77777777" w:rsidTr="00BF18CF">
        <w:tc>
          <w:tcPr>
            <w:tcW w:w="1770" w:type="dxa"/>
          </w:tcPr>
          <w:p w14:paraId="38758DF9"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20" w:type="dxa"/>
          </w:tcPr>
          <w:p w14:paraId="10D44F25" w14:textId="77777777" w:rsidR="00BF18CF" w:rsidRDefault="00E51347">
            <w:r>
              <w:t>E33(x) ⇒ E73(x)</w:t>
            </w:r>
          </w:p>
        </w:tc>
      </w:tr>
      <w:tr w:rsidR="00BF18CF" w14:paraId="211B6489" w14:textId="77777777" w:rsidTr="00BF18CF">
        <w:tc>
          <w:tcPr>
            <w:tcW w:w="1770" w:type="dxa"/>
          </w:tcPr>
          <w:p w14:paraId="0B9C5AF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20" w:type="dxa"/>
          </w:tcPr>
          <w:p w14:paraId="085A458B" w14:textId="77777777" w:rsidR="00BF18CF" w:rsidRDefault="00E51347">
            <w:r>
              <w:rPr>
                <w:rFonts w:ascii="Consolas" w:eastAsia="Consolas" w:hAnsi="Consolas" w:cs="Consolas"/>
                <w:sz w:val="22"/>
                <w:szCs w:val="22"/>
                <w:shd w:val="clear" w:color="auto" w:fill="EAEEF3"/>
              </w:rPr>
              <w:t>P72_a_pour_langue (est_la_langue_de)</w:t>
            </w:r>
            <w:r>
              <w:t xml:space="preserve"> : </w:t>
            </w:r>
            <w:r>
              <w:rPr>
                <w:rFonts w:ascii="Consolas" w:eastAsia="Consolas" w:hAnsi="Consolas" w:cs="Consolas"/>
                <w:sz w:val="22"/>
                <w:szCs w:val="22"/>
                <w:shd w:val="clear" w:color="auto" w:fill="EAEEF3"/>
              </w:rPr>
              <w:t>E56_Langue</w:t>
            </w:r>
          </w:p>
          <w:p w14:paraId="0A2AA57D" w14:textId="77777777" w:rsidR="00BF18CF" w:rsidRDefault="00E51347">
            <w:r>
              <w:rPr>
                <w:rFonts w:ascii="Consolas" w:eastAsia="Consolas" w:hAnsi="Consolas" w:cs="Consolas"/>
                <w:sz w:val="22"/>
                <w:szCs w:val="22"/>
                <w:shd w:val="clear" w:color="auto" w:fill="EAEEF3"/>
              </w:rPr>
              <w:t>P73_a_pour_traduction (est_traduction_de)</w:t>
            </w:r>
            <w:r>
              <w:t xml:space="preserve"> : </w:t>
            </w:r>
            <w:r>
              <w:rPr>
                <w:rFonts w:ascii="Consolas" w:eastAsia="Consolas" w:hAnsi="Consolas" w:cs="Consolas"/>
                <w:sz w:val="22"/>
                <w:szCs w:val="22"/>
                <w:shd w:val="clear" w:color="auto" w:fill="EAEEF3"/>
              </w:rPr>
              <w:t>E33_Objet_linguistique</w:t>
            </w:r>
          </w:p>
        </w:tc>
      </w:tr>
      <w:tr w:rsidR="00BF18CF" w14:paraId="5733DF9B" w14:textId="77777777" w:rsidTr="00BF18CF">
        <w:tc>
          <w:tcPr>
            <w:tcW w:w="1770" w:type="dxa"/>
          </w:tcPr>
          <w:p w14:paraId="32EC911F" w14:textId="08A3B9C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20" w:type="dxa"/>
          </w:tcPr>
          <w:p w14:paraId="38881254" w14:textId="77777777" w:rsidR="00BF18CF" w:rsidRDefault="00BF18CF">
            <w:pPr>
              <w:pBdr>
                <w:top w:val="nil"/>
                <w:left w:val="nil"/>
                <w:bottom w:val="nil"/>
                <w:right w:val="nil"/>
                <w:between w:val="nil"/>
              </w:pBdr>
              <w:spacing w:before="36" w:after="36"/>
              <w:rPr>
                <w:color w:val="000000"/>
              </w:rPr>
            </w:pPr>
          </w:p>
        </w:tc>
      </w:tr>
      <w:tr w:rsidR="00BF18CF" w14:paraId="295D5EFE" w14:textId="77777777" w:rsidTr="00BF18CF">
        <w:tc>
          <w:tcPr>
            <w:tcW w:w="1770" w:type="dxa"/>
          </w:tcPr>
          <w:p w14:paraId="7C1614E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20" w:type="dxa"/>
          </w:tcPr>
          <w:p w14:paraId="762CA25A" w14:textId="77777777" w:rsidR="00BF18CF" w:rsidRDefault="00BF18CF">
            <w:pPr>
              <w:pBdr>
                <w:top w:val="nil"/>
                <w:left w:val="nil"/>
                <w:bottom w:val="nil"/>
                <w:right w:val="nil"/>
                <w:between w:val="nil"/>
              </w:pBdr>
              <w:spacing w:before="36" w:after="36"/>
              <w:rPr>
                <w:color w:val="000000"/>
              </w:rPr>
            </w:pPr>
          </w:p>
        </w:tc>
      </w:tr>
    </w:tbl>
    <w:p w14:paraId="7E11F955" w14:textId="77777777" w:rsidR="00BF18CF" w:rsidRDefault="00E51347">
      <w:pPr>
        <w:pStyle w:val="Heading3"/>
      </w:pPr>
      <w:bookmarkStart w:id="166" w:name="bookmark=id.184mhaj" w:colFirst="0" w:colLast="0"/>
      <w:bookmarkStart w:id="167" w:name="_Toc144360826"/>
      <w:bookmarkEnd w:id="166"/>
      <w:r>
        <w:t>E34 Inscription</w:t>
      </w:r>
      <w:bookmarkEnd w:id="167"/>
    </w:p>
    <w:tbl>
      <w:tblPr>
        <w:tblStyle w:val="a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4"/>
        <w:gridCol w:w="8946"/>
      </w:tblGrid>
      <w:tr w:rsidR="00BF18CF" w14:paraId="193C34FC" w14:textId="77777777" w:rsidTr="00BF18CF">
        <w:tc>
          <w:tcPr>
            <w:tcW w:w="1744" w:type="dxa"/>
          </w:tcPr>
          <w:p w14:paraId="12972186"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4AEDDE08" w14:textId="77777777" w:rsidR="00BF18CF" w:rsidRDefault="00E51347">
            <w:r>
              <w:rPr>
                <w:rFonts w:ascii="Consolas" w:eastAsia="Consolas" w:hAnsi="Consolas" w:cs="Consolas"/>
                <w:sz w:val="22"/>
                <w:szCs w:val="22"/>
                <w:shd w:val="clear" w:color="auto" w:fill="EAEEF3"/>
              </w:rPr>
              <w:t>E33_Objet_linguistique</w:t>
            </w:r>
          </w:p>
          <w:p w14:paraId="226BB645" w14:textId="77777777" w:rsidR="00BF18CF" w:rsidRDefault="00E51347">
            <w:r>
              <w:rPr>
                <w:rFonts w:ascii="Consolas" w:eastAsia="Consolas" w:hAnsi="Consolas" w:cs="Consolas"/>
                <w:sz w:val="22"/>
                <w:szCs w:val="22"/>
                <w:shd w:val="clear" w:color="auto" w:fill="EAEEF3"/>
              </w:rPr>
              <w:t>E37_Marque</w:t>
            </w:r>
          </w:p>
        </w:tc>
      </w:tr>
      <w:tr w:rsidR="00BF18CF" w14:paraId="66139FF9" w14:textId="77777777" w:rsidTr="00BF18CF">
        <w:tc>
          <w:tcPr>
            <w:tcW w:w="1744" w:type="dxa"/>
          </w:tcPr>
          <w:p w14:paraId="35C958B3"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085CAADD" w14:textId="77777777" w:rsidR="00BF18CF" w:rsidRDefault="00BF18CF">
            <w:pPr>
              <w:pBdr>
                <w:top w:val="nil"/>
                <w:left w:val="nil"/>
                <w:bottom w:val="nil"/>
                <w:right w:val="nil"/>
                <w:between w:val="nil"/>
              </w:pBdr>
              <w:spacing w:before="36" w:after="36"/>
              <w:rPr>
                <w:color w:val="000000"/>
              </w:rPr>
            </w:pPr>
          </w:p>
        </w:tc>
      </w:tr>
      <w:tr w:rsidR="00BF18CF" w14:paraId="48A58E48" w14:textId="77777777" w:rsidTr="00BF18CF">
        <w:tc>
          <w:tcPr>
            <w:tcW w:w="1744" w:type="dxa"/>
          </w:tcPr>
          <w:p w14:paraId="19ECFC6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339CF429" w14:textId="77777777" w:rsidR="00BF18CF" w:rsidRDefault="00E51347">
            <w:r>
              <w:t xml:space="preserve">Cette classe comprend des textes reconnaissables rattachés à des instances de </w:t>
            </w:r>
            <w:r>
              <w:rPr>
                <w:rFonts w:ascii="Consolas" w:eastAsia="Consolas" w:hAnsi="Consolas" w:cs="Consolas"/>
                <w:sz w:val="22"/>
                <w:szCs w:val="22"/>
                <w:shd w:val="clear" w:color="auto" w:fill="EAEEF3"/>
              </w:rPr>
              <w:t>E24_Chose_matérielle_élaborée_par_l’humain</w:t>
            </w:r>
            <w:r>
              <w:t>.</w:t>
            </w:r>
          </w:p>
          <w:p w14:paraId="274F8776" w14:textId="77777777" w:rsidR="00BF18CF" w:rsidRDefault="00E51347">
            <w:r>
              <w:t xml:space="preserve">La transcription du texte peut être documentée dans une note par </w:t>
            </w:r>
            <w:r>
              <w:rPr>
                <w:rFonts w:ascii="Consolas" w:eastAsia="Consolas" w:hAnsi="Consolas" w:cs="Consolas"/>
                <w:sz w:val="22"/>
                <w:szCs w:val="22"/>
                <w:shd w:val="clear" w:color="auto" w:fill="EAEEF3"/>
              </w:rPr>
              <w:t>P3_a_pour_note</w:t>
            </w:r>
            <w:r>
              <w:t xml:space="preserve"> : </w:t>
            </w:r>
            <w:r>
              <w:rPr>
                <w:rFonts w:ascii="Consolas" w:eastAsia="Consolas" w:hAnsi="Consolas" w:cs="Consolas"/>
                <w:sz w:val="22"/>
                <w:szCs w:val="22"/>
                <w:shd w:val="clear" w:color="auto" w:fill="EAEEF3"/>
              </w:rPr>
              <w:t>E62_Chaîne_de_caractères</w:t>
            </w:r>
            <w:r>
              <w:t xml:space="preserve">. L’alphabet utilisé peut être documenté par </w:t>
            </w:r>
            <w:r>
              <w:rPr>
                <w:rFonts w:ascii="Consolas" w:eastAsia="Consolas" w:hAnsi="Consolas" w:cs="Consolas"/>
                <w:sz w:val="22"/>
                <w:szCs w:val="22"/>
                <w:shd w:val="clear" w:color="auto" w:fill="EAEEF3"/>
              </w:rPr>
              <w:t>P2_a_pour_type (est_le_type_de)</w:t>
            </w:r>
            <w:r>
              <w:t xml:space="preserve"> : </w:t>
            </w:r>
            <w:r>
              <w:rPr>
                <w:rFonts w:ascii="Consolas" w:eastAsia="Consolas" w:hAnsi="Consolas" w:cs="Consolas"/>
                <w:sz w:val="22"/>
                <w:szCs w:val="22"/>
                <w:shd w:val="clear" w:color="auto" w:fill="EAEEF3"/>
              </w:rPr>
              <w:t>E55_Type</w:t>
            </w:r>
            <w:r>
              <w:t xml:space="preserve">. Cette classe n’a pas pour objectif de décrire les caractéristiques idiosyncratiques de l’incarnation physique d’une inscription, mais le prototype sous-jacent. L’incarnation physique est modélisée dans le CIDOC CRM par les instances de </w:t>
            </w:r>
            <w:r>
              <w:rPr>
                <w:rFonts w:ascii="Consolas" w:eastAsia="Consolas" w:hAnsi="Consolas" w:cs="Consolas"/>
                <w:sz w:val="22"/>
                <w:szCs w:val="22"/>
                <w:shd w:val="clear" w:color="auto" w:fill="EAEEF3"/>
              </w:rPr>
              <w:t>E24_Chose_matérielle_élaborée_par_l’humain</w:t>
            </w:r>
            <w:r>
              <w:t>.</w:t>
            </w:r>
          </w:p>
          <w:p w14:paraId="310C870B" w14:textId="77777777" w:rsidR="00BF18CF" w:rsidRDefault="00E51347">
            <w:r>
              <w:t xml:space="preserve">La relation entre un exemplaire physique et le texte qu’il contient est modélisée à l’aide de :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P128_est_le_support_de (a_pour_support)</w:t>
            </w:r>
            <w:r>
              <w:t xml:space="preserve"> : </w:t>
            </w:r>
            <w:r>
              <w:rPr>
                <w:rFonts w:ascii="Consolas" w:eastAsia="Consolas" w:hAnsi="Consolas" w:cs="Consolas"/>
                <w:sz w:val="22"/>
                <w:szCs w:val="22"/>
                <w:shd w:val="clear" w:color="auto" w:fill="EAEEF3"/>
              </w:rPr>
              <w:t>E33_Objet_linguistique</w:t>
            </w:r>
            <w:r>
              <w:t>.</w:t>
            </w:r>
          </w:p>
        </w:tc>
      </w:tr>
      <w:tr w:rsidR="00BF18CF" w14:paraId="6666AAD1" w14:textId="77777777" w:rsidTr="00BF18CF">
        <w:tc>
          <w:tcPr>
            <w:tcW w:w="1744" w:type="dxa"/>
          </w:tcPr>
          <w:p w14:paraId="12503F7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6" w:type="dxa"/>
          </w:tcPr>
          <w:p w14:paraId="2B9F93DF" w14:textId="77777777" w:rsidR="00BF18CF" w:rsidRDefault="00E51347">
            <w:pPr>
              <w:numPr>
                <w:ilvl w:val="0"/>
                <w:numId w:val="19"/>
              </w:numPr>
            </w:pPr>
            <w:r>
              <w:t>« Défense de marcher sur la pelouse » inscrit sur une enseigne piquée dans le quadrilatère de Balliol College</w:t>
            </w:r>
          </w:p>
          <w:p w14:paraId="23F88B1C" w14:textId="77777777" w:rsidR="00BF18CF" w:rsidRDefault="00E51347">
            <w:pPr>
              <w:numPr>
                <w:ilvl w:val="0"/>
                <w:numId w:val="19"/>
              </w:numPr>
            </w:pPr>
            <w:r>
              <w:t>Le texte publié dans le Corpus Inscriptionum Latinarum V 895</w:t>
            </w:r>
          </w:p>
          <w:p w14:paraId="10FD7463" w14:textId="77777777" w:rsidR="00BF18CF" w:rsidRDefault="00E51347">
            <w:pPr>
              <w:numPr>
                <w:ilvl w:val="0"/>
                <w:numId w:val="19"/>
              </w:numPr>
            </w:pPr>
            <w:r>
              <w:t>« Kilroy was here »</w:t>
            </w:r>
          </w:p>
        </w:tc>
      </w:tr>
      <w:tr w:rsidR="00BF18CF" w14:paraId="2092ED0A" w14:textId="77777777" w:rsidTr="00BF18CF">
        <w:tc>
          <w:tcPr>
            <w:tcW w:w="1744" w:type="dxa"/>
          </w:tcPr>
          <w:p w14:paraId="0BB3FE4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6" w:type="dxa"/>
          </w:tcPr>
          <w:p w14:paraId="132DAD6D" w14:textId="77777777" w:rsidR="00BF18CF" w:rsidRDefault="00E51347">
            <w:r>
              <w:t>E34(x) ⇒ E33(x)</w:t>
            </w:r>
          </w:p>
          <w:p w14:paraId="5A62EFB6" w14:textId="77777777" w:rsidR="00BF18CF" w:rsidRDefault="00E51347">
            <w:r>
              <w:t>E34(x) ⇒ E37(x)</w:t>
            </w:r>
          </w:p>
        </w:tc>
      </w:tr>
      <w:tr w:rsidR="00BF18CF" w14:paraId="7E3DA25D" w14:textId="77777777" w:rsidTr="00BF18CF">
        <w:tc>
          <w:tcPr>
            <w:tcW w:w="1744" w:type="dxa"/>
          </w:tcPr>
          <w:p w14:paraId="3F9C5CE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6CA482DF" w14:textId="77777777" w:rsidR="00BF18CF" w:rsidRDefault="00BF18CF">
            <w:pPr>
              <w:pBdr>
                <w:top w:val="nil"/>
                <w:left w:val="nil"/>
                <w:bottom w:val="nil"/>
                <w:right w:val="nil"/>
                <w:between w:val="nil"/>
              </w:pBdr>
              <w:spacing w:before="36" w:after="36"/>
              <w:rPr>
                <w:color w:val="000000"/>
              </w:rPr>
            </w:pPr>
          </w:p>
        </w:tc>
      </w:tr>
      <w:tr w:rsidR="00BF18CF" w14:paraId="27BECFBB" w14:textId="77777777" w:rsidTr="00BF18CF">
        <w:tc>
          <w:tcPr>
            <w:tcW w:w="1744" w:type="dxa"/>
          </w:tcPr>
          <w:p w14:paraId="1D8AC5A5" w14:textId="219D2F8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6FCD0828" w14:textId="77777777" w:rsidR="00BF18CF" w:rsidRDefault="00BF18CF">
            <w:pPr>
              <w:pBdr>
                <w:top w:val="nil"/>
                <w:left w:val="nil"/>
                <w:bottom w:val="nil"/>
                <w:right w:val="nil"/>
                <w:between w:val="nil"/>
              </w:pBdr>
              <w:spacing w:before="36" w:after="36"/>
              <w:rPr>
                <w:color w:val="000000"/>
              </w:rPr>
            </w:pPr>
          </w:p>
        </w:tc>
      </w:tr>
      <w:tr w:rsidR="00BF18CF" w14:paraId="499A6F06" w14:textId="77777777" w:rsidTr="00BF18CF">
        <w:tc>
          <w:tcPr>
            <w:tcW w:w="1744" w:type="dxa"/>
          </w:tcPr>
          <w:p w14:paraId="5E3413A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0EE3860E" w14:textId="77777777" w:rsidR="00BF18CF" w:rsidRDefault="00BF18CF">
            <w:pPr>
              <w:pBdr>
                <w:top w:val="nil"/>
                <w:left w:val="nil"/>
                <w:bottom w:val="nil"/>
                <w:right w:val="nil"/>
                <w:between w:val="nil"/>
              </w:pBdr>
              <w:spacing w:before="36" w:after="36"/>
              <w:rPr>
                <w:color w:val="000000"/>
              </w:rPr>
            </w:pPr>
          </w:p>
        </w:tc>
      </w:tr>
    </w:tbl>
    <w:p w14:paraId="44A20BE7" w14:textId="77777777" w:rsidR="00BF18CF" w:rsidRDefault="00E51347">
      <w:pPr>
        <w:pStyle w:val="Heading3"/>
      </w:pPr>
      <w:bookmarkStart w:id="168" w:name="bookmark=id.3s49zyc" w:colFirst="0" w:colLast="0"/>
      <w:bookmarkStart w:id="169" w:name="_Toc144360827"/>
      <w:bookmarkEnd w:id="168"/>
      <w:r>
        <w:lastRenderedPageBreak/>
        <w:t>E35 Titre</w:t>
      </w:r>
      <w:bookmarkEnd w:id="169"/>
    </w:p>
    <w:tbl>
      <w:tblPr>
        <w:tblStyle w:val="a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5"/>
        <w:gridCol w:w="8905"/>
      </w:tblGrid>
      <w:tr w:rsidR="00BF18CF" w14:paraId="43BCECBA" w14:textId="77777777" w:rsidTr="00BF18CF">
        <w:tc>
          <w:tcPr>
            <w:tcW w:w="1785" w:type="dxa"/>
          </w:tcPr>
          <w:p w14:paraId="17AF64C7"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5" w:type="dxa"/>
          </w:tcPr>
          <w:p w14:paraId="3EB9E130" w14:textId="77777777" w:rsidR="00BF18CF" w:rsidRDefault="00E51347">
            <w:r>
              <w:rPr>
                <w:rFonts w:ascii="Consolas" w:eastAsia="Consolas" w:hAnsi="Consolas" w:cs="Consolas"/>
                <w:sz w:val="22"/>
                <w:szCs w:val="22"/>
                <w:shd w:val="clear" w:color="auto" w:fill="EAEEF3"/>
              </w:rPr>
              <w:t>E33_Objet_linguistique</w:t>
            </w:r>
          </w:p>
          <w:p w14:paraId="7C00BF6F" w14:textId="77777777" w:rsidR="00BF18CF" w:rsidRDefault="00E51347">
            <w:r>
              <w:rPr>
                <w:rFonts w:ascii="Consolas" w:eastAsia="Consolas" w:hAnsi="Consolas" w:cs="Consolas"/>
                <w:sz w:val="22"/>
                <w:szCs w:val="22"/>
                <w:shd w:val="clear" w:color="auto" w:fill="EAEEF3"/>
              </w:rPr>
              <w:t>E41_Appellation</w:t>
            </w:r>
          </w:p>
        </w:tc>
      </w:tr>
      <w:tr w:rsidR="00BF18CF" w14:paraId="73C91C1E" w14:textId="77777777" w:rsidTr="00BF18CF">
        <w:tc>
          <w:tcPr>
            <w:tcW w:w="1785" w:type="dxa"/>
          </w:tcPr>
          <w:p w14:paraId="41D26886"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5" w:type="dxa"/>
          </w:tcPr>
          <w:p w14:paraId="4000A510" w14:textId="77777777" w:rsidR="00BF18CF" w:rsidRDefault="00BF18CF">
            <w:pPr>
              <w:pBdr>
                <w:top w:val="nil"/>
                <w:left w:val="nil"/>
                <w:bottom w:val="nil"/>
                <w:right w:val="nil"/>
                <w:between w:val="nil"/>
              </w:pBdr>
              <w:spacing w:before="36" w:after="36"/>
              <w:rPr>
                <w:color w:val="000000"/>
              </w:rPr>
            </w:pPr>
          </w:p>
        </w:tc>
      </w:tr>
      <w:tr w:rsidR="00BF18CF" w14:paraId="4967073F" w14:textId="77777777" w:rsidTr="00BF18CF">
        <w:tc>
          <w:tcPr>
            <w:tcW w:w="1785" w:type="dxa"/>
          </w:tcPr>
          <w:p w14:paraId="0548ABC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5" w:type="dxa"/>
          </w:tcPr>
          <w:p w14:paraId="4FF2B4F4" w14:textId="77777777" w:rsidR="00BF18CF" w:rsidRDefault="00E51347">
            <w:r>
              <w:t xml:space="preserve">Cette classe comprend les chaînes de caractères textuels qui, dans un contexte culturel, peuvent être clairement identifiées comme des titres en raison de leur forme. En tant que sous-classe de </w:t>
            </w:r>
            <w:r>
              <w:rPr>
                <w:rFonts w:ascii="Consolas" w:eastAsia="Consolas" w:hAnsi="Consolas" w:cs="Consolas"/>
                <w:sz w:val="22"/>
                <w:szCs w:val="22"/>
                <w:shd w:val="clear" w:color="auto" w:fill="EAEEF3"/>
              </w:rPr>
              <w:t>E41_Appellation</w:t>
            </w:r>
            <w:r>
              <w:t xml:space="preserve">, la classe </w:t>
            </w:r>
            <w:r>
              <w:rPr>
                <w:rFonts w:ascii="Consolas" w:eastAsia="Consolas" w:hAnsi="Consolas" w:cs="Consolas"/>
                <w:sz w:val="22"/>
                <w:szCs w:val="22"/>
                <w:shd w:val="clear" w:color="auto" w:fill="EAEEF3"/>
              </w:rPr>
              <w:t>E35_Titre</w:t>
            </w:r>
            <w:r>
              <w:t xml:space="preserve"> peut être utilisée uniquement lorsqu'une telle chaîne est réellement utilisée comme le titre d'une œuvre, comme dans le cas d'un texte, d'une œuvre d'art ou d'une pièce musicale.</w:t>
            </w:r>
          </w:p>
          <w:p w14:paraId="2D14CF4E" w14:textId="77777777" w:rsidR="00BF18CF" w:rsidRDefault="00E51347">
            <w:r>
              <w:t xml:space="preserve">Les titres sont des phrases nominales ou verbales; ils ne doivent pas être confondus avec les noms d'objets génériques, tels que « chaise », « peinture » ou « livre » (ces derniers sont des noms communs qui représentent des instances de </w:t>
            </w:r>
            <w:r>
              <w:rPr>
                <w:rFonts w:ascii="Consolas" w:eastAsia="Consolas" w:hAnsi="Consolas" w:cs="Consolas"/>
                <w:sz w:val="22"/>
                <w:szCs w:val="22"/>
                <w:shd w:val="clear" w:color="auto" w:fill="EAEEF3"/>
              </w:rPr>
              <w:t>E55_Type</w:t>
            </w:r>
            <w:r>
              <w:t>). Les titres peuvent être attribués par la personne ayant créé l'œuvre ou par un groupe social.</w:t>
            </w:r>
          </w:p>
          <w:p w14:paraId="1261B4F0" w14:textId="77777777" w:rsidR="00BF18CF" w:rsidRDefault="00E51347">
            <w:r>
              <w:t>Cette classe comprend également les traductions de titres, qui sont utilisées comme substituts des titres originaux dans différents contextes sociaux.</w:t>
            </w:r>
          </w:p>
        </w:tc>
      </w:tr>
      <w:tr w:rsidR="00BF18CF" w:rsidRPr="00103833" w14:paraId="1019478F" w14:textId="77777777" w:rsidTr="00BF18CF">
        <w:tc>
          <w:tcPr>
            <w:tcW w:w="1785" w:type="dxa"/>
          </w:tcPr>
          <w:p w14:paraId="108DCE3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05" w:type="dxa"/>
          </w:tcPr>
          <w:p w14:paraId="2B2D9F2D" w14:textId="77777777" w:rsidR="00BF18CF" w:rsidRDefault="00E51347">
            <w:pPr>
              <w:numPr>
                <w:ilvl w:val="0"/>
                <w:numId w:val="19"/>
              </w:numPr>
            </w:pPr>
            <w:r>
              <w:rPr>
                <w:i/>
              </w:rPr>
              <w:t>Le marchand de Venise</w:t>
            </w:r>
            <w:r>
              <w:t xml:space="preserve"> (McCullough, 2005)</w:t>
            </w:r>
          </w:p>
          <w:p w14:paraId="104050DA" w14:textId="77777777" w:rsidR="00BF18CF" w:rsidRDefault="00E51347">
            <w:pPr>
              <w:numPr>
                <w:ilvl w:val="0"/>
                <w:numId w:val="19"/>
              </w:numPr>
            </w:pPr>
            <w:r>
              <w:rPr>
                <w:i/>
              </w:rPr>
              <w:t>Monna Lisa</w:t>
            </w:r>
            <w:r>
              <w:t xml:space="preserve"> (Mohen, 2006)</w:t>
            </w:r>
          </w:p>
          <w:p w14:paraId="0E6A63F6" w14:textId="77777777" w:rsidR="00BF18CF" w:rsidRDefault="00E51347">
            <w:pPr>
              <w:numPr>
                <w:ilvl w:val="0"/>
                <w:numId w:val="19"/>
              </w:numPr>
            </w:pPr>
            <w:r>
              <w:rPr>
                <w:i/>
              </w:rPr>
              <w:t>La Pie</w:t>
            </w:r>
            <w:r>
              <w:t xml:space="preserve"> ou </w:t>
            </w:r>
            <w:r>
              <w:rPr>
                <w:i/>
              </w:rPr>
              <w:t>The Magpie</w:t>
            </w:r>
            <w:r>
              <w:t xml:space="preserve"> (Bortolatto, 1981)</w:t>
            </w:r>
          </w:p>
          <w:p w14:paraId="228980A7" w14:textId="77777777" w:rsidR="00BF18CF" w:rsidRPr="00EE61A5" w:rsidRDefault="00E51347">
            <w:pPr>
              <w:numPr>
                <w:ilvl w:val="0"/>
                <w:numId w:val="19"/>
              </w:numPr>
              <w:rPr>
                <w:lang w:val="en-CA"/>
              </w:rPr>
            </w:pPr>
            <w:r w:rsidRPr="00EE61A5">
              <w:rPr>
                <w:i/>
                <w:lang w:val="en-CA"/>
              </w:rPr>
              <w:t>Lucy in the Sky with Diamonds</w:t>
            </w:r>
            <w:r w:rsidRPr="00EE61A5">
              <w:rPr>
                <w:lang w:val="en-CA"/>
              </w:rPr>
              <w:t xml:space="preserve"> (Lennon, 1967)</w:t>
            </w:r>
          </w:p>
        </w:tc>
      </w:tr>
      <w:tr w:rsidR="00BF18CF" w14:paraId="5CE840F4" w14:textId="77777777" w:rsidTr="00BF18CF">
        <w:tc>
          <w:tcPr>
            <w:tcW w:w="1785" w:type="dxa"/>
          </w:tcPr>
          <w:p w14:paraId="34DAF7F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5" w:type="dxa"/>
          </w:tcPr>
          <w:p w14:paraId="4F678F5A" w14:textId="77777777" w:rsidR="00BF18CF" w:rsidRDefault="00E51347">
            <w:r>
              <w:t>E35(x) ⇒ E33(x)</w:t>
            </w:r>
          </w:p>
          <w:p w14:paraId="52F35A9E" w14:textId="77777777" w:rsidR="00BF18CF" w:rsidRDefault="00E51347">
            <w:r>
              <w:t>E35(x) ⇒ E41(x)</w:t>
            </w:r>
          </w:p>
        </w:tc>
      </w:tr>
      <w:tr w:rsidR="00BF18CF" w14:paraId="706946AD" w14:textId="77777777" w:rsidTr="00BF18CF">
        <w:tc>
          <w:tcPr>
            <w:tcW w:w="1785" w:type="dxa"/>
          </w:tcPr>
          <w:p w14:paraId="5510BD8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5" w:type="dxa"/>
          </w:tcPr>
          <w:p w14:paraId="7E432181" w14:textId="77777777" w:rsidR="00BF18CF" w:rsidRDefault="00BF18CF">
            <w:pPr>
              <w:pBdr>
                <w:top w:val="nil"/>
                <w:left w:val="nil"/>
                <w:bottom w:val="nil"/>
                <w:right w:val="nil"/>
                <w:between w:val="nil"/>
              </w:pBdr>
              <w:spacing w:before="36" w:after="36"/>
              <w:rPr>
                <w:color w:val="000000"/>
              </w:rPr>
            </w:pPr>
          </w:p>
        </w:tc>
      </w:tr>
      <w:tr w:rsidR="00BF18CF" w14:paraId="3955C8E0" w14:textId="77777777" w:rsidTr="00BF18CF">
        <w:tc>
          <w:tcPr>
            <w:tcW w:w="1785" w:type="dxa"/>
          </w:tcPr>
          <w:p w14:paraId="11C93B95" w14:textId="51EB602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5" w:type="dxa"/>
          </w:tcPr>
          <w:p w14:paraId="6FFF89C9" w14:textId="77777777" w:rsidR="00BF18CF" w:rsidRDefault="00BF18CF">
            <w:pPr>
              <w:pBdr>
                <w:top w:val="nil"/>
                <w:left w:val="nil"/>
                <w:bottom w:val="nil"/>
                <w:right w:val="nil"/>
                <w:between w:val="nil"/>
              </w:pBdr>
              <w:spacing w:before="36" w:after="36"/>
              <w:rPr>
                <w:color w:val="000000"/>
              </w:rPr>
            </w:pPr>
          </w:p>
        </w:tc>
      </w:tr>
      <w:tr w:rsidR="00BF18CF" w14:paraId="7EE0B27B" w14:textId="77777777" w:rsidTr="00BF18CF">
        <w:tc>
          <w:tcPr>
            <w:tcW w:w="1785" w:type="dxa"/>
          </w:tcPr>
          <w:p w14:paraId="2B07FFB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5" w:type="dxa"/>
          </w:tcPr>
          <w:p w14:paraId="6CEA9846" w14:textId="77777777" w:rsidR="00BF18CF" w:rsidRDefault="00BF18CF">
            <w:pPr>
              <w:pBdr>
                <w:top w:val="nil"/>
                <w:left w:val="nil"/>
                <w:bottom w:val="nil"/>
                <w:right w:val="nil"/>
                <w:between w:val="nil"/>
              </w:pBdr>
              <w:spacing w:before="36" w:after="36"/>
              <w:rPr>
                <w:color w:val="000000"/>
              </w:rPr>
            </w:pPr>
          </w:p>
        </w:tc>
      </w:tr>
    </w:tbl>
    <w:p w14:paraId="0D2C1F09" w14:textId="77777777" w:rsidR="00BF18CF" w:rsidRDefault="00E51347">
      <w:pPr>
        <w:pStyle w:val="Heading3"/>
      </w:pPr>
      <w:bookmarkStart w:id="170" w:name="bookmark=id.279ka65" w:colFirst="0" w:colLast="0"/>
      <w:bookmarkStart w:id="171" w:name="_Toc144360828"/>
      <w:bookmarkEnd w:id="170"/>
      <w:r>
        <w:t>E36 Entité visuelle</w:t>
      </w:r>
      <w:bookmarkEnd w:id="171"/>
    </w:p>
    <w:tbl>
      <w:tblPr>
        <w:tblStyle w:val="a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5"/>
        <w:gridCol w:w="8755"/>
      </w:tblGrid>
      <w:tr w:rsidR="00BF18CF" w14:paraId="2F4C2A8D" w14:textId="77777777" w:rsidTr="00BF18CF">
        <w:tc>
          <w:tcPr>
            <w:tcW w:w="1935" w:type="dxa"/>
          </w:tcPr>
          <w:p w14:paraId="70AF439B"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755" w:type="dxa"/>
          </w:tcPr>
          <w:p w14:paraId="0EC17903" w14:textId="77777777" w:rsidR="00BF18CF" w:rsidRDefault="00E51347">
            <w:r>
              <w:rPr>
                <w:rFonts w:ascii="Consolas" w:eastAsia="Consolas" w:hAnsi="Consolas" w:cs="Consolas"/>
                <w:sz w:val="22"/>
                <w:szCs w:val="22"/>
                <w:shd w:val="clear" w:color="auto" w:fill="EAEEF3"/>
              </w:rPr>
              <w:t>E73_Objet_informationnel</w:t>
            </w:r>
          </w:p>
        </w:tc>
      </w:tr>
      <w:tr w:rsidR="00BF18CF" w14:paraId="5054B5FC" w14:textId="77777777" w:rsidTr="00BF18CF">
        <w:tc>
          <w:tcPr>
            <w:tcW w:w="1935" w:type="dxa"/>
          </w:tcPr>
          <w:p w14:paraId="1809417C"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755" w:type="dxa"/>
          </w:tcPr>
          <w:p w14:paraId="3621F8DB" w14:textId="77777777" w:rsidR="00BF18CF" w:rsidRDefault="00E51347">
            <w:r>
              <w:rPr>
                <w:rFonts w:ascii="Consolas" w:eastAsia="Consolas" w:hAnsi="Consolas" w:cs="Consolas"/>
                <w:sz w:val="22"/>
                <w:szCs w:val="22"/>
                <w:shd w:val="clear" w:color="auto" w:fill="EAEEF3"/>
              </w:rPr>
              <w:t>E37_Marque</w:t>
            </w:r>
          </w:p>
        </w:tc>
      </w:tr>
      <w:tr w:rsidR="00BF18CF" w14:paraId="1126FA2F" w14:textId="77777777" w:rsidTr="00BF18CF">
        <w:tc>
          <w:tcPr>
            <w:tcW w:w="1935" w:type="dxa"/>
          </w:tcPr>
          <w:p w14:paraId="5CD668E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55" w:type="dxa"/>
          </w:tcPr>
          <w:p w14:paraId="28823B88" w14:textId="77777777" w:rsidR="00BF18CF" w:rsidRDefault="00E51347">
            <w:r>
              <w:t>Cette classe comprend les aspects intellectuels ou conceptuels des marques et images reconnaissables.</w:t>
            </w:r>
          </w:p>
          <w:p w14:paraId="2732A84D" w14:textId="77777777" w:rsidR="00BF18CF" w:rsidRDefault="00E51347">
            <w:r>
              <w:t xml:space="preserve">Cette classe n’a pas pour objectif de décrire les caractéristiques idiosyncratiques d’une incarnation physique individuelle d’une entité visuelle, mais le prototype qui lui est sous-jacent. Par exemple, une marque telle que le logo de l’ICOM est généralement considérée comme un seul et même logo même lorsque cette </w:t>
            </w:r>
            <w:r>
              <w:lastRenderedPageBreak/>
              <w:t>marque est utilisée dans plusieurs publications différentes. La taille, l’orientation et la couleur peuvent changer, mais le logo demeure uniquement identifiable. Il en est de même pour les images reproduites plusieurs fois. Cela signifie que les entités visuelles sont indépendantes de leur support physique.</w:t>
            </w:r>
          </w:p>
          <w:p w14:paraId="5D6F47EB" w14:textId="77777777" w:rsidR="00BF18CF" w:rsidRDefault="00E51347">
            <w:r>
              <w:t xml:space="preserve">La classe </w:t>
            </w:r>
            <w:r>
              <w:rPr>
                <w:rFonts w:ascii="Consolas" w:eastAsia="Consolas" w:hAnsi="Consolas" w:cs="Consolas"/>
                <w:sz w:val="22"/>
                <w:szCs w:val="22"/>
                <w:shd w:val="clear" w:color="auto" w:fill="EAEEF3"/>
              </w:rPr>
              <w:t>E36_Entité_visuelle</w:t>
            </w:r>
            <w:r>
              <w:t xml:space="preserve"> fournit un moyen d’identifier et de relier entre elles des instances de </w:t>
            </w:r>
            <w:r>
              <w:rPr>
                <w:rFonts w:ascii="Consolas" w:eastAsia="Consolas" w:hAnsi="Consolas" w:cs="Consolas"/>
                <w:sz w:val="22"/>
                <w:szCs w:val="22"/>
                <w:shd w:val="clear" w:color="auto" w:fill="EAEEF3"/>
              </w:rPr>
              <w:t>E24_Chose_matérielle_élaborée_par_l’humain</w:t>
            </w:r>
            <w:r>
              <w:t xml:space="preserve"> qui portent les mêmes symboles visuels, marques ou images, etc. La propriété </w:t>
            </w:r>
            <w:r>
              <w:rPr>
                <w:rFonts w:ascii="Consolas" w:eastAsia="Consolas" w:hAnsi="Consolas" w:cs="Consolas"/>
                <w:sz w:val="22"/>
                <w:szCs w:val="22"/>
                <w:shd w:val="clear" w:color="auto" w:fill="EAEEF3"/>
              </w:rPr>
              <w:t>P62_illustre (est_illustré_par)</w:t>
            </w:r>
            <w:r>
              <w:t xml:space="preserve"> entre une instance de </w:t>
            </w:r>
            <w:r>
              <w:rPr>
                <w:rFonts w:ascii="Consolas" w:eastAsia="Consolas" w:hAnsi="Consolas" w:cs="Consolas"/>
                <w:sz w:val="22"/>
                <w:szCs w:val="22"/>
                <w:shd w:val="clear" w:color="auto" w:fill="EAEEF3"/>
              </w:rPr>
              <w:t>E24_Chose_matérielle_élaborée_par_l’humain</w:t>
            </w:r>
            <w:r>
              <w:t xml:space="preserve"> et les sujets représentés (</w:t>
            </w:r>
            <w:r>
              <w:rPr>
                <w:rFonts w:ascii="Consolas" w:eastAsia="Consolas" w:hAnsi="Consolas" w:cs="Consolas"/>
                <w:sz w:val="22"/>
                <w:szCs w:val="22"/>
                <w:shd w:val="clear" w:color="auto" w:fill="EAEEF3"/>
              </w:rPr>
              <w:t>E1_Entité_CRM</w:t>
            </w:r>
            <w:r>
              <w:t xml:space="preserve">) est un raccourci du chemin sémantique suivant : </w:t>
            </w:r>
            <w:r>
              <w:rPr>
                <w:rFonts w:ascii="Consolas" w:eastAsia="Consolas" w:hAnsi="Consolas" w:cs="Consolas"/>
                <w:sz w:val="22"/>
                <w:szCs w:val="22"/>
                <w:shd w:val="clear" w:color="auto" w:fill="EAEEF3"/>
              </w:rPr>
              <w:t>E24_Chose_matérielle_élaborée_par_l’humain</w:t>
            </w:r>
            <w:r>
              <w:t xml:space="preserve">, </w:t>
            </w:r>
            <w:r>
              <w:rPr>
                <w:rFonts w:ascii="Consolas" w:eastAsia="Consolas" w:hAnsi="Consolas" w:cs="Consolas"/>
                <w:sz w:val="22"/>
                <w:szCs w:val="22"/>
                <w:shd w:val="clear" w:color="auto" w:fill="EAEEF3"/>
              </w:rPr>
              <w:t>P65_représente_l’entité_visuelle (est_représenté_par)</w:t>
            </w:r>
            <w:r>
              <w:t xml:space="preserve">, </w:t>
            </w:r>
            <w:r>
              <w:rPr>
                <w:rFonts w:ascii="Consolas" w:eastAsia="Consolas" w:hAnsi="Consolas" w:cs="Consolas"/>
                <w:sz w:val="22"/>
                <w:szCs w:val="22"/>
                <w:shd w:val="clear" w:color="auto" w:fill="EAEEF3"/>
              </w:rPr>
              <w:t>E36_Entité_visuelle</w:t>
            </w:r>
            <w:r>
              <w:t xml:space="preserve">, </w:t>
            </w:r>
            <w:r>
              <w:rPr>
                <w:rFonts w:ascii="Consolas" w:eastAsia="Consolas" w:hAnsi="Consolas" w:cs="Consolas"/>
                <w:sz w:val="22"/>
                <w:szCs w:val="22"/>
                <w:shd w:val="clear" w:color="auto" w:fill="EAEEF3"/>
              </w:rPr>
              <w:t>P138_représente (est_représenté_par)</w:t>
            </w:r>
            <w:r>
              <w:t xml:space="preserve">, </w:t>
            </w:r>
            <w:r>
              <w:rPr>
                <w:rFonts w:ascii="Consolas" w:eastAsia="Consolas" w:hAnsi="Consolas" w:cs="Consolas"/>
                <w:sz w:val="22"/>
                <w:szCs w:val="22"/>
                <w:shd w:val="clear" w:color="auto" w:fill="EAEEF3"/>
              </w:rPr>
              <w:t>E1_Entité_CRM</w:t>
            </w:r>
            <w:r>
              <w:t>. [Ce chemin sémantique développé] permet de saisir les caractéristiques optiques de la représentation, [ce que le raccourci ne permet pas].</w:t>
            </w:r>
          </w:p>
        </w:tc>
      </w:tr>
      <w:tr w:rsidR="00BF18CF" w14:paraId="2C04A74E" w14:textId="77777777" w:rsidTr="00BF18CF">
        <w:tc>
          <w:tcPr>
            <w:tcW w:w="1935" w:type="dxa"/>
          </w:tcPr>
          <w:p w14:paraId="1F58A190"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55" w:type="dxa"/>
          </w:tcPr>
          <w:p w14:paraId="263AC58A" w14:textId="77777777" w:rsidR="00BF18CF" w:rsidRDefault="00E51347">
            <w:pPr>
              <w:numPr>
                <w:ilvl w:val="0"/>
                <w:numId w:val="19"/>
              </w:numPr>
            </w:pPr>
            <w:r>
              <w:t xml:space="preserve">L’apparence visuelle de </w:t>
            </w:r>
            <w:r>
              <w:rPr>
                <w:i/>
              </w:rPr>
              <w:t>La Pie</w:t>
            </w:r>
            <w:r>
              <w:t xml:space="preserve"> de Monet</w:t>
            </w:r>
          </w:p>
          <w:p w14:paraId="37B909C3" w14:textId="77777777" w:rsidR="00BF18CF" w:rsidRDefault="00E51347">
            <w:pPr>
              <w:numPr>
                <w:ilvl w:val="0"/>
                <w:numId w:val="19"/>
              </w:numPr>
            </w:pPr>
            <w:r>
              <w:t>Le logo de Coca-Cola (</w:t>
            </w:r>
            <w:r>
              <w:rPr>
                <w:rFonts w:ascii="Consolas" w:eastAsia="Consolas" w:hAnsi="Consolas" w:cs="Consolas"/>
                <w:sz w:val="22"/>
                <w:szCs w:val="22"/>
                <w:shd w:val="clear" w:color="auto" w:fill="EAEEF3"/>
              </w:rPr>
              <w:t>E34_Inscription</w:t>
            </w:r>
            <w:r>
              <w:t>)</w:t>
            </w:r>
          </w:p>
          <w:p w14:paraId="50B85462" w14:textId="77777777" w:rsidR="00BF18CF" w:rsidRDefault="00E51347">
            <w:pPr>
              <w:numPr>
                <w:ilvl w:val="0"/>
                <w:numId w:val="19"/>
              </w:numPr>
            </w:pPr>
            <w:r>
              <w:t>Le Chrisme constantinien (Chi-Rhô) (</w:t>
            </w:r>
            <w:r>
              <w:rPr>
                <w:rFonts w:ascii="Consolas" w:eastAsia="Consolas" w:hAnsi="Consolas" w:cs="Consolas"/>
                <w:sz w:val="22"/>
                <w:szCs w:val="22"/>
                <w:shd w:val="clear" w:color="auto" w:fill="EAEEF3"/>
              </w:rPr>
              <w:t>E37_Marque</w:t>
            </w:r>
            <w:r>
              <w:t>)</w:t>
            </w:r>
          </w:p>
          <w:p w14:paraId="4A8A0593" w14:textId="77777777" w:rsidR="00BF18CF" w:rsidRDefault="00E51347">
            <w:pPr>
              <w:numPr>
                <w:ilvl w:val="0"/>
                <w:numId w:val="19"/>
              </w:numPr>
            </w:pPr>
            <w:r>
              <w:t>L’étoile rouge communiste (</w:t>
            </w:r>
            <w:r>
              <w:rPr>
                <w:rFonts w:ascii="Consolas" w:eastAsia="Consolas" w:hAnsi="Consolas" w:cs="Consolas"/>
                <w:sz w:val="22"/>
                <w:szCs w:val="22"/>
                <w:shd w:val="clear" w:color="auto" w:fill="EAEEF3"/>
              </w:rPr>
              <w:t>E37_Marque</w:t>
            </w:r>
            <w:r>
              <w:t>)</w:t>
            </w:r>
          </w:p>
        </w:tc>
      </w:tr>
      <w:tr w:rsidR="00BF18CF" w14:paraId="4D196935" w14:textId="77777777" w:rsidTr="00BF18CF">
        <w:tc>
          <w:tcPr>
            <w:tcW w:w="1935" w:type="dxa"/>
          </w:tcPr>
          <w:p w14:paraId="4993191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55" w:type="dxa"/>
          </w:tcPr>
          <w:p w14:paraId="2B35E185" w14:textId="77777777" w:rsidR="00BF18CF" w:rsidRDefault="00E51347">
            <w:r>
              <w:t>E36(x) ⇒ E73(x)</w:t>
            </w:r>
          </w:p>
        </w:tc>
      </w:tr>
      <w:tr w:rsidR="00BF18CF" w14:paraId="197B39C1" w14:textId="77777777" w:rsidTr="00BF18CF">
        <w:tc>
          <w:tcPr>
            <w:tcW w:w="1935" w:type="dxa"/>
          </w:tcPr>
          <w:p w14:paraId="62E5F17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55" w:type="dxa"/>
          </w:tcPr>
          <w:p w14:paraId="2A6C5810" w14:textId="77777777" w:rsidR="00BF18CF" w:rsidRDefault="00E51347">
            <w:r>
              <w:rPr>
                <w:rFonts w:ascii="Consolas" w:eastAsia="Consolas" w:hAnsi="Consolas" w:cs="Consolas"/>
                <w:sz w:val="22"/>
                <w:szCs w:val="22"/>
                <w:shd w:val="clear" w:color="auto" w:fill="EAEEF3"/>
              </w:rPr>
              <w:t>P138_représente (est_représenté_par)</w:t>
            </w:r>
            <w:r>
              <w:t xml:space="preserve">: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P138.1_mode_de_représentation</w:t>
            </w:r>
            <w:r>
              <w:t xml:space="preserve">: </w:t>
            </w:r>
            <w:r>
              <w:rPr>
                <w:rFonts w:ascii="Consolas" w:eastAsia="Consolas" w:hAnsi="Consolas" w:cs="Consolas"/>
                <w:sz w:val="22"/>
                <w:szCs w:val="22"/>
                <w:shd w:val="clear" w:color="auto" w:fill="EAEEF3"/>
              </w:rPr>
              <w:t>E55_Type</w:t>
            </w:r>
            <w:r>
              <w:t>)</w:t>
            </w:r>
          </w:p>
        </w:tc>
      </w:tr>
      <w:tr w:rsidR="00BF18CF" w14:paraId="280D8F8B" w14:textId="77777777" w:rsidTr="00BF18CF">
        <w:tc>
          <w:tcPr>
            <w:tcW w:w="1935" w:type="dxa"/>
          </w:tcPr>
          <w:p w14:paraId="27634FB8" w14:textId="1960DFA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55" w:type="dxa"/>
          </w:tcPr>
          <w:p w14:paraId="27F61EEF" w14:textId="77777777" w:rsidR="00BF18CF" w:rsidRDefault="00E51347">
            <w:r>
              <w:t>Selon Wikipedia, le Chi-Rho (Chi-Rhô) est un chrisme particulier composé des lettres grecques X (chi) et P (rhô) qui est connu sous le nom de Chrisme constantinien. À ce titre, il a été décidé de faire référence à ce symbole en utilisant le terme français reconnu, mais aussi d’indiquer les lettres grecques formant celui-ci.</w:t>
            </w:r>
          </w:p>
        </w:tc>
      </w:tr>
      <w:tr w:rsidR="00BF18CF" w14:paraId="3A1B2BE1" w14:textId="77777777" w:rsidTr="00BF18CF">
        <w:tc>
          <w:tcPr>
            <w:tcW w:w="1935" w:type="dxa"/>
          </w:tcPr>
          <w:p w14:paraId="2B487D5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55" w:type="dxa"/>
          </w:tcPr>
          <w:p w14:paraId="16FE6FFE" w14:textId="77777777" w:rsidR="00BF18CF" w:rsidRDefault="00E51347">
            <w:r>
              <w:t xml:space="preserve">Wikipédia. « Chrisme ». Dans </w:t>
            </w:r>
            <w:r>
              <w:rPr>
                <w:i/>
              </w:rPr>
              <w:t>Wikipédia</w:t>
            </w:r>
            <w:r>
              <w:t>. San Francisco, US-CA: Wikipédia, 30 juin 2021.</w:t>
            </w:r>
            <w:hyperlink r:id="rId387">
              <w:r>
                <w:rPr>
                  <w:color w:val="4F81BD"/>
                </w:rPr>
                <w:t xml:space="preserve"> https://fr.wikipedia.org/w/index.php?title=Chrisme&amp;oldid=184249375</w:t>
              </w:r>
            </w:hyperlink>
            <w:r>
              <w:t>.</w:t>
            </w:r>
          </w:p>
        </w:tc>
      </w:tr>
    </w:tbl>
    <w:p w14:paraId="3F6F30F4" w14:textId="77777777" w:rsidR="00BF18CF" w:rsidRDefault="00E51347">
      <w:pPr>
        <w:pStyle w:val="Heading3"/>
      </w:pPr>
      <w:bookmarkStart w:id="172" w:name="bookmark=id.meukdy" w:colFirst="0" w:colLast="0"/>
      <w:bookmarkStart w:id="173" w:name="_Toc144360829"/>
      <w:bookmarkEnd w:id="172"/>
      <w:r>
        <w:t>E37 Marque</w:t>
      </w:r>
      <w:bookmarkEnd w:id="173"/>
    </w:p>
    <w:tbl>
      <w:tblPr>
        <w:tblStyle w:val="a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4"/>
        <w:gridCol w:w="8946"/>
      </w:tblGrid>
      <w:tr w:rsidR="00BF18CF" w14:paraId="7BC65F80" w14:textId="77777777" w:rsidTr="00BF18CF">
        <w:tc>
          <w:tcPr>
            <w:tcW w:w="1744" w:type="dxa"/>
          </w:tcPr>
          <w:p w14:paraId="27B5CECB"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04CB0689" w14:textId="77777777" w:rsidR="00BF18CF" w:rsidRDefault="00E51347">
            <w:r>
              <w:rPr>
                <w:rFonts w:ascii="Consolas" w:eastAsia="Consolas" w:hAnsi="Consolas" w:cs="Consolas"/>
                <w:sz w:val="22"/>
                <w:szCs w:val="22"/>
                <w:shd w:val="clear" w:color="auto" w:fill="EAEEF3"/>
              </w:rPr>
              <w:t>E36_Entité_visuelle</w:t>
            </w:r>
          </w:p>
        </w:tc>
      </w:tr>
      <w:tr w:rsidR="00BF18CF" w14:paraId="4972C779" w14:textId="77777777" w:rsidTr="00BF18CF">
        <w:tc>
          <w:tcPr>
            <w:tcW w:w="1744" w:type="dxa"/>
          </w:tcPr>
          <w:p w14:paraId="044AB860"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418FEC8D" w14:textId="77777777" w:rsidR="00BF18CF" w:rsidRDefault="00E51347">
            <w:r>
              <w:rPr>
                <w:rFonts w:ascii="Consolas" w:eastAsia="Consolas" w:hAnsi="Consolas" w:cs="Consolas"/>
                <w:sz w:val="22"/>
                <w:szCs w:val="22"/>
                <w:shd w:val="clear" w:color="auto" w:fill="EAEEF3"/>
              </w:rPr>
              <w:t>E34_Inscription</w:t>
            </w:r>
          </w:p>
        </w:tc>
      </w:tr>
      <w:tr w:rsidR="00BF18CF" w14:paraId="543B70A5" w14:textId="77777777" w:rsidTr="00BF18CF">
        <w:tc>
          <w:tcPr>
            <w:tcW w:w="1744" w:type="dxa"/>
          </w:tcPr>
          <w:p w14:paraId="535B362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6D39AE7D" w14:textId="77777777" w:rsidR="00BF18CF" w:rsidRDefault="00E51347">
            <w:r>
              <w:t xml:space="preserve">Cette classe comprend les symboles, signes, signatures ou courts textes appliqués par des techniques arbitraires à des instances de </w:t>
            </w:r>
            <w:r>
              <w:rPr>
                <w:rFonts w:ascii="Consolas" w:eastAsia="Consolas" w:hAnsi="Consolas" w:cs="Consolas"/>
                <w:sz w:val="22"/>
                <w:szCs w:val="22"/>
                <w:shd w:val="clear" w:color="auto" w:fill="EAEEF3"/>
              </w:rPr>
              <w:t>E24_Chose_matérielle_élaborée_par_l’humain</w:t>
            </w:r>
            <w:r>
              <w:t xml:space="preserve">, souvent pour indiquer des choses telles que le créateur, le propriétaire, des dédicaces, le but ou pour communiquer des informations en général. Les instances de </w:t>
            </w:r>
            <w:r>
              <w:rPr>
                <w:rFonts w:ascii="Consolas" w:eastAsia="Consolas" w:hAnsi="Consolas" w:cs="Consolas"/>
                <w:sz w:val="22"/>
                <w:szCs w:val="22"/>
                <w:shd w:val="clear" w:color="auto" w:fill="EAEEF3"/>
              </w:rPr>
              <w:t>E37_Marque</w:t>
            </w:r>
            <w:r>
              <w:t xml:space="preserve"> ne représentent pas l’image réelle d’une marque, mais son idéal abstrait (ou archétype) tel qu’il est utilisé pour la </w:t>
            </w:r>
            <w:r>
              <w:lastRenderedPageBreak/>
              <w:t>codification dans les documents de référence constituant la documentation culturelle.</w:t>
            </w:r>
          </w:p>
          <w:p w14:paraId="58E7EB51" w14:textId="77777777" w:rsidR="00BF18CF" w:rsidRDefault="00E51347">
            <w:r>
              <w:t xml:space="preserve">Cette classe exclut de manière spécifique les caractéristiques qui n’ont pas de signification sémantique, telles que des éraflures ou des marques d’outil. Celles-ci doivent être documentées comme des instances de </w:t>
            </w:r>
            <w:r>
              <w:rPr>
                <w:rFonts w:ascii="Consolas" w:eastAsia="Consolas" w:hAnsi="Consolas" w:cs="Consolas"/>
                <w:sz w:val="22"/>
                <w:szCs w:val="22"/>
                <w:shd w:val="clear" w:color="auto" w:fill="EAEEF3"/>
              </w:rPr>
              <w:t>E25_Caractéristique_élaborée_par_l’humain</w:t>
            </w:r>
            <w:r>
              <w:t>.</w:t>
            </w:r>
          </w:p>
        </w:tc>
      </w:tr>
      <w:tr w:rsidR="00BF18CF" w14:paraId="56F16682" w14:textId="77777777" w:rsidTr="00BF18CF">
        <w:tc>
          <w:tcPr>
            <w:tcW w:w="1744" w:type="dxa"/>
          </w:tcPr>
          <w:p w14:paraId="075D4B34"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46" w:type="dxa"/>
          </w:tcPr>
          <w:p w14:paraId="211AB487" w14:textId="77777777" w:rsidR="00BF18CF" w:rsidRDefault="00E51347">
            <w:pPr>
              <w:numPr>
                <w:ilvl w:val="0"/>
                <w:numId w:val="19"/>
              </w:numPr>
            </w:pPr>
            <w:r>
              <w:t>Symbole de la double hache minoenne (Lowe Fri, 2011)</w:t>
            </w:r>
          </w:p>
          <w:p w14:paraId="188C6015" w14:textId="77777777" w:rsidR="00BF18CF" w:rsidRDefault="00E51347">
            <w:pPr>
              <w:numPr>
                <w:ilvl w:val="0"/>
                <w:numId w:val="19"/>
              </w:numPr>
            </w:pPr>
            <w:r>
              <w:t>©</w:t>
            </w:r>
          </w:p>
          <w:p w14:paraId="5C4ED294" w14:textId="77777777" w:rsidR="00BF18CF" w:rsidRDefault="000467B7">
            <w:pPr>
              <w:numPr>
                <w:ilvl w:val="0"/>
                <w:numId w:val="19"/>
              </w:numPr>
            </w:pPr>
            <w:sdt>
              <w:sdtPr>
                <w:tag w:val="goog_rdk_0"/>
                <w:id w:val="-1223830201"/>
              </w:sdtPr>
              <w:sdtEndPr/>
              <w:sdtContent>
                <w:r w:rsidR="00E51347">
                  <w:rPr>
                    <w:rFonts w:ascii="Arial Unicode MS" w:eastAsia="Arial Unicode MS" w:hAnsi="Arial Unicode MS" w:cs="Arial Unicode MS"/>
                  </w:rPr>
                  <w:t>☺</w:t>
                </w:r>
              </w:sdtContent>
            </w:sdt>
          </w:p>
        </w:tc>
      </w:tr>
      <w:tr w:rsidR="00BF18CF" w14:paraId="2F915433" w14:textId="77777777" w:rsidTr="00BF18CF">
        <w:tc>
          <w:tcPr>
            <w:tcW w:w="1744" w:type="dxa"/>
          </w:tcPr>
          <w:p w14:paraId="05F674E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6" w:type="dxa"/>
          </w:tcPr>
          <w:p w14:paraId="5AEF7611" w14:textId="77777777" w:rsidR="00BF18CF" w:rsidRDefault="00E51347">
            <w:r>
              <w:t>E37(x) ⇒ E36(x)</w:t>
            </w:r>
          </w:p>
        </w:tc>
      </w:tr>
      <w:tr w:rsidR="00BF18CF" w14:paraId="48D65B8D" w14:textId="77777777" w:rsidTr="00BF18CF">
        <w:tc>
          <w:tcPr>
            <w:tcW w:w="1744" w:type="dxa"/>
          </w:tcPr>
          <w:p w14:paraId="7558033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4C7F4066" w14:textId="77777777" w:rsidR="00BF18CF" w:rsidRDefault="00BF18CF">
            <w:pPr>
              <w:pBdr>
                <w:top w:val="nil"/>
                <w:left w:val="nil"/>
                <w:bottom w:val="nil"/>
                <w:right w:val="nil"/>
                <w:between w:val="nil"/>
              </w:pBdr>
              <w:spacing w:before="36" w:after="36"/>
              <w:rPr>
                <w:color w:val="000000"/>
              </w:rPr>
            </w:pPr>
          </w:p>
        </w:tc>
      </w:tr>
      <w:tr w:rsidR="00BF18CF" w14:paraId="3B285E34" w14:textId="77777777" w:rsidTr="00BF18CF">
        <w:tc>
          <w:tcPr>
            <w:tcW w:w="1744" w:type="dxa"/>
          </w:tcPr>
          <w:p w14:paraId="62830989" w14:textId="034A404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5811BA63" w14:textId="77777777" w:rsidR="00BF18CF" w:rsidRDefault="00BF18CF">
            <w:pPr>
              <w:pBdr>
                <w:top w:val="nil"/>
                <w:left w:val="nil"/>
                <w:bottom w:val="nil"/>
                <w:right w:val="nil"/>
                <w:between w:val="nil"/>
              </w:pBdr>
              <w:spacing w:before="36" w:after="36"/>
              <w:rPr>
                <w:color w:val="000000"/>
              </w:rPr>
            </w:pPr>
          </w:p>
        </w:tc>
      </w:tr>
      <w:tr w:rsidR="00BF18CF" w14:paraId="38243179" w14:textId="77777777" w:rsidTr="00BF18CF">
        <w:tc>
          <w:tcPr>
            <w:tcW w:w="1744" w:type="dxa"/>
          </w:tcPr>
          <w:p w14:paraId="16B2BC7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61F6122D" w14:textId="77777777" w:rsidR="00BF18CF" w:rsidRDefault="00BF18CF">
            <w:pPr>
              <w:pBdr>
                <w:top w:val="nil"/>
                <w:left w:val="nil"/>
                <w:bottom w:val="nil"/>
                <w:right w:val="nil"/>
                <w:between w:val="nil"/>
              </w:pBdr>
              <w:spacing w:before="36" w:after="36"/>
              <w:rPr>
                <w:color w:val="000000"/>
              </w:rPr>
            </w:pPr>
          </w:p>
        </w:tc>
      </w:tr>
    </w:tbl>
    <w:p w14:paraId="5F8AC2BA" w14:textId="77777777" w:rsidR="00BF18CF" w:rsidRDefault="00E51347">
      <w:pPr>
        <w:pStyle w:val="Heading3"/>
      </w:pPr>
      <w:bookmarkStart w:id="174" w:name="bookmark=id.36ei31r" w:colFirst="0" w:colLast="0"/>
      <w:bookmarkStart w:id="175" w:name="_Toc144360830"/>
      <w:bookmarkEnd w:id="174"/>
      <w:r>
        <w:t>E39 Actant</w:t>
      </w:r>
      <w:bookmarkEnd w:id="175"/>
    </w:p>
    <w:tbl>
      <w:tblPr>
        <w:tblStyle w:val="affffff7"/>
        <w:tblW w:w="10690" w:type="dxa"/>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43"/>
        <w:gridCol w:w="8747"/>
      </w:tblGrid>
      <w:tr w:rsidR="00BF18CF" w14:paraId="25C1272A" w14:textId="77777777" w:rsidTr="00BF18CF">
        <w:tc>
          <w:tcPr>
            <w:tcW w:w="1943" w:type="dxa"/>
          </w:tcPr>
          <w:p w14:paraId="695D3641"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747" w:type="dxa"/>
          </w:tcPr>
          <w:p w14:paraId="37F74FE7" w14:textId="77777777" w:rsidR="00BF18CF" w:rsidRDefault="00E51347">
            <w:r>
              <w:rPr>
                <w:rFonts w:ascii="Consolas" w:eastAsia="Consolas" w:hAnsi="Consolas" w:cs="Consolas"/>
                <w:sz w:val="22"/>
                <w:szCs w:val="22"/>
                <w:shd w:val="clear" w:color="auto" w:fill="EAEEF3"/>
              </w:rPr>
              <w:t>E77_Entité_persistante</w:t>
            </w:r>
          </w:p>
        </w:tc>
      </w:tr>
      <w:tr w:rsidR="00BF18CF" w14:paraId="5656C33D" w14:textId="77777777" w:rsidTr="00BF18CF">
        <w:tc>
          <w:tcPr>
            <w:tcW w:w="1943" w:type="dxa"/>
          </w:tcPr>
          <w:p w14:paraId="7E082C5A"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747" w:type="dxa"/>
          </w:tcPr>
          <w:p w14:paraId="1A9A7E72" w14:textId="77777777" w:rsidR="00BF18CF" w:rsidRDefault="00E51347">
            <w:r>
              <w:rPr>
                <w:rFonts w:ascii="Consolas" w:eastAsia="Consolas" w:hAnsi="Consolas" w:cs="Consolas"/>
                <w:sz w:val="22"/>
                <w:szCs w:val="22"/>
                <w:shd w:val="clear" w:color="auto" w:fill="EAEEF3"/>
              </w:rPr>
              <w:t>E21_Personne</w:t>
            </w:r>
          </w:p>
          <w:p w14:paraId="33F197BB" w14:textId="77777777" w:rsidR="00BF18CF" w:rsidRDefault="00E51347">
            <w:r>
              <w:rPr>
                <w:rFonts w:ascii="Consolas" w:eastAsia="Consolas" w:hAnsi="Consolas" w:cs="Consolas"/>
                <w:sz w:val="22"/>
                <w:szCs w:val="22"/>
                <w:shd w:val="clear" w:color="auto" w:fill="EAEEF3"/>
              </w:rPr>
              <w:t>E74_Groupe</w:t>
            </w:r>
          </w:p>
        </w:tc>
      </w:tr>
      <w:tr w:rsidR="00BF18CF" w14:paraId="75AAF861" w14:textId="77777777" w:rsidTr="00BF18CF">
        <w:tc>
          <w:tcPr>
            <w:tcW w:w="1943" w:type="dxa"/>
          </w:tcPr>
          <w:p w14:paraId="598CE0FD"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47" w:type="dxa"/>
          </w:tcPr>
          <w:p w14:paraId="0CA01DFC" w14:textId="77777777" w:rsidR="00BF18CF" w:rsidRDefault="00E51347">
            <w:r>
              <w:t xml:space="preserve">Cette classe comprend les personnes, que ce </w:t>
            </w:r>
            <w:proofErr w:type="gramStart"/>
            <w:r>
              <w:t>soit</w:t>
            </w:r>
            <w:proofErr w:type="gramEnd"/>
            <w:r>
              <w:t xml:space="preserve"> des individus ou des groupes, qui ont le potentiel d’effectuer intentionnellement des actions pour lesquelles elles peuvent être tenues responsables.</w:t>
            </w:r>
          </w:p>
        </w:tc>
      </w:tr>
      <w:tr w:rsidR="00BF18CF" w14:paraId="1204BA1B" w14:textId="77777777" w:rsidTr="00BF18CF">
        <w:tc>
          <w:tcPr>
            <w:tcW w:w="1943" w:type="dxa"/>
          </w:tcPr>
          <w:p w14:paraId="3B07850B"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47" w:type="dxa"/>
          </w:tcPr>
          <w:p w14:paraId="2A87CEBD" w14:textId="77777777" w:rsidR="00BF18CF" w:rsidRPr="00EE61A5" w:rsidRDefault="00E51347">
            <w:pPr>
              <w:numPr>
                <w:ilvl w:val="0"/>
                <w:numId w:val="19"/>
              </w:numPr>
              <w:rPr>
                <w:lang w:val="en-CA"/>
              </w:rPr>
            </w:pPr>
            <w:r w:rsidRPr="00EE61A5">
              <w:rPr>
                <w:lang w:val="en-CA"/>
              </w:rPr>
              <w:t>London and Continental Railways (</w:t>
            </w:r>
            <w:r w:rsidRPr="00EE61A5">
              <w:rPr>
                <w:rFonts w:ascii="Consolas" w:eastAsia="Consolas" w:hAnsi="Consolas" w:cs="Consolas"/>
                <w:sz w:val="22"/>
                <w:szCs w:val="22"/>
                <w:shd w:val="clear" w:color="auto" w:fill="EAEEF3"/>
                <w:lang w:val="en-CA"/>
              </w:rPr>
              <w:t>E74_Groupe</w:t>
            </w:r>
            <w:r w:rsidRPr="00EE61A5">
              <w:rPr>
                <w:lang w:val="en-CA"/>
              </w:rPr>
              <w:t>)</w:t>
            </w:r>
          </w:p>
          <w:p w14:paraId="3712F709" w14:textId="77777777" w:rsidR="00BF18CF" w:rsidRDefault="00E51347">
            <w:pPr>
              <w:numPr>
                <w:ilvl w:val="0"/>
                <w:numId w:val="19"/>
              </w:numPr>
            </w:pPr>
            <w:r>
              <w:t>Le Gouverneur de la Banque d’Angleterre en 1975 (</w:t>
            </w:r>
            <w:r>
              <w:rPr>
                <w:rFonts w:ascii="Consolas" w:eastAsia="Consolas" w:hAnsi="Consolas" w:cs="Consolas"/>
                <w:sz w:val="22"/>
                <w:szCs w:val="22"/>
                <w:shd w:val="clear" w:color="auto" w:fill="EAEEF3"/>
              </w:rPr>
              <w:t>E21_Personne</w:t>
            </w:r>
            <w:r>
              <w:t>)</w:t>
            </w:r>
          </w:p>
          <w:p w14:paraId="6D9BEDF5" w14:textId="77777777" w:rsidR="00BF18CF" w:rsidRDefault="00E51347">
            <w:pPr>
              <w:numPr>
                <w:ilvl w:val="0"/>
                <w:numId w:val="19"/>
              </w:numPr>
            </w:pPr>
            <w:r>
              <w:t>Sir Ian McKellen (</w:t>
            </w:r>
            <w:r>
              <w:rPr>
                <w:rFonts w:ascii="Consolas" w:eastAsia="Consolas" w:hAnsi="Consolas" w:cs="Consolas"/>
                <w:sz w:val="22"/>
                <w:szCs w:val="22"/>
                <w:shd w:val="clear" w:color="auto" w:fill="EAEEF3"/>
              </w:rPr>
              <w:t>E21_Personne</w:t>
            </w:r>
            <w:r>
              <w:t>) (Gibson, 1986)</w:t>
            </w:r>
          </w:p>
        </w:tc>
      </w:tr>
      <w:tr w:rsidR="00BF18CF" w14:paraId="3DAD48D2" w14:textId="77777777" w:rsidTr="00BF18CF">
        <w:tc>
          <w:tcPr>
            <w:tcW w:w="1943" w:type="dxa"/>
          </w:tcPr>
          <w:p w14:paraId="5A64591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47" w:type="dxa"/>
          </w:tcPr>
          <w:p w14:paraId="56BA21BE" w14:textId="77777777" w:rsidR="00BF18CF" w:rsidRDefault="00E51347">
            <w:r>
              <w:t>E39(x) ⊃ E77(x)</w:t>
            </w:r>
          </w:p>
        </w:tc>
      </w:tr>
      <w:tr w:rsidR="00BF18CF" w14:paraId="0D1E9F66" w14:textId="77777777" w:rsidTr="00BF18CF">
        <w:tc>
          <w:tcPr>
            <w:tcW w:w="1943" w:type="dxa"/>
          </w:tcPr>
          <w:p w14:paraId="3BCF6F1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47" w:type="dxa"/>
          </w:tcPr>
          <w:p w14:paraId="1FE688AC" w14:textId="77777777" w:rsidR="00BF18CF" w:rsidRDefault="00E51347">
            <w:r>
              <w:rPr>
                <w:rFonts w:ascii="Consolas" w:eastAsia="Consolas" w:hAnsi="Consolas" w:cs="Consolas"/>
                <w:sz w:val="22"/>
                <w:szCs w:val="22"/>
                <w:shd w:val="clear" w:color="auto" w:fill="EAEEF3"/>
              </w:rPr>
              <w:t>P74_a_pour_résidence_actuelle_ou_antérieure (est_la_résidence_actuelle_ou_antérieure_de)</w:t>
            </w:r>
            <w:r>
              <w:t xml:space="preserve"> : </w:t>
            </w:r>
            <w:r>
              <w:rPr>
                <w:rFonts w:ascii="Consolas" w:eastAsia="Consolas" w:hAnsi="Consolas" w:cs="Consolas"/>
                <w:sz w:val="22"/>
                <w:szCs w:val="22"/>
                <w:shd w:val="clear" w:color="auto" w:fill="EAEEF3"/>
              </w:rPr>
              <w:t>E53_Lieu</w:t>
            </w:r>
          </w:p>
          <w:p w14:paraId="6A15FFDB" w14:textId="77777777" w:rsidR="00BF18CF" w:rsidRDefault="00E51347">
            <w:r>
              <w:rPr>
                <w:rFonts w:ascii="Consolas" w:eastAsia="Consolas" w:hAnsi="Consolas" w:cs="Consolas"/>
                <w:sz w:val="22"/>
                <w:szCs w:val="22"/>
                <w:shd w:val="clear" w:color="auto" w:fill="EAEEF3"/>
              </w:rPr>
              <w:t>P75_possède (est_possédé_par)</w:t>
            </w:r>
            <w:r>
              <w:t xml:space="preserve"> : </w:t>
            </w:r>
            <w:r>
              <w:rPr>
                <w:rFonts w:ascii="Consolas" w:eastAsia="Consolas" w:hAnsi="Consolas" w:cs="Consolas"/>
                <w:sz w:val="22"/>
                <w:szCs w:val="22"/>
                <w:shd w:val="clear" w:color="auto" w:fill="EAEEF3"/>
              </w:rPr>
              <w:t>E30_Droit</w:t>
            </w:r>
          </w:p>
          <w:p w14:paraId="69055870" w14:textId="77777777" w:rsidR="00BF18CF" w:rsidRDefault="00E51347">
            <w:r>
              <w:rPr>
                <w:rFonts w:ascii="Consolas" w:eastAsia="Consolas" w:hAnsi="Consolas" w:cs="Consolas"/>
                <w:sz w:val="22"/>
                <w:szCs w:val="22"/>
                <w:shd w:val="clear" w:color="auto" w:fill="EAEEF3"/>
              </w:rPr>
              <w:t>P76_a_pour_coordonnées (permet_de_contacter)</w:t>
            </w:r>
            <w:r>
              <w:t xml:space="preserve"> : </w:t>
            </w:r>
            <w:r>
              <w:rPr>
                <w:rFonts w:ascii="Consolas" w:eastAsia="Consolas" w:hAnsi="Consolas" w:cs="Consolas"/>
                <w:sz w:val="22"/>
                <w:szCs w:val="22"/>
                <w:shd w:val="clear" w:color="auto" w:fill="EAEEF3"/>
              </w:rPr>
              <w:t>E41_Appellation</w:t>
            </w:r>
            <w:r>
              <w:t>.</w:t>
            </w:r>
          </w:p>
        </w:tc>
      </w:tr>
      <w:tr w:rsidR="00BF18CF" w14:paraId="11B936A4" w14:textId="77777777" w:rsidTr="00BF18CF">
        <w:tc>
          <w:tcPr>
            <w:tcW w:w="1943" w:type="dxa"/>
          </w:tcPr>
          <w:p w14:paraId="6AD5D64E" w14:textId="30D749D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47" w:type="dxa"/>
          </w:tcPr>
          <w:p w14:paraId="288B6EC4" w14:textId="77777777" w:rsidR="00BF18CF" w:rsidRDefault="00E51347">
            <w:r>
              <w:t>L’entrée anglophone réfère à « Sir Ian McKellan », qui comporte une erreur dans le nom de « Sir Ian McKellen ». La traduction francophone a choisi de ne pas reconduire cette erreur à des fins d’exactitude.</w:t>
            </w:r>
          </w:p>
          <w:p w14:paraId="08251592" w14:textId="77777777" w:rsidR="00BF18CF" w:rsidRDefault="00E51347">
            <w:r>
              <w:lastRenderedPageBreak/>
              <w:t>L’utilisation du terme « actant » a été retenu au lieu du terme « acteur » car le premier favorise est plus inclusif et ne nécessite pas l’usage des formes binaires masculine et féminine (acteur et actrice).</w:t>
            </w:r>
          </w:p>
        </w:tc>
      </w:tr>
      <w:tr w:rsidR="00BF18CF" w14:paraId="5DDF1A38" w14:textId="77777777" w:rsidTr="00BF18CF">
        <w:tc>
          <w:tcPr>
            <w:tcW w:w="1943" w:type="dxa"/>
          </w:tcPr>
          <w:p w14:paraId="0971F8B0"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8747" w:type="dxa"/>
          </w:tcPr>
          <w:p w14:paraId="745E39DF" w14:textId="77777777" w:rsidR="00BF18CF" w:rsidRDefault="00E51347">
            <w:r>
              <w:t xml:space="preserve">Antidote. « </w:t>
            </w:r>
            <w:proofErr w:type="gramStart"/>
            <w:r>
              <w:t>actant</w:t>
            </w:r>
            <w:proofErr w:type="gramEnd"/>
            <w:r>
              <w:t xml:space="preserve"> ». Dans </w:t>
            </w:r>
            <w:r>
              <w:rPr>
                <w:i/>
              </w:rPr>
              <w:t>Antidote</w:t>
            </w:r>
            <w:r>
              <w:t>. Montréal, CA-QC: Druide Informatique, 2022.</w:t>
            </w:r>
            <w:hyperlink r:id="rId388">
              <w:r>
                <w:rPr>
                  <w:color w:val="4F81BD"/>
                </w:rPr>
                <w:t xml:space="preserve"> https://antidote.app/dictionnaires/fr/definitions/FRUAgAAAABGUgBDZAAAQ2QAAC0AAACDTm9thmFjdGFudICAgA%3D%3Dd707/RlLvh7cyNTY2N%2B%2BHt05vbQ%3D%3D/RlLvh7cyNTY2N%2B%2BHt05vbe%2BHt2FjdGFudO%2BHt2FjdGFudA%3D%3D</w:t>
              </w:r>
            </w:hyperlink>
            <w:r>
              <w:t>.</w:t>
            </w:r>
          </w:p>
        </w:tc>
      </w:tr>
    </w:tbl>
    <w:p w14:paraId="52FDBA13" w14:textId="77777777" w:rsidR="00BF18CF" w:rsidRDefault="00E51347">
      <w:pPr>
        <w:pStyle w:val="Heading3"/>
      </w:pPr>
      <w:bookmarkStart w:id="176" w:name="bookmark=id.1ljsd9k" w:colFirst="0" w:colLast="0"/>
      <w:bookmarkStart w:id="177" w:name="_Toc144360831"/>
      <w:bookmarkEnd w:id="176"/>
      <w:r>
        <w:t>E41 Appellation</w:t>
      </w:r>
      <w:bookmarkEnd w:id="177"/>
    </w:p>
    <w:tbl>
      <w:tblPr>
        <w:tblStyle w:val="a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26"/>
        <w:gridCol w:w="8964"/>
      </w:tblGrid>
      <w:tr w:rsidR="00BF18CF" w14:paraId="44DCBF5C" w14:textId="77777777" w:rsidTr="00BF18CF">
        <w:tc>
          <w:tcPr>
            <w:tcW w:w="1726" w:type="dxa"/>
          </w:tcPr>
          <w:p w14:paraId="6AD83BAC"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64" w:type="dxa"/>
          </w:tcPr>
          <w:p w14:paraId="04762E59" w14:textId="77777777" w:rsidR="00BF18CF" w:rsidRDefault="00E51347">
            <w:r>
              <w:rPr>
                <w:rFonts w:ascii="Consolas" w:eastAsia="Consolas" w:hAnsi="Consolas" w:cs="Consolas"/>
                <w:sz w:val="22"/>
                <w:szCs w:val="22"/>
                <w:shd w:val="clear" w:color="auto" w:fill="EAEEF3"/>
              </w:rPr>
              <w:t>E90_Objet_symbolique</w:t>
            </w:r>
          </w:p>
        </w:tc>
      </w:tr>
      <w:tr w:rsidR="00BF18CF" w14:paraId="71F75D53" w14:textId="77777777" w:rsidTr="00BF18CF">
        <w:tc>
          <w:tcPr>
            <w:tcW w:w="1726" w:type="dxa"/>
          </w:tcPr>
          <w:p w14:paraId="63A5FAA5"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64" w:type="dxa"/>
          </w:tcPr>
          <w:p w14:paraId="718D7E0E" w14:textId="77777777" w:rsidR="00BF18CF" w:rsidRDefault="00E51347">
            <w:r>
              <w:rPr>
                <w:rFonts w:ascii="Consolas" w:eastAsia="Consolas" w:hAnsi="Consolas" w:cs="Consolas"/>
                <w:sz w:val="22"/>
                <w:szCs w:val="22"/>
                <w:shd w:val="clear" w:color="auto" w:fill="EAEEF3"/>
              </w:rPr>
              <w:t>E35_Titre</w:t>
            </w:r>
          </w:p>
          <w:p w14:paraId="5C29D16D" w14:textId="77777777" w:rsidR="00BF18CF" w:rsidRDefault="00E51347">
            <w:r>
              <w:rPr>
                <w:rFonts w:ascii="Consolas" w:eastAsia="Consolas" w:hAnsi="Consolas" w:cs="Consolas"/>
                <w:sz w:val="22"/>
                <w:szCs w:val="22"/>
                <w:shd w:val="clear" w:color="auto" w:fill="EAEEF3"/>
              </w:rPr>
              <w:t>E42_Identifiant</w:t>
            </w:r>
          </w:p>
          <w:p w14:paraId="4B5423A1" w14:textId="77777777" w:rsidR="00BF18CF" w:rsidRDefault="00E51347">
            <w:r>
              <w:rPr>
                <w:rFonts w:ascii="Consolas" w:eastAsia="Consolas" w:hAnsi="Consolas" w:cs="Consolas"/>
                <w:sz w:val="22"/>
                <w:szCs w:val="22"/>
                <w:shd w:val="clear" w:color="auto" w:fill="EAEEF3"/>
              </w:rPr>
              <w:t>E61_Primitive_temporelle</w:t>
            </w:r>
          </w:p>
          <w:p w14:paraId="75E7B9F1" w14:textId="77777777" w:rsidR="00BF18CF" w:rsidRDefault="00E51347">
            <w:r>
              <w:rPr>
                <w:rFonts w:ascii="Consolas" w:eastAsia="Consolas" w:hAnsi="Consolas" w:cs="Consolas"/>
                <w:sz w:val="22"/>
                <w:szCs w:val="22"/>
                <w:shd w:val="clear" w:color="auto" w:fill="EAEEF3"/>
              </w:rPr>
              <w:t>E94_Primitive_spatiale</w:t>
            </w:r>
          </w:p>
          <w:p w14:paraId="55D54650" w14:textId="77777777" w:rsidR="00BF18CF" w:rsidRDefault="00E51347">
            <w:r>
              <w:rPr>
                <w:rFonts w:ascii="Consolas" w:eastAsia="Consolas" w:hAnsi="Consolas" w:cs="Consolas"/>
                <w:sz w:val="22"/>
                <w:szCs w:val="22"/>
                <w:shd w:val="clear" w:color="auto" w:fill="EAEEF3"/>
              </w:rPr>
              <w:t>E95_Primitive_spatio-temporelle</w:t>
            </w:r>
          </w:p>
        </w:tc>
      </w:tr>
      <w:tr w:rsidR="00BF18CF" w14:paraId="304BA3CC" w14:textId="77777777" w:rsidTr="00BF18CF">
        <w:tc>
          <w:tcPr>
            <w:tcW w:w="1726" w:type="dxa"/>
          </w:tcPr>
          <w:p w14:paraId="39C4396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64" w:type="dxa"/>
          </w:tcPr>
          <w:p w14:paraId="37DC099A" w14:textId="77777777" w:rsidR="00BF18CF" w:rsidRDefault="00E51347">
            <w:r>
              <w:t>Cette classe comprend les signes, qu’ils soient porteurs ou non de sens, ou les arrangements de signes qui suivent une syntaxe particulière et qui sont ou peuvent être utilisés pour désigner et identifier une instance spécifique d’une classe ou d’une catégorie dans un contexte donné.</w:t>
            </w:r>
          </w:p>
          <w:p w14:paraId="0F692E38" w14:textId="77777777" w:rsidR="00BF18CF" w:rsidRDefault="00E51347">
            <w:r>
              <w:t xml:space="preserve">Les instances de </w:t>
            </w:r>
            <w:r>
              <w:rPr>
                <w:rFonts w:ascii="Consolas" w:eastAsia="Consolas" w:hAnsi="Consolas" w:cs="Consolas"/>
                <w:sz w:val="22"/>
                <w:szCs w:val="22"/>
                <w:shd w:val="clear" w:color="auto" w:fill="EAEEF3"/>
              </w:rPr>
              <w:t>E41_Appellation</w:t>
            </w:r>
            <w:r>
              <w:t xml:space="preserve"> n’identifient pas les choses par leur sens, même si elles en ont un, mais plutôt par convention, tradition ou accord. Les instances de </w:t>
            </w:r>
            <w:r>
              <w:rPr>
                <w:rFonts w:ascii="Consolas" w:eastAsia="Consolas" w:hAnsi="Consolas" w:cs="Consolas"/>
                <w:sz w:val="22"/>
                <w:szCs w:val="22"/>
                <w:shd w:val="clear" w:color="auto" w:fill="EAEEF3"/>
              </w:rPr>
              <w:t>E41_Appellation</w:t>
            </w:r>
            <w:r>
              <w:t xml:space="preserve"> sont des constructions culturelles. Comme telles, elles possèdent un contexte, une histoire et un usage dans le temps et dans l’espace par un groupe d’utilisateurs. Une instance donnée de </w:t>
            </w:r>
            <w:r>
              <w:rPr>
                <w:rFonts w:ascii="Consolas" w:eastAsia="Consolas" w:hAnsi="Consolas" w:cs="Consolas"/>
                <w:sz w:val="22"/>
                <w:szCs w:val="22"/>
                <w:shd w:val="clear" w:color="auto" w:fill="EAEEF3"/>
              </w:rPr>
              <w:t>E41_Appellation</w:t>
            </w:r>
            <w:r>
              <w:t xml:space="preserve"> peut avoir des formes alternatives, c.-à-d. d’autres instances de </w:t>
            </w:r>
            <w:r>
              <w:rPr>
                <w:rFonts w:ascii="Consolas" w:eastAsia="Consolas" w:hAnsi="Consolas" w:cs="Consolas"/>
                <w:sz w:val="22"/>
                <w:szCs w:val="22"/>
                <w:shd w:val="clear" w:color="auto" w:fill="EAEEF3"/>
              </w:rPr>
              <w:t>E41_Appellation</w:t>
            </w:r>
            <w:r>
              <w:t xml:space="preserve"> qui sont toujours considérées comme équivalentes indépendamment de la chose qu’elle dénote.</w:t>
            </w:r>
          </w:p>
          <w:p w14:paraId="511EC294" w14:textId="77777777" w:rsidR="00BF18CF" w:rsidRDefault="00E51347">
            <w:r>
              <w:t>Différentes langues peuvent employer différentes appellations pour référer à la même chose. [</w:t>
            </w:r>
            <w:proofErr w:type="gramStart"/>
            <w:r>
              <w:t>n.d.t.</w:t>
            </w:r>
            <w:proofErr w:type="gramEnd"/>
            <w:r>
              <w:t xml:space="preserve"> C’est le cas pour] le nom des grandes villes. Certaines appellations peuvent être formulées à l'aide d'un syntagme nominal valide dans une langue particulière. Dans ces cas, les instances de </w:t>
            </w:r>
            <w:r>
              <w:rPr>
                <w:rFonts w:ascii="Consolas" w:eastAsia="Consolas" w:hAnsi="Consolas" w:cs="Consolas"/>
                <w:sz w:val="22"/>
                <w:szCs w:val="22"/>
                <w:shd w:val="clear" w:color="auto" w:fill="EAEEF3"/>
              </w:rPr>
              <w:t>E41_Appellation</w:t>
            </w:r>
            <w:r>
              <w:t xml:space="preserve"> doivent également être déclarées comme des instances de </w:t>
            </w:r>
            <w:r>
              <w:rPr>
                <w:rFonts w:ascii="Consolas" w:eastAsia="Consolas" w:hAnsi="Consolas" w:cs="Consolas"/>
                <w:sz w:val="22"/>
                <w:szCs w:val="22"/>
                <w:shd w:val="clear" w:color="auto" w:fill="EAEEF3"/>
              </w:rPr>
              <w:t>E33_Objet_linguistique</w:t>
            </w:r>
            <w:r>
              <w:t xml:space="preserve">. Ensuite, la langue utilisant l’appellation peut être déclarée avec la propriété </w:t>
            </w:r>
            <w:r>
              <w:rPr>
                <w:rFonts w:ascii="Consolas" w:eastAsia="Consolas" w:hAnsi="Consolas" w:cs="Consolas"/>
                <w:sz w:val="22"/>
                <w:szCs w:val="22"/>
                <w:shd w:val="clear" w:color="auto" w:fill="EAEEF3"/>
              </w:rPr>
              <w:t>P72_a_pour_langue (est_la_langue_de)</w:t>
            </w:r>
            <w:r>
              <w:t xml:space="preserve">: </w:t>
            </w:r>
            <w:r>
              <w:rPr>
                <w:rFonts w:ascii="Consolas" w:eastAsia="Consolas" w:hAnsi="Consolas" w:cs="Consolas"/>
                <w:sz w:val="22"/>
                <w:szCs w:val="22"/>
                <w:shd w:val="clear" w:color="auto" w:fill="EAEEF3"/>
              </w:rPr>
              <w:t>E56_Langue</w:t>
            </w:r>
            <w:r>
              <w:t>.</w:t>
            </w:r>
          </w:p>
          <w:p w14:paraId="241B965D" w14:textId="77777777" w:rsidR="00BF18CF" w:rsidRDefault="00E51347">
            <w:r>
              <w:t xml:space="preserve">Les instances de </w:t>
            </w:r>
            <w:r>
              <w:rPr>
                <w:rFonts w:ascii="Consolas" w:eastAsia="Consolas" w:hAnsi="Consolas" w:cs="Consolas"/>
                <w:sz w:val="22"/>
                <w:szCs w:val="22"/>
                <w:shd w:val="clear" w:color="auto" w:fill="EAEEF3"/>
              </w:rPr>
              <w:t>E41_Appellation</w:t>
            </w:r>
            <w:r>
              <w:t xml:space="preserve"> peuvent être utilisées pour identifier toute instance de </w:t>
            </w:r>
            <w:r>
              <w:rPr>
                <w:rFonts w:ascii="Consolas" w:eastAsia="Consolas" w:hAnsi="Consolas" w:cs="Consolas"/>
                <w:sz w:val="22"/>
                <w:szCs w:val="22"/>
                <w:shd w:val="clear" w:color="auto" w:fill="EAEEF3"/>
              </w:rPr>
              <w:t>E1_Entité_CRM</w:t>
            </w:r>
            <w:r>
              <w:t xml:space="preserve">. Elles sont parfois caractéristiques des instances de certaines sous-classes plus spécifiques de </w:t>
            </w:r>
            <w:r>
              <w:rPr>
                <w:rFonts w:ascii="Consolas" w:eastAsia="Consolas" w:hAnsi="Consolas" w:cs="Consolas"/>
                <w:sz w:val="22"/>
                <w:szCs w:val="22"/>
                <w:shd w:val="clear" w:color="auto" w:fill="EAEEF3"/>
              </w:rPr>
              <w:t>E1_Entité_CRM</w:t>
            </w:r>
            <w:r>
              <w:t xml:space="preserve">. C’est le cas des instances de </w:t>
            </w:r>
            <w:r>
              <w:rPr>
                <w:rFonts w:ascii="Consolas" w:eastAsia="Consolas" w:hAnsi="Consolas" w:cs="Consolas"/>
                <w:sz w:val="22"/>
                <w:szCs w:val="22"/>
                <w:shd w:val="clear" w:color="auto" w:fill="EAEEF3"/>
              </w:rPr>
              <w:t>E52_Intervalle_temporel</w:t>
            </w:r>
            <w:r>
              <w:t xml:space="preserve"> (par exemple « dates »), </w:t>
            </w:r>
            <w:r>
              <w:rPr>
                <w:rFonts w:ascii="Consolas" w:eastAsia="Consolas" w:hAnsi="Consolas" w:cs="Consolas"/>
                <w:sz w:val="22"/>
                <w:szCs w:val="22"/>
                <w:shd w:val="clear" w:color="auto" w:fill="EAEEF3"/>
              </w:rPr>
              <w:t>E39_Actant</w:t>
            </w:r>
            <w:r>
              <w:t xml:space="preserve">, </w:t>
            </w:r>
            <w:r>
              <w:rPr>
                <w:rFonts w:ascii="Consolas" w:eastAsia="Consolas" w:hAnsi="Consolas" w:cs="Consolas"/>
                <w:sz w:val="22"/>
                <w:szCs w:val="22"/>
                <w:shd w:val="clear" w:color="auto" w:fill="EAEEF3"/>
              </w:rPr>
              <w:t>E53_Lieu</w:t>
            </w:r>
            <w:r>
              <w:t xml:space="preserve"> ou </w:t>
            </w:r>
            <w:r>
              <w:rPr>
                <w:rFonts w:ascii="Consolas" w:eastAsia="Consolas" w:hAnsi="Consolas" w:cs="Consolas"/>
                <w:sz w:val="22"/>
                <w:szCs w:val="22"/>
                <w:shd w:val="clear" w:color="auto" w:fill="EAEEF3"/>
              </w:rPr>
              <w:t>E28_Objet_conceptuel</w:t>
            </w:r>
            <w:r>
              <w:t>. Les adresses postales et les adresses courriel sont des exemples caractéristiques d’identifiants utilisés par des services acheminant des choses entre des clients.</w:t>
            </w:r>
          </w:p>
          <w:p w14:paraId="51642528" w14:textId="77777777" w:rsidR="00BF18CF" w:rsidRDefault="00E51347">
            <w:r>
              <w:lastRenderedPageBreak/>
              <w:t xml:space="preserve">Même les identifiants exprimés numériquement pour désigner des étendues spatiales ou temporelles, telles que les dates du calendrier grégorien ou les coordonnées spatiales, sont considérés comme des instances de </w:t>
            </w:r>
            <w:r>
              <w:rPr>
                <w:rFonts w:ascii="Consolas" w:eastAsia="Consolas" w:hAnsi="Consolas" w:cs="Consolas"/>
                <w:sz w:val="22"/>
                <w:szCs w:val="22"/>
                <w:shd w:val="clear" w:color="auto" w:fill="EAEEF3"/>
              </w:rPr>
              <w:t>E41_Appellation</w:t>
            </w:r>
            <w:r>
              <w:t xml:space="preserve">, et ce, même s'ils permettent de déterminer un temps ou un lieu par une procédure connue à partir d'un point de référence, jouant ainsi un double rôle comme instance de </w:t>
            </w:r>
            <w:r>
              <w:rPr>
                <w:rFonts w:ascii="Consolas" w:eastAsia="Consolas" w:hAnsi="Consolas" w:cs="Consolas"/>
                <w:sz w:val="22"/>
                <w:szCs w:val="22"/>
                <w:shd w:val="clear" w:color="auto" w:fill="EAEEF3"/>
              </w:rPr>
              <w:t>E41_Appellation et</w:t>
            </w:r>
            <w:r>
              <w:t xml:space="preserve"> </w:t>
            </w:r>
            <w:r>
              <w:rPr>
                <w:rFonts w:ascii="Consolas" w:eastAsia="Consolas" w:hAnsi="Consolas" w:cs="Consolas"/>
                <w:sz w:val="22"/>
                <w:szCs w:val="22"/>
                <w:shd w:val="clear" w:color="auto" w:fill="EAEEF3"/>
              </w:rPr>
              <w:t>E59_Valeur_primitive</w:t>
            </w:r>
            <w:r>
              <w:t>.</w:t>
            </w:r>
          </w:p>
          <w:p w14:paraId="09F2524A" w14:textId="77777777" w:rsidR="00BF18CF" w:rsidRDefault="00E51347">
            <w:r>
              <w:t xml:space="preserve">Les instances de </w:t>
            </w:r>
            <w:r>
              <w:rPr>
                <w:rFonts w:ascii="Consolas" w:eastAsia="Consolas" w:hAnsi="Consolas" w:cs="Consolas"/>
                <w:sz w:val="22"/>
                <w:szCs w:val="22"/>
                <w:shd w:val="clear" w:color="auto" w:fill="EAEEF3"/>
              </w:rPr>
              <w:t>E41_Appellation</w:t>
            </w:r>
            <w:r>
              <w:t xml:space="preserve"> ne doivent pas être confondues avec l’acte de nommer quelque chose. Se reporter à </w:t>
            </w:r>
            <w:r>
              <w:rPr>
                <w:rFonts w:ascii="Consolas" w:eastAsia="Consolas" w:hAnsi="Consolas" w:cs="Consolas"/>
                <w:sz w:val="22"/>
                <w:szCs w:val="22"/>
                <w:shd w:val="clear" w:color="auto" w:fill="EAEEF3"/>
              </w:rPr>
              <w:t>E15_Assignation_d'identifiant</w:t>
            </w:r>
            <w:r>
              <w:t>.</w:t>
            </w:r>
          </w:p>
        </w:tc>
      </w:tr>
      <w:tr w:rsidR="00BF18CF" w14:paraId="50922587" w14:textId="77777777" w:rsidTr="00BF18CF">
        <w:tc>
          <w:tcPr>
            <w:tcW w:w="1726" w:type="dxa"/>
          </w:tcPr>
          <w:p w14:paraId="60D78473"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64" w:type="dxa"/>
          </w:tcPr>
          <w:p w14:paraId="47012A96" w14:textId="77777777" w:rsidR="00BF18CF" w:rsidRDefault="00E51347">
            <w:pPr>
              <w:numPr>
                <w:ilvl w:val="0"/>
                <w:numId w:val="19"/>
              </w:numPr>
            </w:pPr>
            <w:r>
              <w:t>« Martin »</w:t>
            </w:r>
          </w:p>
          <w:p w14:paraId="12CB8B2C" w14:textId="77777777" w:rsidR="00BF18CF" w:rsidRDefault="00E51347">
            <w:pPr>
              <w:numPr>
                <w:ilvl w:val="0"/>
                <w:numId w:val="19"/>
              </w:numPr>
            </w:pPr>
            <w:r>
              <w:t>« Aquae Sulis Minerva »</w:t>
            </w:r>
          </w:p>
          <w:p w14:paraId="25A6BFD2" w14:textId="77777777" w:rsidR="00BF18CF" w:rsidRDefault="00E51347">
            <w:pPr>
              <w:numPr>
                <w:ilvl w:val="0"/>
                <w:numId w:val="19"/>
              </w:numPr>
            </w:pPr>
            <w:r>
              <w:t>« Le Marchand de Venise » (</w:t>
            </w:r>
            <w:r>
              <w:rPr>
                <w:rFonts w:ascii="Consolas" w:eastAsia="Consolas" w:hAnsi="Consolas" w:cs="Consolas"/>
                <w:sz w:val="22"/>
                <w:szCs w:val="22"/>
                <w:shd w:val="clear" w:color="auto" w:fill="EAEEF3"/>
              </w:rPr>
              <w:t>E35_Titre</w:t>
            </w:r>
            <w:r>
              <w:t>) (McCullough, 2005)</w:t>
            </w:r>
          </w:p>
          <w:p w14:paraId="0919B4E8" w14:textId="77777777" w:rsidR="00BF18CF" w:rsidRDefault="00E51347">
            <w:pPr>
              <w:numPr>
                <w:ilvl w:val="0"/>
                <w:numId w:val="19"/>
              </w:numPr>
            </w:pPr>
            <w:r>
              <w:t>« Spigelia marilandica (L.) L. » [pas l’espèce, juste son nom] (Hershberger, Jenkins et Robacker, 2015)</w:t>
            </w:r>
          </w:p>
          <w:p w14:paraId="3A3DE50C" w14:textId="77777777" w:rsidR="00BF18CF" w:rsidRDefault="00E51347">
            <w:pPr>
              <w:numPr>
                <w:ilvl w:val="0"/>
                <w:numId w:val="19"/>
              </w:numPr>
            </w:pPr>
            <w:r>
              <w:t>« Science de l’information » [pas la science elle-même, mais le nom par lequel on s’y réfère dans un contexte francophone]</w:t>
            </w:r>
          </w:p>
          <w:p w14:paraId="7388E31C" w14:textId="77777777" w:rsidR="00BF18CF" w:rsidRDefault="00E51347">
            <w:pPr>
              <w:numPr>
                <w:ilvl w:val="0"/>
                <w:numId w:val="19"/>
              </w:numPr>
            </w:pPr>
            <w:r>
              <w:t xml:space="preserve">« </w:t>
            </w:r>
            <w:proofErr w:type="gramStart"/>
            <w:r>
              <w:rPr>
                <w:rFonts w:ascii="MS Mincho" w:eastAsia="MS Mincho" w:hAnsi="MS Mincho" w:cs="MS Mincho"/>
              </w:rPr>
              <w:t>安</w:t>
            </w:r>
            <w:proofErr w:type="gramEnd"/>
            <w:r>
              <w:t xml:space="preserve"> » [[n.d.t. Sinogramme et kanji] chinois. [</w:t>
            </w:r>
            <w:proofErr w:type="gramStart"/>
            <w:r>
              <w:t>n.d.t.</w:t>
            </w:r>
            <w:proofErr w:type="gramEnd"/>
            <w:r>
              <w:t xml:space="preserve"> En transcription hanyu pinyin], « An » veut dire « paix »]</w:t>
            </w:r>
            <w:r>
              <w:rPr>
                <w:vertAlign w:val="superscript"/>
              </w:rPr>
              <w:t>1</w:t>
            </w:r>
          </w:p>
          <w:p w14:paraId="657D9CA2" w14:textId="77777777" w:rsidR="00BF18CF" w:rsidRDefault="00E51347">
            <w:pPr>
              <w:numPr>
                <w:ilvl w:val="0"/>
                <w:numId w:val="19"/>
              </w:numPr>
            </w:pPr>
            <w:r>
              <w:t>« 6°5’29”N 45°12’13”O » (exemple de coordonnées géographiques)</w:t>
            </w:r>
          </w:p>
          <w:p w14:paraId="1EEEEF9C" w14:textId="77777777" w:rsidR="00BF18CF" w:rsidRDefault="00E51347">
            <w:pPr>
              <w:numPr>
                <w:ilvl w:val="0"/>
                <w:numId w:val="19"/>
              </w:numPr>
            </w:pPr>
            <w:r>
              <w:t>« Le fou de la reine noire en g4 » [coordonnées aux échecs] (exemple de coordonnée spatiale)</w:t>
            </w:r>
          </w:p>
          <w:p w14:paraId="4F6AF7B5" w14:textId="77777777" w:rsidR="00BF18CF" w:rsidRDefault="00E51347">
            <w:pPr>
              <w:numPr>
                <w:ilvl w:val="0"/>
                <w:numId w:val="19"/>
              </w:numPr>
            </w:pPr>
            <w:r>
              <w:t>« 19-MAR-1922 » (exemple de date)</w:t>
            </w:r>
          </w:p>
          <w:p w14:paraId="55ADB1E5" w14:textId="77777777" w:rsidR="00BF18CF" w:rsidRDefault="00E51347">
            <w:pPr>
              <w:numPr>
                <w:ilvl w:val="0"/>
                <w:numId w:val="19"/>
              </w:numPr>
            </w:pPr>
            <w:r>
              <w:t>« +41 22 418 5571 » (exemple de point de contact)</w:t>
            </w:r>
          </w:p>
          <w:p w14:paraId="038E818D" w14:textId="77777777" w:rsidR="00BF18CF" w:rsidRDefault="00E51347">
            <w:pPr>
              <w:numPr>
                <w:ilvl w:val="0"/>
                <w:numId w:val="19"/>
              </w:numPr>
            </w:pPr>
            <w:r>
              <w:t xml:space="preserve">« </w:t>
            </w:r>
            <w:proofErr w:type="gramStart"/>
            <w:r>
              <w:t>weasel@paveprime.com</w:t>
            </w:r>
            <w:proofErr w:type="gramEnd"/>
            <w:r>
              <w:t xml:space="preserve"> » (exemple de point de contact)</w:t>
            </w:r>
          </w:p>
          <w:p w14:paraId="0D0CAC28" w14:textId="77777777" w:rsidR="00BF18CF" w:rsidRDefault="00E51347">
            <w:pPr>
              <w:numPr>
                <w:ilvl w:val="0"/>
                <w:numId w:val="19"/>
              </w:numPr>
            </w:pPr>
            <w:r>
              <w:t>« CH-1211, Genève » (exemple d’appellation de lieu)</w:t>
            </w:r>
          </w:p>
          <w:p w14:paraId="3A353B45" w14:textId="77777777" w:rsidR="00BF18CF" w:rsidRDefault="00E51347">
            <w:pPr>
              <w:numPr>
                <w:ilvl w:val="0"/>
                <w:numId w:val="19"/>
              </w:numPr>
            </w:pPr>
            <w:r>
              <w:t>« 1-29-3 Otsuka, Bunkyo-ku, Tokyo, 121, Japan » (exemple d’adresse)</w:t>
            </w:r>
          </w:p>
          <w:p w14:paraId="272F9D82" w14:textId="77777777" w:rsidR="00BF18CF" w:rsidRDefault="00E51347">
            <w:pPr>
              <w:numPr>
                <w:ilvl w:val="0"/>
                <w:numId w:val="19"/>
              </w:numPr>
            </w:pPr>
            <w:r>
              <w:t xml:space="preserve">« </w:t>
            </w:r>
            <w:proofErr w:type="gramStart"/>
            <w:r>
              <w:t>la</w:t>
            </w:r>
            <w:proofErr w:type="gramEnd"/>
            <w:r>
              <w:t xml:space="preserve"> dunette du HMS Victory » (exemple de définition d’une section)</w:t>
            </w:r>
          </w:p>
          <w:p w14:paraId="68BA5D17" w14:textId="77777777" w:rsidR="00BF18CF" w:rsidRDefault="00E51347">
            <w:pPr>
              <w:numPr>
                <w:ilvl w:val="0"/>
                <w:numId w:val="19"/>
              </w:numPr>
            </w:pPr>
            <w:r>
              <w:t xml:space="preserve">« </w:t>
            </w:r>
            <w:proofErr w:type="gramStart"/>
            <w:r>
              <w:t>la</w:t>
            </w:r>
            <w:proofErr w:type="gramEnd"/>
            <w:r>
              <w:t xml:space="preserve"> fesse gauche de la Vénus de Milo » (exemple de définition d’une section)</w:t>
            </w:r>
          </w:p>
        </w:tc>
      </w:tr>
      <w:tr w:rsidR="00BF18CF" w14:paraId="28C901C8" w14:textId="77777777" w:rsidTr="00BF18CF">
        <w:tc>
          <w:tcPr>
            <w:tcW w:w="1726" w:type="dxa"/>
          </w:tcPr>
          <w:p w14:paraId="11B694A5"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64" w:type="dxa"/>
          </w:tcPr>
          <w:p w14:paraId="2471474C" w14:textId="77777777" w:rsidR="00BF18CF" w:rsidRDefault="00E51347">
            <w:r>
              <w:t>E41(x) ⇒ E90(x)</w:t>
            </w:r>
          </w:p>
        </w:tc>
      </w:tr>
      <w:tr w:rsidR="00BF18CF" w14:paraId="10CF99D2" w14:textId="77777777" w:rsidTr="00BF18CF">
        <w:tc>
          <w:tcPr>
            <w:tcW w:w="1726" w:type="dxa"/>
          </w:tcPr>
          <w:p w14:paraId="425620F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64" w:type="dxa"/>
          </w:tcPr>
          <w:p w14:paraId="7D3B45E5" w14:textId="77777777" w:rsidR="00BF18CF" w:rsidRDefault="00E51347">
            <w:r>
              <w:rPr>
                <w:rFonts w:ascii="Consolas" w:eastAsia="Consolas" w:hAnsi="Consolas" w:cs="Consolas"/>
                <w:sz w:val="22"/>
                <w:szCs w:val="22"/>
                <w:shd w:val="clear" w:color="auto" w:fill="EAEEF3"/>
              </w:rPr>
              <w:t>P139_a_pour_forme_alternative</w:t>
            </w:r>
            <w:r>
              <w:t xml:space="preserve"> : </w:t>
            </w:r>
            <w:r>
              <w:rPr>
                <w:rFonts w:ascii="Consolas" w:eastAsia="Consolas" w:hAnsi="Consolas" w:cs="Consolas"/>
                <w:sz w:val="22"/>
                <w:szCs w:val="22"/>
                <w:shd w:val="clear" w:color="auto" w:fill="EAEEF3"/>
              </w:rPr>
              <w:t>E41_Appellation</w:t>
            </w:r>
          </w:p>
          <w:p w14:paraId="65F55BCC" w14:textId="77777777" w:rsidR="00BF18CF" w:rsidRDefault="00E51347">
            <w:r>
              <w:t>(</w:t>
            </w:r>
            <w:r>
              <w:rPr>
                <w:rFonts w:ascii="Consolas" w:eastAsia="Consolas" w:hAnsi="Consolas" w:cs="Consolas"/>
                <w:sz w:val="22"/>
                <w:szCs w:val="22"/>
                <w:shd w:val="clear" w:color="auto" w:fill="EAEEF3"/>
              </w:rPr>
              <w:t>P139.1_a_pour_type</w:t>
            </w:r>
            <w:r>
              <w:t xml:space="preserve"> : </w:t>
            </w:r>
            <w:r>
              <w:rPr>
                <w:rFonts w:ascii="Consolas" w:eastAsia="Consolas" w:hAnsi="Consolas" w:cs="Consolas"/>
                <w:sz w:val="22"/>
                <w:szCs w:val="22"/>
                <w:shd w:val="clear" w:color="auto" w:fill="EAEEF3"/>
              </w:rPr>
              <w:t>E55_Type</w:t>
            </w:r>
            <w:r>
              <w:t>)</w:t>
            </w:r>
          </w:p>
        </w:tc>
      </w:tr>
      <w:tr w:rsidR="00BF18CF" w14:paraId="4B628DE3" w14:textId="77777777" w:rsidTr="00BF18CF">
        <w:tc>
          <w:tcPr>
            <w:tcW w:w="1726" w:type="dxa"/>
          </w:tcPr>
          <w:p w14:paraId="074CD8AC" w14:textId="7B8B00B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64" w:type="dxa"/>
          </w:tcPr>
          <w:p w14:paraId="2A20E79F" w14:textId="77777777" w:rsidR="00BF18CF" w:rsidRDefault="00BF18CF">
            <w:pPr>
              <w:pBdr>
                <w:top w:val="nil"/>
                <w:left w:val="nil"/>
                <w:bottom w:val="nil"/>
                <w:right w:val="nil"/>
                <w:between w:val="nil"/>
              </w:pBdr>
              <w:spacing w:before="36" w:after="36"/>
              <w:rPr>
                <w:color w:val="000000"/>
              </w:rPr>
            </w:pPr>
          </w:p>
        </w:tc>
      </w:tr>
      <w:tr w:rsidR="00BF18CF" w:rsidRPr="00103833" w14:paraId="7D9FB99C" w14:textId="77777777" w:rsidTr="00BF18CF">
        <w:tc>
          <w:tcPr>
            <w:tcW w:w="1726" w:type="dxa"/>
          </w:tcPr>
          <w:p w14:paraId="1EEA101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64" w:type="dxa"/>
          </w:tcPr>
          <w:p w14:paraId="1478E96D" w14:textId="77777777" w:rsidR="00BF18CF" w:rsidRPr="00EE61A5" w:rsidRDefault="00E51347">
            <w:pPr>
              <w:rPr>
                <w:lang w:val="en-CA"/>
              </w:rPr>
            </w:pPr>
            <w:r w:rsidRPr="00EE61A5">
              <w:rPr>
                <w:lang w:val="en-CA"/>
              </w:rPr>
              <w:t xml:space="preserve">Wikipédia. « </w:t>
            </w:r>
            <w:r>
              <w:rPr>
                <w:rFonts w:ascii="MS Mincho" w:eastAsia="MS Mincho" w:hAnsi="MS Mincho" w:cs="MS Mincho"/>
              </w:rPr>
              <w:t>安</w:t>
            </w:r>
            <w:r w:rsidRPr="00EE61A5">
              <w:rPr>
                <w:lang w:val="en-CA"/>
              </w:rPr>
              <w:t xml:space="preserve"> ». Dans </w:t>
            </w:r>
            <w:r w:rsidRPr="00EE61A5">
              <w:rPr>
                <w:i/>
                <w:lang w:val="en-CA"/>
              </w:rPr>
              <w:t>Wikipédia</w:t>
            </w:r>
            <w:r w:rsidRPr="00EE61A5">
              <w:rPr>
                <w:lang w:val="en-CA"/>
              </w:rPr>
              <w:t>. San Francisco, US-CA: Wikipédia, 21 octobre 2020.</w:t>
            </w:r>
            <w:hyperlink r:id="rId389">
              <w:r w:rsidRPr="00EE61A5">
                <w:rPr>
                  <w:color w:val="4F81BD"/>
                  <w:lang w:val="en-CA"/>
                </w:rPr>
                <w:t xml:space="preserve"> https://fr.wikipedia.org/w/index.php?title=%E5%AE%89</w:t>
              </w:r>
            </w:hyperlink>
            <w:r w:rsidRPr="00EE61A5">
              <w:rPr>
                <w:lang w:val="en-CA"/>
              </w:rPr>
              <w:t>.</w:t>
            </w:r>
          </w:p>
        </w:tc>
      </w:tr>
    </w:tbl>
    <w:p w14:paraId="73A08CA8" w14:textId="77777777" w:rsidR="00BF18CF" w:rsidRDefault="00E51347">
      <w:pPr>
        <w:pStyle w:val="Heading3"/>
      </w:pPr>
      <w:bookmarkStart w:id="178" w:name="bookmark=id.45jfvxd" w:colFirst="0" w:colLast="0"/>
      <w:bookmarkStart w:id="179" w:name="_Toc144360832"/>
      <w:bookmarkEnd w:id="178"/>
      <w:r>
        <w:lastRenderedPageBreak/>
        <w:t>E42 Identifiant</w:t>
      </w:r>
      <w:bookmarkEnd w:id="179"/>
    </w:p>
    <w:tbl>
      <w:tblPr>
        <w:tblStyle w:val="a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76"/>
        <w:gridCol w:w="8914"/>
      </w:tblGrid>
      <w:tr w:rsidR="00BF18CF" w14:paraId="7F5F7FFA" w14:textId="77777777" w:rsidTr="00BF18CF">
        <w:tc>
          <w:tcPr>
            <w:tcW w:w="1776" w:type="dxa"/>
          </w:tcPr>
          <w:p w14:paraId="7140F3F4"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14" w:type="dxa"/>
          </w:tcPr>
          <w:p w14:paraId="63DBB945" w14:textId="77777777" w:rsidR="00BF18CF" w:rsidRDefault="00E51347">
            <w:r>
              <w:rPr>
                <w:rFonts w:ascii="Consolas" w:eastAsia="Consolas" w:hAnsi="Consolas" w:cs="Consolas"/>
                <w:sz w:val="22"/>
                <w:szCs w:val="22"/>
                <w:shd w:val="clear" w:color="auto" w:fill="EAEEF3"/>
              </w:rPr>
              <w:t>E41_Appellation</w:t>
            </w:r>
          </w:p>
        </w:tc>
      </w:tr>
      <w:tr w:rsidR="00BF18CF" w14:paraId="34A23F70" w14:textId="77777777" w:rsidTr="00BF18CF">
        <w:tc>
          <w:tcPr>
            <w:tcW w:w="1776" w:type="dxa"/>
          </w:tcPr>
          <w:p w14:paraId="0DBD99F3"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14" w:type="dxa"/>
          </w:tcPr>
          <w:p w14:paraId="3DC7CA22" w14:textId="77777777" w:rsidR="00BF18CF" w:rsidRDefault="00BF18CF">
            <w:pPr>
              <w:pBdr>
                <w:top w:val="nil"/>
                <w:left w:val="nil"/>
                <w:bottom w:val="nil"/>
                <w:right w:val="nil"/>
                <w:between w:val="nil"/>
              </w:pBdr>
              <w:spacing w:before="36" w:after="36"/>
              <w:rPr>
                <w:color w:val="000000"/>
              </w:rPr>
            </w:pPr>
          </w:p>
        </w:tc>
      </w:tr>
      <w:tr w:rsidR="00BF18CF" w14:paraId="7351B890" w14:textId="77777777" w:rsidTr="00BF18CF">
        <w:tc>
          <w:tcPr>
            <w:tcW w:w="1776" w:type="dxa"/>
          </w:tcPr>
          <w:p w14:paraId="4F68714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14" w:type="dxa"/>
          </w:tcPr>
          <w:p w14:paraId="74CF40A1" w14:textId="77777777" w:rsidR="00BF18CF" w:rsidRDefault="00E51347">
            <w:r>
              <w:t xml:space="preserve">Cette classe comprend des chaînes de caractères ou des codes assignés à des instances de </w:t>
            </w:r>
            <w:r>
              <w:rPr>
                <w:rFonts w:ascii="Consolas" w:eastAsia="Consolas" w:hAnsi="Consolas" w:cs="Consolas"/>
                <w:sz w:val="22"/>
                <w:szCs w:val="22"/>
                <w:shd w:val="clear" w:color="auto" w:fill="EAEEF3"/>
              </w:rPr>
              <w:t>E1_Entité_CRM</w:t>
            </w:r>
            <w:r>
              <w:t xml:space="preserve"> afin de les identifier de manière unique et pérenne dans le contexte d’une ou de plusieurs organisations. Ces codes sont souvent appelés numéros d’inventaire, codes d’enregistrement, etc. et sont typiquement composés de séquences alphanumériques. Les adresses postales, les numéros de téléphone, les URL et les adresses courriel sont des exemples caractéristiques d’identifiants utilisés par des services acheminant des choses entre des clients.</w:t>
            </w:r>
          </w:p>
          <w:p w14:paraId="4DEF6064" w14:textId="77777777" w:rsidR="00BF18CF" w:rsidRDefault="00E51347">
            <w:r>
              <w:t xml:space="preserve">La classe </w:t>
            </w:r>
            <w:r>
              <w:rPr>
                <w:rFonts w:ascii="Consolas" w:eastAsia="Consolas" w:hAnsi="Consolas" w:cs="Consolas"/>
                <w:sz w:val="22"/>
                <w:szCs w:val="22"/>
                <w:shd w:val="clear" w:color="auto" w:fill="EAEEF3"/>
              </w:rPr>
              <w:t>E42_Identifiant</w:t>
            </w:r>
            <w:r>
              <w:t xml:space="preserve"> n’est normalement pas utilisée pour représenter des identifiants générés par la machine et utilisés pour le traitement automatisé, sauf si ceux-ci sont aussi utilisés par des agents humains.</w:t>
            </w:r>
          </w:p>
        </w:tc>
      </w:tr>
      <w:tr w:rsidR="00BF18CF" w14:paraId="49B766C6" w14:textId="77777777" w:rsidTr="00BF18CF">
        <w:tc>
          <w:tcPr>
            <w:tcW w:w="1776" w:type="dxa"/>
          </w:tcPr>
          <w:p w14:paraId="21225D2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14" w:type="dxa"/>
          </w:tcPr>
          <w:p w14:paraId="3E5C9049" w14:textId="77777777" w:rsidR="00BF18CF" w:rsidRDefault="00E51347">
            <w:pPr>
              <w:numPr>
                <w:ilvl w:val="0"/>
                <w:numId w:val="19"/>
              </w:numPr>
            </w:pPr>
            <w:r>
              <w:t>« MM.GE.195 »</w:t>
            </w:r>
          </w:p>
          <w:p w14:paraId="001828AD" w14:textId="77777777" w:rsidR="00BF18CF" w:rsidRDefault="00E51347">
            <w:pPr>
              <w:numPr>
                <w:ilvl w:val="0"/>
                <w:numId w:val="19"/>
              </w:numPr>
            </w:pPr>
            <w:r>
              <w:t>« 13.45.1976 »</w:t>
            </w:r>
          </w:p>
          <w:p w14:paraId="39DD1465" w14:textId="77777777" w:rsidR="00BF18CF" w:rsidRDefault="00E51347">
            <w:pPr>
              <w:numPr>
                <w:ilvl w:val="0"/>
                <w:numId w:val="19"/>
              </w:numPr>
            </w:pPr>
            <w:r>
              <w:t>« OXCMS: 1997.4.1 »</w:t>
            </w:r>
          </w:p>
          <w:p w14:paraId="71642C39" w14:textId="77777777" w:rsidR="00BF18CF" w:rsidRDefault="00E51347">
            <w:pPr>
              <w:numPr>
                <w:ilvl w:val="0"/>
                <w:numId w:val="19"/>
              </w:numPr>
            </w:pPr>
            <w:r>
              <w:t>ISSN « 0041-5278 »</w:t>
            </w:r>
          </w:p>
          <w:p w14:paraId="2B0183C4" w14:textId="77777777" w:rsidR="00BF18CF" w:rsidRDefault="00E51347">
            <w:pPr>
              <w:numPr>
                <w:ilvl w:val="0"/>
                <w:numId w:val="19"/>
              </w:numPr>
            </w:pPr>
            <w:r>
              <w:t>ISRC « FIFIN8900116 »</w:t>
            </w:r>
          </w:p>
          <w:p w14:paraId="7428AFD2" w14:textId="77777777" w:rsidR="00BF18CF" w:rsidRDefault="00E51347">
            <w:pPr>
              <w:numPr>
                <w:ilvl w:val="0"/>
                <w:numId w:val="19"/>
              </w:numPr>
            </w:pPr>
            <w:r>
              <w:t>Cote « Res 8 P 10 »</w:t>
            </w:r>
          </w:p>
          <w:p w14:paraId="57EDFF47" w14:textId="77777777" w:rsidR="00BF18CF" w:rsidRDefault="00E51347">
            <w:pPr>
              <w:numPr>
                <w:ilvl w:val="0"/>
                <w:numId w:val="19"/>
              </w:numPr>
            </w:pPr>
            <w:r>
              <w:t>« Guillaume de Machaut (</w:t>
            </w:r>
            <w:proofErr w:type="gramStart"/>
            <w:r>
              <w:t>1300?-</w:t>
            </w:r>
            <w:proofErr w:type="gramEnd"/>
            <w:r>
              <w:t>1377) » [un nom de personne utilisé dans une vedette d’autorité qui suit les règles de catalogage françaises] (Reaney, 1974)</w:t>
            </w:r>
          </w:p>
          <w:p w14:paraId="60672786" w14:textId="77777777" w:rsidR="00BF18CF" w:rsidRDefault="00E51347">
            <w:pPr>
              <w:numPr>
                <w:ilvl w:val="0"/>
                <w:numId w:val="19"/>
              </w:numPr>
            </w:pPr>
            <w:r>
              <w:t>« +41 22 418 5571 »</w:t>
            </w:r>
          </w:p>
          <w:p w14:paraId="70642C9F" w14:textId="77777777" w:rsidR="00BF18CF" w:rsidRDefault="00E51347">
            <w:pPr>
              <w:numPr>
                <w:ilvl w:val="0"/>
                <w:numId w:val="19"/>
              </w:numPr>
            </w:pPr>
            <w:r>
              <w:t>weasel@paveprime.com</w:t>
            </w:r>
          </w:p>
          <w:p w14:paraId="4E10D402" w14:textId="77777777" w:rsidR="00BF18CF" w:rsidRDefault="00E51347">
            <w:pPr>
              <w:numPr>
                <w:ilvl w:val="0"/>
                <w:numId w:val="19"/>
              </w:numPr>
            </w:pPr>
            <w:r>
              <w:t>« 1-29-3 Otsuka, Bunkyo-ku, Tokyo, 121, Japan »</w:t>
            </w:r>
          </w:p>
          <w:p w14:paraId="76A2417E" w14:textId="77777777" w:rsidR="00BF18CF" w:rsidRDefault="00E51347">
            <w:pPr>
              <w:numPr>
                <w:ilvl w:val="0"/>
                <w:numId w:val="19"/>
              </w:numPr>
            </w:pPr>
            <w:r>
              <w:t>« Rue David Dufour 5, CH-1211, Genève »</w:t>
            </w:r>
          </w:p>
        </w:tc>
      </w:tr>
      <w:tr w:rsidR="00BF18CF" w14:paraId="58BAD4FD" w14:textId="77777777" w:rsidTr="00BF18CF">
        <w:tc>
          <w:tcPr>
            <w:tcW w:w="1776" w:type="dxa"/>
          </w:tcPr>
          <w:p w14:paraId="1BEE984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14" w:type="dxa"/>
          </w:tcPr>
          <w:p w14:paraId="2B54367B" w14:textId="77777777" w:rsidR="00BF18CF" w:rsidRDefault="00E51347">
            <w:r>
              <w:t>E42(x) ⇒ E41(x)</w:t>
            </w:r>
          </w:p>
        </w:tc>
      </w:tr>
      <w:tr w:rsidR="00BF18CF" w14:paraId="5A9D1CC5" w14:textId="77777777" w:rsidTr="00BF18CF">
        <w:tc>
          <w:tcPr>
            <w:tcW w:w="1776" w:type="dxa"/>
          </w:tcPr>
          <w:p w14:paraId="1289D29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14" w:type="dxa"/>
          </w:tcPr>
          <w:p w14:paraId="4C61AFAB" w14:textId="77777777" w:rsidR="00BF18CF" w:rsidRDefault="00BF18CF">
            <w:pPr>
              <w:pBdr>
                <w:top w:val="nil"/>
                <w:left w:val="nil"/>
                <w:bottom w:val="nil"/>
                <w:right w:val="nil"/>
                <w:between w:val="nil"/>
              </w:pBdr>
              <w:spacing w:before="36" w:after="36"/>
              <w:rPr>
                <w:color w:val="000000"/>
              </w:rPr>
            </w:pPr>
          </w:p>
        </w:tc>
      </w:tr>
      <w:tr w:rsidR="00BF18CF" w14:paraId="3C06C730" w14:textId="77777777" w:rsidTr="00BF18CF">
        <w:tc>
          <w:tcPr>
            <w:tcW w:w="1776" w:type="dxa"/>
          </w:tcPr>
          <w:p w14:paraId="58658FC0" w14:textId="25F086C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14" w:type="dxa"/>
          </w:tcPr>
          <w:p w14:paraId="4B489EF4" w14:textId="77777777" w:rsidR="00BF18CF" w:rsidRDefault="00BF18CF">
            <w:pPr>
              <w:pBdr>
                <w:top w:val="nil"/>
                <w:left w:val="nil"/>
                <w:bottom w:val="nil"/>
                <w:right w:val="nil"/>
                <w:between w:val="nil"/>
              </w:pBdr>
              <w:spacing w:before="36" w:after="36"/>
              <w:rPr>
                <w:color w:val="000000"/>
              </w:rPr>
            </w:pPr>
          </w:p>
        </w:tc>
      </w:tr>
      <w:tr w:rsidR="00BF18CF" w14:paraId="55998CEF" w14:textId="77777777" w:rsidTr="00BF18CF">
        <w:tc>
          <w:tcPr>
            <w:tcW w:w="1776" w:type="dxa"/>
          </w:tcPr>
          <w:p w14:paraId="6B14606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14" w:type="dxa"/>
          </w:tcPr>
          <w:p w14:paraId="07C2C202" w14:textId="77777777" w:rsidR="00BF18CF" w:rsidRDefault="00BF18CF">
            <w:pPr>
              <w:pBdr>
                <w:top w:val="nil"/>
                <w:left w:val="nil"/>
                <w:bottom w:val="nil"/>
                <w:right w:val="nil"/>
                <w:between w:val="nil"/>
              </w:pBdr>
              <w:spacing w:before="36" w:after="36"/>
              <w:rPr>
                <w:color w:val="000000"/>
              </w:rPr>
            </w:pPr>
          </w:p>
        </w:tc>
      </w:tr>
    </w:tbl>
    <w:p w14:paraId="7EC08E3A" w14:textId="77777777" w:rsidR="00BF18CF" w:rsidRDefault="00E51347">
      <w:pPr>
        <w:pStyle w:val="Heading3"/>
      </w:pPr>
      <w:bookmarkStart w:id="180" w:name="bookmark=id.2koq656" w:colFirst="0" w:colLast="0"/>
      <w:bookmarkStart w:id="181" w:name="_Toc144360833"/>
      <w:bookmarkEnd w:id="180"/>
      <w:r>
        <w:t>E52 Intervalle temporel</w:t>
      </w:r>
      <w:bookmarkEnd w:id="181"/>
    </w:p>
    <w:tbl>
      <w:tblPr>
        <w:tblStyle w:val="a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5"/>
        <w:gridCol w:w="8755"/>
      </w:tblGrid>
      <w:tr w:rsidR="00BF18CF" w14:paraId="7C613144" w14:textId="77777777" w:rsidTr="00BF18CF">
        <w:tc>
          <w:tcPr>
            <w:tcW w:w="1935" w:type="dxa"/>
          </w:tcPr>
          <w:p w14:paraId="3C1D4C5E"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755" w:type="dxa"/>
          </w:tcPr>
          <w:p w14:paraId="4B079162" w14:textId="77777777" w:rsidR="00BF18CF" w:rsidRDefault="00E51347">
            <w:r>
              <w:rPr>
                <w:rFonts w:ascii="Consolas" w:eastAsia="Consolas" w:hAnsi="Consolas" w:cs="Consolas"/>
                <w:sz w:val="22"/>
                <w:szCs w:val="22"/>
                <w:shd w:val="clear" w:color="auto" w:fill="EAEEF3"/>
              </w:rPr>
              <w:t>E1_Entité_CRM</w:t>
            </w:r>
          </w:p>
        </w:tc>
      </w:tr>
      <w:tr w:rsidR="00BF18CF" w14:paraId="7E2FD5AF" w14:textId="77777777" w:rsidTr="00BF18CF">
        <w:tc>
          <w:tcPr>
            <w:tcW w:w="1935" w:type="dxa"/>
          </w:tcPr>
          <w:p w14:paraId="37AC07A6" w14:textId="77777777" w:rsidR="00BF18CF" w:rsidRDefault="00E51347">
            <w:pPr>
              <w:pBdr>
                <w:top w:val="nil"/>
                <w:left w:val="nil"/>
                <w:bottom w:val="nil"/>
                <w:right w:val="nil"/>
                <w:between w:val="nil"/>
              </w:pBdr>
              <w:spacing w:before="36" w:after="36"/>
              <w:rPr>
                <w:color w:val="000000"/>
              </w:rPr>
            </w:pPr>
            <w:r>
              <w:rPr>
                <w:b/>
                <w:color w:val="000000"/>
              </w:rPr>
              <w:lastRenderedPageBreak/>
              <w:t>Super-classe de</w:t>
            </w:r>
          </w:p>
        </w:tc>
        <w:tc>
          <w:tcPr>
            <w:tcW w:w="8755" w:type="dxa"/>
          </w:tcPr>
          <w:p w14:paraId="5DAE2E37" w14:textId="77777777" w:rsidR="00BF18CF" w:rsidRDefault="00BF18CF">
            <w:pPr>
              <w:pBdr>
                <w:top w:val="nil"/>
                <w:left w:val="nil"/>
                <w:bottom w:val="nil"/>
                <w:right w:val="nil"/>
                <w:between w:val="nil"/>
              </w:pBdr>
              <w:spacing w:before="36" w:after="36"/>
              <w:rPr>
                <w:color w:val="000000"/>
              </w:rPr>
            </w:pPr>
          </w:p>
        </w:tc>
      </w:tr>
      <w:tr w:rsidR="00BF18CF" w14:paraId="7F7A775A" w14:textId="77777777" w:rsidTr="00BF18CF">
        <w:tc>
          <w:tcPr>
            <w:tcW w:w="1935" w:type="dxa"/>
          </w:tcPr>
          <w:p w14:paraId="0C25956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55" w:type="dxa"/>
          </w:tcPr>
          <w:p w14:paraId="18E09F5B" w14:textId="77777777" w:rsidR="00BF18CF" w:rsidRDefault="00E51347">
            <w:r>
              <w:t>Cette classe comprend des étendues temporelles abstraites, au sens de la physique galiléenne, ayant un début, une fin et une durée.</w:t>
            </w:r>
          </w:p>
          <w:p w14:paraId="7C4E15DC" w14:textId="77777777" w:rsidR="00BF18CF" w:rsidRDefault="00E51347">
            <w:r>
              <w:t xml:space="preserve">Les instances de </w:t>
            </w:r>
            <w:r>
              <w:rPr>
                <w:rFonts w:ascii="Consolas" w:eastAsia="Consolas" w:hAnsi="Consolas" w:cs="Consolas"/>
                <w:sz w:val="22"/>
                <w:szCs w:val="22"/>
                <w:shd w:val="clear" w:color="auto" w:fill="EAEEF3"/>
              </w:rPr>
              <w:t>E52_Intervalle_temporel</w:t>
            </w:r>
            <w:r>
              <w:t xml:space="preserve"> n'ont aucune connotation sémantique au sujet des phénomènes se produisant dans l'étendue temporelle qu'elles représentent. Elles ne véhiculent aucun autre sens que celui du positionnement sur la « ligne du temps » de la chronologie. L'étendue réelle d'une instance de </w:t>
            </w:r>
            <w:r>
              <w:rPr>
                <w:rFonts w:ascii="Consolas" w:eastAsia="Consolas" w:hAnsi="Consolas" w:cs="Consolas"/>
                <w:sz w:val="22"/>
                <w:szCs w:val="22"/>
                <w:shd w:val="clear" w:color="auto" w:fill="EAEEF3"/>
              </w:rPr>
              <w:t>E52_Intervalle_temporel</w:t>
            </w:r>
            <w:r>
              <w:t xml:space="preserve"> peut être estimée en se référant aux propriétés de </w:t>
            </w:r>
            <w:r>
              <w:rPr>
                <w:rFonts w:ascii="Consolas" w:eastAsia="Consolas" w:hAnsi="Consolas" w:cs="Consolas"/>
                <w:sz w:val="22"/>
                <w:szCs w:val="22"/>
                <w:shd w:val="clear" w:color="auto" w:fill="EAEEF3"/>
              </w:rPr>
              <w:t>E52_Intervalle_temporel</w:t>
            </w:r>
            <w:r>
              <w:t xml:space="preserve"> qui indiquent des limites internes et externes sous la forme de dates (instances de </w:t>
            </w:r>
            <w:r>
              <w:rPr>
                <w:rFonts w:ascii="Consolas" w:eastAsia="Consolas" w:hAnsi="Consolas" w:cs="Consolas"/>
                <w:sz w:val="22"/>
                <w:szCs w:val="22"/>
                <w:shd w:val="clear" w:color="auto" w:fill="EAEEF3"/>
              </w:rPr>
              <w:t>E61_Primitive_temporelle</w:t>
            </w:r>
            <w:r>
              <w:t>). La comparaison des connaissances sur les intervalles de temps est fondamentale pour le raisonnement chronologique.</w:t>
            </w:r>
          </w:p>
          <w:p w14:paraId="5AA994C7" w14:textId="77777777" w:rsidR="00BF18CF" w:rsidRDefault="00E51347">
            <w:r>
              <w:t xml:space="preserve">Certaines instances de </w:t>
            </w:r>
            <w:r>
              <w:rPr>
                <w:rFonts w:ascii="Consolas" w:eastAsia="Consolas" w:hAnsi="Consolas" w:cs="Consolas"/>
                <w:sz w:val="22"/>
                <w:szCs w:val="22"/>
                <w:shd w:val="clear" w:color="auto" w:fill="EAEEF3"/>
              </w:rPr>
              <w:t>E52_Intervalle_temporel</w:t>
            </w:r>
            <w:r>
              <w:t xml:space="preserve"> peuvent être définies comme l'étendue temporelle réelle, en principe observable, d’instances de </w:t>
            </w:r>
            <w:r>
              <w:rPr>
                <w:rFonts w:ascii="Consolas" w:eastAsia="Consolas" w:hAnsi="Consolas" w:cs="Consolas"/>
                <w:sz w:val="22"/>
                <w:szCs w:val="22"/>
                <w:shd w:val="clear" w:color="auto" w:fill="EAEEF3"/>
              </w:rPr>
              <w:t>E2_Entité_temporelle</w:t>
            </w:r>
            <w:r>
              <w:t xml:space="preserve"> au moyen de la propriété </w:t>
            </w:r>
            <w:r>
              <w:rPr>
                <w:rFonts w:ascii="Consolas" w:eastAsia="Consolas" w:hAnsi="Consolas" w:cs="Consolas"/>
                <w:sz w:val="22"/>
                <w:szCs w:val="22"/>
                <w:shd w:val="clear" w:color="auto" w:fill="EAEEF3"/>
              </w:rPr>
              <w:t>P4_a_pour_intervalle_temporel (est_l’intervalle_temporel_de)</w:t>
            </w:r>
            <w:r>
              <w:t xml:space="preserve"> : </w:t>
            </w:r>
            <w:r>
              <w:rPr>
                <w:rFonts w:ascii="Consolas" w:eastAsia="Consolas" w:hAnsi="Consolas" w:cs="Consolas"/>
                <w:sz w:val="22"/>
                <w:szCs w:val="22"/>
                <w:shd w:val="clear" w:color="auto" w:fill="EAEEF3"/>
              </w:rPr>
              <w:t>E52_Intervalle_temporel</w:t>
            </w:r>
            <w:r>
              <w:t xml:space="preserve">. Ils constituent des intervalles de temps phénoménaux tels que définis dans </w:t>
            </w:r>
            <w:hyperlink r:id="rId390">
              <w:r>
                <w:rPr>
                  <w:color w:val="4F81BD"/>
                </w:rPr>
                <w:t>CRMgeo</w:t>
              </w:r>
            </w:hyperlink>
            <w:r>
              <w:t xml:space="preserve"> (Doerr et Hiebel 2013). Puisque la connaissance de l'histoire est imparfaite et que les phénomènes physiques sont flous de nature, l'étendue d’intervalles temporels phénoménaux ne peut être décrite qu’approximativement. Un cas extrême d'approximation pourrait, par exemple, définir une instance de </w:t>
            </w:r>
            <w:r>
              <w:rPr>
                <w:rFonts w:ascii="Consolas" w:eastAsia="Consolas" w:hAnsi="Consolas" w:cs="Consolas"/>
                <w:sz w:val="22"/>
                <w:szCs w:val="22"/>
                <w:shd w:val="clear" w:color="auto" w:fill="EAEEF3"/>
              </w:rPr>
              <w:t>E52_Intervalle_temporel</w:t>
            </w:r>
            <w:r>
              <w:t xml:space="preserve"> ayant un début, une fin et </w:t>
            </w:r>
            <w:proofErr w:type="gramStart"/>
            <w:r>
              <w:t>une durée inconnus</w:t>
            </w:r>
            <w:proofErr w:type="gramEnd"/>
            <w:r>
              <w:t>. Cette instance pourrait néanmoins être associée à d'autres descriptions grâce auxquelles il serait possible d'inférer des informations, comme dans le cas des chronologies relatives.</w:t>
            </w:r>
          </w:p>
          <w:p w14:paraId="36BD79E0" w14:textId="77777777" w:rsidR="00BF18CF" w:rsidRDefault="00E51347">
            <w:r>
              <w:t xml:space="preserve">Certaines instances de </w:t>
            </w:r>
            <w:r>
              <w:rPr>
                <w:rFonts w:ascii="Consolas" w:eastAsia="Consolas" w:hAnsi="Consolas" w:cs="Consolas"/>
                <w:sz w:val="22"/>
                <w:szCs w:val="22"/>
                <w:shd w:val="clear" w:color="auto" w:fill="EAEEF3"/>
              </w:rPr>
              <w:t>E52_Intervalle_temporel</w:t>
            </w:r>
            <w:r>
              <w:t xml:space="preserve"> peuvent être définies précisément comme représentant une déclaration d'une étendue temporelle, par exemple, réalisée dans le cadre d’un contrat commercial. Elles constituent des intervalles de temps déclaratifs tels que définis dans CRMgeo (Doerr &amp; Hiebel 2013) et peuvent être décrites au moyen de la propriété </w:t>
            </w:r>
            <w:r>
              <w:rPr>
                <w:rFonts w:ascii="Consolas" w:eastAsia="Consolas" w:hAnsi="Consolas" w:cs="Consolas"/>
                <w:sz w:val="22"/>
                <w:szCs w:val="22"/>
                <w:shd w:val="clear" w:color="auto" w:fill="EAEEF3"/>
              </w:rPr>
              <w:t>E61_Primitive_temporelle</w:t>
            </w:r>
            <w:r>
              <w:t xml:space="preserve"> </w:t>
            </w:r>
            <w:r>
              <w:rPr>
                <w:rFonts w:ascii="Consolas" w:eastAsia="Consolas" w:hAnsi="Consolas" w:cs="Consolas"/>
                <w:sz w:val="22"/>
                <w:szCs w:val="22"/>
                <w:shd w:val="clear" w:color="auto" w:fill="EAEEF3"/>
              </w:rPr>
              <w:t>P170_temps_défini_par (définit_le_temps)</w:t>
            </w:r>
            <w:r>
              <w:t xml:space="preserve"> : </w:t>
            </w:r>
            <w:r>
              <w:rPr>
                <w:rFonts w:ascii="Consolas" w:eastAsia="Consolas" w:hAnsi="Consolas" w:cs="Consolas"/>
                <w:sz w:val="22"/>
                <w:szCs w:val="22"/>
                <w:shd w:val="clear" w:color="auto" w:fill="EAEEF3"/>
              </w:rPr>
              <w:t>E52_Intervalle_temporel</w:t>
            </w:r>
            <w:r>
              <w:t>.</w:t>
            </w:r>
          </w:p>
          <w:p w14:paraId="1DF94937" w14:textId="77777777" w:rsidR="00BF18CF" w:rsidRDefault="00E51347">
            <w:r>
              <w:t xml:space="preserve">Lorsqu’une même instance de </w:t>
            </w:r>
            <w:r>
              <w:rPr>
                <w:rFonts w:ascii="Consolas" w:eastAsia="Consolas" w:hAnsi="Consolas" w:cs="Consolas"/>
                <w:sz w:val="22"/>
                <w:szCs w:val="22"/>
                <w:shd w:val="clear" w:color="auto" w:fill="EAEEF3"/>
              </w:rPr>
              <w:t>E52_Intervalle_temporel</w:t>
            </w:r>
            <w:r>
              <w:t xml:space="preserve"> est utilisée pour deux évènements, celle-ci décrit ces derniers comme étant simultanés, même si rien d'autre n'est connu.</w:t>
            </w:r>
          </w:p>
        </w:tc>
      </w:tr>
      <w:tr w:rsidR="00BF18CF" w14:paraId="380B5A43" w14:textId="77777777" w:rsidTr="00BF18CF">
        <w:tc>
          <w:tcPr>
            <w:tcW w:w="1935" w:type="dxa"/>
          </w:tcPr>
          <w:p w14:paraId="1841B6A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55" w:type="dxa"/>
          </w:tcPr>
          <w:p w14:paraId="2C07E694" w14:textId="77777777" w:rsidR="00BF18CF" w:rsidRDefault="00E51347">
            <w:pPr>
              <w:numPr>
                <w:ilvl w:val="0"/>
                <w:numId w:val="19"/>
              </w:numPr>
            </w:pPr>
            <w:r>
              <w:t>Du 1993-12-17 au 1996-12-08</w:t>
            </w:r>
          </w:p>
          <w:p w14:paraId="4625760F" w14:textId="77777777" w:rsidR="00BF18CF" w:rsidRDefault="00E51347">
            <w:pPr>
              <w:numPr>
                <w:ilvl w:val="0"/>
                <w:numId w:val="19"/>
              </w:numPr>
            </w:pPr>
            <w:r>
              <w:t>14 h 30 – 16 h 22 4 juillet 1945</w:t>
            </w:r>
          </w:p>
          <w:p w14:paraId="262F036E" w14:textId="77777777" w:rsidR="00BF18CF" w:rsidRDefault="00E51347">
            <w:pPr>
              <w:numPr>
                <w:ilvl w:val="0"/>
                <w:numId w:val="19"/>
              </w:numPr>
            </w:pPr>
            <w:r>
              <w:t>9:30 am 1999.01.01 à 2:00 pm 1999.01.01</w:t>
            </w:r>
          </w:p>
          <w:p w14:paraId="74A34E9A" w14:textId="77777777" w:rsidR="00BF18CF" w:rsidRDefault="00E51347">
            <w:pPr>
              <w:numPr>
                <w:ilvl w:val="0"/>
                <w:numId w:val="19"/>
              </w:numPr>
            </w:pPr>
            <w:r>
              <w:t>Durée de la dynastie Ming (Chan, 2011)</w:t>
            </w:r>
          </w:p>
        </w:tc>
      </w:tr>
      <w:tr w:rsidR="00BF18CF" w14:paraId="51B9FD3F" w14:textId="77777777" w:rsidTr="00BF18CF">
        <w:tc>
          <w:tcPr>
            <w:tcW w:w="1935" w:type="dxa"/>
          </w:tcPr>
          <w:p w14:paraId="2692A0F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55" w:type="dxa"/>
          </w:tcPr>
          <w:p w14:paraId="623621C2" w14:textId="77777777" w:rsidR="00BF18CF" w:rsidRDefault="00E51347">
            <w:r>
              <w:t>E52(x) ⇒ E1(x)</w:t>
            </w:r>
          </w:p>
        </w:tc>
      </w:tr>
      <w:tr w:rsidR="00BF18CF" w14:paraId="575400FA" w14:textId="77777777" w:rsidTr="00BF18CF">
        <w:tc>
          <w:tcPr>
            <w:tcW w:w="1935" w:type="dxa"/>
          </w:tcPr>
          <w:p w14:paraId="673537B2"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755" w:type="dxa"/>
          </w:tcPr>
          <w:p w14:paraId="7FA69162" w14:textId="77777777" w:rsidR="00BF18CF" w:rsidRDefault="00E51347">
            <w:r>
              <w:rPr>
                <w:rFonts w:ascii="Consolas" w:eastAsia="Consolas" w:hAnsi="Consolas" w:cs="Consolas"/>
                <w:sz w:val="22"/>
                <w:szCs w:val="22"/>
                <w:shd w:val="clear" w:color="auto" w:fill="EAEEF3"/>
              </w:rPr>
              <w:t>P79_a_son_début_qualifié_par</w:t>
            </w:r>
            <w:r>
              <w:t xml:space="preserve"> : </w:t>
            </w:r>
            <w:r>
              <w:rPr>
                <w:rFonts w:ascii="Consolas" w:eastAsia="Consolas" w:hAnsi="Consolas" w:cs="Consolas"/>
                <w:sz w:val="22"/>
                <w:szCs w:val="22"/>
                <w:shd w:val="clear" w:color="auto" w:fill="EAEEF3"/>
              </w:rPr>
              <w:t>E62_Chaîne_de_caractères</w:t>
            </w:r>
          </w:p>
          <w:p w14:paraId="3424681E" w14:textId="77777777" w:rsidR="00BF18CF" w:rsidRDefault="00E51347">
            <w:r>
              <w:rPr>
                <w:rFonts w:ascii="Consolas" w:eastAsia="Consolas" w:hAnsi="Consolas" w:cs="Consolas"/>
                <w:sz w:val="22"/>
                <w:szCs w:val="22"/>
                <w:shd w:val="clear" w:color="auto" w:fill="EAEEF3"/>
              </w:rPr>
              <w:t>P80_a_sa_fin_qualifiée_par</w:t>
            </w:r>
            <w:r>
              <w:t xml:space="preserve"> : </w:t>
            </w:r>
            <w:r>
              <w:rPr>
                <w:rFonts w:ascii="Consolas" w:eastAsia="Consolas" w:hAnsi="Consolas" w:cs="Consolas"/>
                <w:sz w:val="22"/>
                <w:szCs w:val="22"/>
                <w:shd w:val="clear" w:color="auto" w:fill="EAEEF3"/>
              </w:rPr>
              <w:t>E62_Chaîne_de_caractères</w:t>
            </w:r>
          </w:p>
          <w:p w14:paraId="73BB2920" w14:textId="77777777" w:rsidR="00BF18CF" w:rsidRDefault="00E51347">
            <w:r>
              <w:rPr>
                <w:rFonts w:ascii="Consolas" w:eastAsia="Consolas" w:hAnsi="Consolas" w:cs="Consolas"/>
                <w:sz w:val="22"/>
                <w:szCs w:val="22"/>
                <w:shd w:val="clear" w:color="auto" w:fill="EAEEF3"/>
              </w:rPr>
              <w:t>P81_a_couvert</w:t>
            </w:r>
            <w:r>
              <w:t xml:space="preserve"> : </w:t>
            </w:r>
            <w:r>
              <w:rPr>
                <w:rFonts w:ascii="Consolas" w:eastAsia="Consolas" w:hAnsi="Consolas" w:cs="Consolas"/>
                <w:sz w:val="22"/>
                <w:szCs w:val="22"/>
                <w:shd w:val="clear" w:color="auto" w:fill="EAEEF3"/>
              </w:rPr>
              <w:t>E61_Primitive_temporelle</w:t>
            </w:r>
          </w:p>
          <w:p w14:paraId="6E25B5D8" w14:textId="77777777" w:rsidR="00BF18CF" w:rsidRDefault="00E51347">
            <w:r>
              <w:rPr>
                <w:rFonts w:ascii="Consolas" w:eastAsia="Consolas" w:hAnsi="Consolas" w:cs="Consolas"/>
                <w:sz w:val="22"/>
                <w:szCs w:val="22"/>
                <w:shd w:val="clear" w:color="auto" w:fill="EAEEF3"/>
              </w:rPr>
              <w:t>P82_a_eu_lieu_durant</w:t>
            </w:r>
            <w:r>
              <w:t xml:space="preserve"> : </w:t>
            </w:r>
            <w:r>
              <w:rPr>
                <w:rFonts w:ascii="Consolas" w:eastAsia="Consolas" w:hAnsi="Consolas" w:cs="Consolas"/>
                <w:sz w:val="22"/>
                <w:szCs w:val="22"/>
                <w:shd w:val="clear" w:color="auto" w:fill="EAEEF3"/>
              </w:rPr>
              <w:t>E61_Primitive_temporelle</w:t>
            </w:r>
          </w:p>
          <w:p w14:paraId="37BE1E2C" w14:textId="77777777" w:rsidR="00BF18CF" w:rsidRDefault="00E51347">
            <w:r>
              <w:rPr>
                <w:rFonts w:ascii="Consolas" w:eastAsia="Consolas" w:hAnsi="Consolas" w:cs="Consolas"/>
                <w:sz w:val="22"/>
                <w:szCs w:val="22"/>
                <w:shd w:val="clear" w:color="auto" w:fill="EAEEF3"/>
              </w:rPr>
              <w:t>P86_s’insère_dans (contient)</w:t>
            </w:r>
            <w:r>
              <w:t xml:space="preserve"> : </w:t>
            </w:r>
            <w:r>
              <w:rPr>
                <w:rFonts w:ascii="Consolas" w:eastAsia="Consolas" w:hAnsi="Consolas" w:cs="Consolas"/>
                <w:sz w:val="22"/>
                <w:szCs w:val="22"/>
                <w:shd w:val="clear" w:color="auto" w:fill="EAEEF3"/>
              </w:rPr>
              <w:t>E52_Intervalle_temporel</w:t>
            </w:r>
          </w:p>
          <w:p w14:paraId="13985DD2" w14:textId="77777777" w:rsidR="00BF18CF" w:rsidRDefault="00E51347">
            <w:r>
              <w:rPr>
                <w:rFonts w:ascii="Consolas" w:eastAsia="Consolas" w:hAnsi="Consolas" w:cs="Consolas"/>
                <w:sz w:val="22"/>
                <w:szCs w:val="22"/>
                <w:shd w:val="clear" w:color="auto" w:fill="EAEEF3"/>
              </w:rPr>
              <w:t>P191_a_eu_pour_durée (était_la_durée_de)</w:t>
            </w:r>
            <w:r>
              <w:t xml:space="preserve"> : </w:t>
            </w:r>
            <w:r>
              <w:rPr>
                <w:rFonts w:ascii="Consolas" w:eastAsia="Consolas" w:hAnsi="Consolas" w:cs="Consolas"/>
                <w:sz w:val="22"/>
                <w:szCs w:val="22"/>
                <w:shd w:val="clear" w:color="auto" w:fill="EAEEF3"/>
              </w:rPr>
              <w:t>E54_Dimension</w:t>
            </w:r>
          </w:p>
        </w:tc>
      </w:tr>
      <w:tr w:rsidR="00BF18CF" w14:paraId="46431FDC" w14:textId="77777777" w:rsidTr="00BF18CF">
        <w:tc>
          <w:tcPr>
            <w:tcW w:w="1935" w:type="dxa"/>
          </w:tcPr>
          <w:p w14:paraId="4CB65FCB" w14:textId="0188DEA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55" w:type="dxa"/>
          </w:tcPr>
          <w:p w14:paraId="0B85DAF2" w14:textId="77777777" w:rsidR="00BF18CF" w:rsidRDefault="00E51347">
            <w:r>
              <w:t>Le terme « via » a été traduit par « au moyen de » tel que suggéré par Termium Plus.</w:t>
            </w:r>
          </w:p>
          <w:p w14:paraId="292D347B" w14:textId="77777777" w:rsidR="00BF18CF" w:rsidRDefault="00E51347">
            <w:r>
              <w:t>Les exemples ont été traduits en concordance avec la version anglaise afin de démontrer que plusieurs typographies peuvent être utilisées pour indiquer les intervalles de temps. Toutefois, le Groupe de traduction a statué que la norme ISO sur la représentation de la date et de l’heure doit être privilégiée en français : AAAA-MM-JJ et la notation de l’heure selon la journée de vingt-quatre heures (de 0 h à 24 h).</w:t>
            </w:r>
          </w:p>
        </w:tc>
      </w:tr>
      <w:tr w:rsidR="00BF18CF" w14:paraId="3BD06A05" w14:textId="77777777" w:rsidTr="00BF18CF">
        <w:tc>
          <w:tcPr>
            <w:tcW w:w="1935" w:type="dxa"/>
          </w:tcPr>
          <w:p w14:paraId="182A183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55" w:type="dxa"/>
          </w:tcPr>
          <w:p w14:paraId="21EF8891" w14:textId="77777777" w:rsidR="00BF18CF" w:rsidRDefault="00E51347">
            <w:r>
              <w:t>CIDOC CRM. « CRMgeo ». Modèle, 2021.</w:t>
            </w:r>
            <w:hyperlink r:id="rId391">
              <w:r>
                <w:rPr>
                  <w:color w:val="4F81BD"/>
                </w:rPr>
                <w:t xml:space="preserve"> http://www.cidoc-crm.org/crmgeo/home-5</w:t>
              </w:r>
            </w:hyperlink>
            <w:r>
              <w:t>.</w:t>
            </w:r>
          </w:p>
          <w:p w14:paraId="7D56D7F2" w14:textId="77777777" w:rsidR="00BF18CF" w:rsidRDefault="00E51347">
            <w:r>
              <w:t xml:space="preserve">Office québécois de la langue française. « Écriture des dates et des heures dans les lettres et les textes courants ». Dans </w:t>
            </w:r>
            <w:r>
              <w:rPr>
                <w:i/>
              </w:rPr>
              <w:t>Banque de dépannage linguistique</w:t>
            </w:r>
            <w:r>
              <w:t>. Québec, CA-QC: Office québécois de la langue française, 2019.</w:t>
            </w:r>
            <w:hyperlink r:id="rId392">
              <w:r>
                <w:rPr>
                  <w:color w:val="4F81BD"/>
                </w:rPr>
                <w:t xml:space="preserve"> https://vitrinelinguistique.oqlf.gouv.qc.ca/21242/la-typographie/nombres/ecriture-des-dates-et-des-heures-dans-les-lettres-et-les-textes-courants</w:t>
              </w:r>
            </w:hyperlink>
            <w:r>
              <w:t>.</w:t>
            </w:r>
          </w:p>
          <w:p w14:paraId="07A764BD" w14:textId="77777777" w:rsidR="00BF18CF" w:rsidRDefault="00E51347">
            <w:r>
              <w:t xml:space="preserve">Termium. « </w:t>
            </w:r>
            <w:proofErr w:type="gramStart"/>
            <w:r>
              <w:t>via</w:t>
            </w:r>
            <w:proofErr w:type="gramEnd"/>
            <w:r>
              <w:t xml:space="preserve"> ». Dans </w:t>
            </w:r>
            <w:r>
              <w:rPr>
                <w:i/>
              </w:rPr>
              <w:t>Termium Plus</w:t>
            </w:r>
            <w:r>
              <w:t>. Ottawa, CA-ON: Gouvernement du Canada, 8 mars 2001.</w:t>
            </w:r>
            <w:hyperlink r:id="rId393" w:anchor="fichesauve-saverecord4">
              <w:r>
                <w:rPr>
                  <w:color w:val="4F81BD"/>
                </w:rPr>
                <w:t xml:space="preserve"> https://www.btb.termiumplus.gc.ca/tpv2alpha/alpha-fra.html?lang=fra&amp;srchtxt=VIA&amp;i=&amp;index=ent&amp;sg_kp_wet=1323269&amp;fchrcrdnm=4#fichesauve-saverecord4</w:t>
              </w:r>
            </w:hyperlink>
            <w:r>
              <w:t>.</w:t>
            </w:r>
          </w:p>
        </w:tc>
      </w:tr>
    </w:tbl>
    <w:p w14:paraId="458026F8" w14:textId="77777777" w:rsidR="00BF18CF" w:rsidRDefault="00E51347">
      <w:pPr>
        <w:pStyle w:val="Heading3"/>
      </w:pPr>
      <w:bookmarkStart w:id="182" w:name="bookmark=id.zu0gcz" w:colFirst="0" w:colLast="0"/>
      <w:bookmarkStart w:id="183" w:name="_Toc144360834"/>
      <w:bookmarkEnd w:id="182"/>
      <w:r>
        <w:t>E53 Lieu</w:t>
      </w:r>
      <w:bookmarkEnd w:id="183"/>
    </w:p>
    <w:tbl>
      <w:tblPr>
        <w:tblStyle w:val="a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57"/>
        <w:gridCol w:w="8933"/>
      </w:tblGrid>
      <w:tr w:rsidR="00BF18CF" w14:paraId="64C4547F" w14:textId="77777777" w:rsidTr="00BF18CF">
        <w:tc>
          <w:tcPr>
            <w:tcW w:w="1757" w:type="dxa"/>
          </w:tcPr>
          <w:p w14:paraId="6063DA2C"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33" w:type="dxa"/>
          </w:tcPr>
          <w:p w14:paraId="71B5C144" w14:textId="77777777" w:rsidR="00BF18CF" w:rsidRDefault="00E51347">
            <w:r>
              <w:rPr>
                <w:rFonts w:ascii="Consolas" w:eastAsia="Consolas" w:hAnsi="Consolas" w:cs="Consolas"/>
                <w:sz w:val="22"/>
                <w:szCs w:val="22"/>
                <w:shd w:val="clear" w:color="auto" w:fill="EAEEF3"/>
              </w:rPr>
              <w:t>E1_Entité_CRM</w:t>
            </w:r>
          </w:p>
        </w:tc>
      </w:tr>
      <w:tr w:rsidR="00BF18CF" w14:paraId="5199FCDD" w14:textId="77777777" w:rsidTr="00BF18CF">
        <w:tc>
          <w:tcPr>
            <w:tcW w:w="1757" w:type="dxa"/>
          </w:tcPr>
          <w:p w14:paraId="5AEA83A5"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33" w:type="dxa"/>
          </w:tcPr>
          <w:p w14:paraId="71C94647" w14:textId="77777777" w:rsidR="00BF18CF" w:rsidRDefault="00BF18CF">
            <w:pPr>
              <w:pBdr>
                <w:top w:val="nil"/>
                <w:left w:val="nil"/>
                <w:bottom w:val="nil"/>
                <w:right w:val="nil"/>
                <w:between w:val="nil"/>
              </w:pBdr>
              <w:spacing w:before="36" w:after="36"/>
              <w:rPr>
                <w:color w:val="000000"/>
              </w:rPr>
            </w:pPr>
          </w:p>
        </w:tc>
      </w:tr>
      <w:tr w:rsidR="00BF18CF" w14:paraId="13839180" w14:textId="77777777" w:rsidTr="00BF18CF">
        <w:tc>
          <w:tcPr>
            <w:tcW w:w="1757" w:type="dxa"/>
          </w:tcPr>
          <w:p w14:paraId="1B8699D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33" w:type="dxa"/>
          </w:tcPr>
          <w:p w14:paraId="15C92BCC" w14:textId="77777777" w:rsidR="00BF18CF" w:rsidRDefault="00E51347">
            <w:r>
              <w:t>Cette classe comprend des étendues dans l'espace, en particulier à la surface de la terre, au sens pur de la physique : indépendantes des phénomènes temporels et de la matière.</w:t>
            </w:r>
          </w:p>
          <w:p w14:paraId="61A1DE4A" w14:textId="77777777" w:rsidR="00BF18CF" w:rsidRDefault="00E51347">
            <w:r>
              <w:t xml:space="preserve">Les instances de </w:t>
            </w:r>
            <w:r>
              <w:rPr>
                <w:rFonts w:ascii="Consolas" w:eastAsia="Consolas" w:hAnsi="Consolas" w:cs="Consolas"/>
                <w:sz w:val="22"/>
                <w:szCs w:val="22"/>
                <w:shd w:val="clear" w:color="auto" w:fill="EAEEF3"/>
              </w:rPr>
              <w:t>E53_Lieu</w:t>
            </w:r>
            <w:r>
              <w:t xml:space="preserve"> sont généralement déterminées en fonction de la position d'objets « immobiles », tels que des bâtiments, des villes, des montagnes, des rivières ou des marques géodésiques dédiées, mais peuvent également être déterminées en fonction d’objets mobiles. Une instance de </w:t>
            </w:r>
            <w:r>
              <w:rPr>
                <w:rFonts w:ascii="Consolas" w:eastAsia="Consolas" w:hAnsi="Consolas" w:cs="Consolas"/>
                <w:sz w:val="22"/>
                <w:szCs w:val="22"/>
                <w:shd w:val="clear" w:color="auto" w:fill="EAEEF3"/>
              </w:rPr>
              <w:t>E53_Lieu</w:t>
            </w:r>
            <w:r>
              <w:t xml:space="preserve"> peut être déterminée en combinant un cadre de référence et une localisation s’y rapportant.</w:t>
            </w:r>
          </w:p>
          <w:p w14:paraId="19D9AB08" w14:textId="77777777" w:rsidR="00BF18CF" w:rsidRDefault="00E51347">
            <w:r>
              <w:lastRenderedPageBreak/>
              <w:t xml:space="preserve">Il est parfois argumenté qu’il est préférable d’identifier les instances de </w:t>
            </w:r>
            <w:r>
              <w:rPr>
                <w:rFonts w:ascii="Consolas" w:eastAsia="Consolas" w:hAnsi="Consolas" w:cs="Consolas"/>
                <w:sz w:val="22"/>
                <w:szCs w:val="22"/>
                <w:shd w:val="clear" w:color="auto" w:fill="EAEEF3"/>
              </w:rPr>
              <w:t>E53_Lieu</w:t>
            </w:r>
            <w:r>
              <w:t xml:space="preserve"> par des coordonnées mondiales ou des systèmes de référence absolus. Cependant, les références relatives sont souvent plus pertinentes dans le contexte de la documentation culturelle et ont tendance à être plus précises. En particulier, nous nous intéressons fréquemment à la position par rapport à de grands objets mobiles, tels que des navires. Par exemple, le lieu où [n.d.t. Horatio] Nelson est mort est connu en référence à un objet mobile de grande dimension, soit le [n.d.t. navire de ligne] HMS Victory. Une résolution de cette instance de </w:t>
            </w:r>
            <w:r>
              <w:rPr>
                <w:rFonts w:ascii="Consolas" w:eastAsia="Consolas" w:hAnsi="Consolas" w:cs="Consolas"/>
                <w:sz w:val="22"/>
                <w:szCs w:val="22"/>
                <w:shd w:val="clear" w:color="auto" w:fill="EAEEF3"/>
              </w:rPr>
              <w:t>E53_Lieu</w:t>
            </w:r>
            <w:r>
              <w:t xml:space="preserve"> en termes de coordonnées absolues nécessiterait la connaissance des mouvements du navire et de l'heure précise de la mort; l'un ou l'autre pouvant être révisé, le résultat manquerait de pertinence historique et culturelle.</w:t>
            </w:r>
          </w:p>
          <w:p w14:paraId="4E8305D5" w14:textId="77777777" w:rsidR="00BF18CF" w:rsidRDefault="00E51347">
            <w:r>
              <w:t xml:space="preserve">Toute instance de </w:t>
            </w:r>
            <w:r>
              <w:rPr>
                <w:rFonts w:ascii="Consolas" w:eastAsia="Consolas" w:hAnsi="Consolas" w:cs="Consolas"/>
                <w:sz w:val="22"/>
                <w:szCs w:val="22"/>
                <w:shd w:val="clear" w:color="auto" w:fill="EAEEF3"/>
              </w:rPr>
              <w:t>E18_Chose_matérielle</w:t>
            </w:r>
            <w:r>
              <w:t xml:space="preserve"> peut servir de cadre de référence pour une instance de </w:t>
            </w:r>
            <w:r>
              <w:rPr>
                <w:rFonts w:ascii="Consolas" w:eastAsia="Consolas" w:hAnsi="Consolas" w:cs="Consolas"/>
                <w:sz w:val="22"/>
                <w:szCs w:val="22"/>
                <w:shd w:val="clear" w:color="auto" w:fill="EAEEF3"/>
              </w:rPr>
              <w:t>E53_Lieu</w:t>
            </w:r>
            <w:r>
              <w:t xml:space="preserve">. Ceci peut être documenté à l'aide de la propriété </w:t>
            </w:r>
            <w:r>
              <w:rPr>
                <w:rFonts w:ascii="Consolas" w:eastAsia="Consolas" w:hAnsi="Consolas" w:cs="Consolas"/>
                <w:sz w:val="22"/>
                <w:szCs w:val="22"/>
                <w:shd w:val="clear" w:color="auto" w:fill="EAEEF3"/>
              </w:rPr>
              <w:t>P157_est_à_l’arrêt_par_rapport_à (procure_l'espace_de_référence_pour)</w:t>
            </w:r>
            <w:r>
              <w:t>.</w:t>
            </w:r>
          </w:p>
        </w:tc>
      </w:tr>
      <w:tr w:rsidR="00BF18CF" w14:paraId="5EB6E9FC" w14:textId="77777777" w:rsidTr="00BF18CF">
        <w:tc>
          <w:tcPr>
            <w:tcW w:w="1757" w:type="dxa"/>
          </w:tcPr>
          <w:p w14:paraId="39719C2A"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33" w:type="dxa"/>
          </w:tcPr>
          <w:p w14:paraId="5680C7BB" w14:textId="77777777" w:rsidR="00BF18CF" w:rsidRDefault="00E51347">
            <w:pPr>
              <w:numPr>
                <w:ilvl w:val="0"/>
                <w:numId w:val="19"/>
              </w:numPr>
            </w:pPr>
            <w:r>
              <w:t>L'étendue du Royaume-Uni en 2003</w:t>
            </w:r>
          </w:p>
          <w:p w14:paraId="257B2DEC" w14:textId="77777777" w:rsidR="00BF18CF" w:rsidRDefault="00E51347">
            <w:pPr>
              <w:numPr>
                <w:ilvl w:val="0"/>
                <w:numId w:val="19"/>
              </w:numPr>
            </w:pPr>
            <w:r>
              <w:t>La position du poinçon à l'intérieur de mon alliance (fictif)</w:t>
            </w:r>
          </w:p>
          <w:p w14:paraId="019D7A2D" w14:textId="77777777" w:rsidR="00BF18CF" w:rsidRDefault="00E51347">
            <w:pPr>
              <w:numPr>
                <w:ilvl w:val="0"/>
                <w:numId w:val="19"/>
              </w:numPr>
            </w:pPr>
            <w:r>
              <w:t>Le lieu visé par la phrase : « Poissons pêchés à trois milles au nord du confluent de l'Arve et du Rhône »</w:t>
            </w:r>
          </w:p>
          <w:p w14:paraId="1164AFBF" w14:textId="77777777" w:rsidR="00BF18CF" w:rsidRDefault="00E51347">
            <w:pPr>
              <w:numPr>
                <w:ilvl w:val="0"/>
                <w:numId w:val="19"/>
              </w:numPr>
            </w:pPr>
            <w:r>
              <w:t>Ici -&gt;</w:t>
            </w:r>
          </w:p>
        </w:tc>
      </w:tr>
      <w:tr w:rsidR="00BF18CF" w14:paraId="391A8A39" w14:textId="77777777" w:rsidTr="00BF18CF">
        <w:tc>
          <w:tcPr>
            <w:tcW w:w="1757" w:type="dxa"/>
          </w:tcPr>
          <w:p w14:paraId="2A3B455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33" w:type="dxa"/>
          </w:tcPr>
          <w:p w14:paraId="3EE02C91" w14:textId="77777777" w:rsidR="00BF18CF" w:rsidRDefault="00E51347">
            <w:r>
              <w:t>E53(x) ⇒ E1(x)</w:t>
            </w:r>
          </w:p>
        </w:tc>
      </w:tr>
      <w:tr w:rsidR="00BF18CF" w14:paraId="185F54D8" w14:textId="77777777" w:rsidTr="00BF18CF">
        <w:tc>
          <w:tcPr>
            <w:tcW w:w="1757" w:type="dxa"/>
          </w:tcPr>
          <w:p w14:paraId="4A35747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33" w:type="dxa"/>
          </w:tcPr>
          <w:p w14:paraId="7FC2B9B2" w14:textId="77777777" w:rsidR="00BF18CF" w:rsidRDefault="00E51347">
            <w:r>
              <w:rPr>
                <w:rFonts w:ascii="Consolas" w:eastAsia="Consolas" w:hAnsi="Consolas" w:cs="Consolas"/>
                <w:sz w:val="22"/>
                <w:szCs w:val="22"/>
                <w:shd w:val="clear" w:color="auto" w:fill="EAEEF3"/>
              </w:rPr>
              <w:t>P89_s’insère_dans (contient)</w:t>
            </w:r>
            <w:r>
              <w:t xml:space="preserve"> : </w:t>
            </w:r>
            <w:r>
              <w:rPr>
                <w:rFonts w:ascii="Consolas" w:eastAsia="Consolas" w:hAnsi="Consolas" w:cs="Consolas"/>
                <w:sz w:val="22"/>
                <w:szCs w:val="22"/>
                <w:shd w:val="clear" w:color="auto" w:fill="EAEEF3"/>
              </w:rPr>
              <w:t>E53_Lieu</w:t>
            </w:r>
          </w:p>
          <w:p w14:paraId="6C5ADD25" w14:textId="77777777" w:rsidR="00BF18CF" w:rsidRDefault="00E51347">
            <w:r>
              <w:rPr>
                <w:rFonts w:ascii="Consolas" w:eastAsia="Consolas" w:hAnsi="Consolas" w:cs="Consolas"/>
                <w:sz w:val="22"/>
                <w:szCs w:val="22"/>
                <w:shd w:val="clear" w:color="auto" w:fill="EAEEF3"/>
              </w:rPr>
              <w:t>P121_se_superpose_partiellement_à</w:t>
            </w:r>
            <w:r>
              <w:t xml:space="preserve"> : </w:t>
            </w:r>
            <w:r>
              <w:rPr>
                <w:rFonts w:ascii="Consolas" w:eastAsia="Consolas" w:hAnsi="Consolas" w:cs="Consolas"/>
                <w:sz w:val="22"/>
                <w:szCs w:val="22"/>
                <w:shd w:val="clear" w:color="auto" w:fill="EAEEF3"/>
              </w:rPr>
              <w:t>E53_Lieu</w:t>
            </w:r>
          </w:p>
          <w:p w14:paraId="74E2BB77" w14:textId="77777777" w:rsidR="00BF18CF" w:rsidRDefault="00E51347">
            <w:r>
              <w:rPr>
                <w:rFonts w:ascii="Consolas" w:eastAsia="Consolas" w:hAnsi="Consolas" w:cs="Consolas"/>
                <w:sz w:val="22"/>
                <w:szCs w:val="22"/>
                <w:shd w:val="clear" w:color="auto" w:fill="EAEEF3"/>
              </w:rPr>
              <w:t>P122_est_limitrophe_de</w:t>
            </w:r>
            <w:r>
              <w:t xml:space="preserve"> : </w:t>
            </w:r>
            <w:r>
              <w:rPr>
                <w:rFonts w:ascii="Consolas" w:eastAsia="Consolas" w:hAnsi="Consolas" w:cs="Consolas"/>
                <w:sz w:val="22"/>
                <w:szCs w:val="22"/>
                <w:shd w:val="clear" w:color="auto" w:fill="EAEEF3"/>
              </w:rPr>
              <w:t>E53_Lieu</w:t>
            </w:r>
          </w:p>
          <w:p w14:paraId="393EBB24" w14:textId="77777777" w:rsidR="00BF18CF" w:rsidRDefault="00E51347">
            <w:r>
              <w:rPr>
                <w:rFonts w:ascii="Consolas" w:eastAsia="Consolas" w:hAnsi="Consolas" w:cs="Consolas"/>
                <w:sz w:val="22"/>
                <w:szCs w:val="22"/>
                <w:shd w:val="clear" w:color="auto" w:fill="EAEEF3"/>
              </w:rPr>
              <w:t>P157_est_à_l’arrêt_par_rapport_à (procure_l'espace_de_référence_pour)</w:t>
            </w:r>
            <w:r>
              <w:t xml:space="preserve"> : </w:t>
            </w:r>
            <w:r>
              <w:rPr>
                <w:rFonts w:ascii="Consolas" w:eastAsia="Consolas" w:hAnsi="Consolas" w:cs="Consolas"/>
                <w:sz w:val="22"/>
                <w:szCs w:val="22"/>
                <w:shd w:val="clear" w:color="auto" w:fill="EAEEF3"/>
              </w:rPr>
              <w:t>E18_Chose_matérielle</w:t>
            </w:r>
          </w:p>
          <w:p w14:paraId="369E381C" w14:textId="77777777" w:rsidR="00BF18CF" w:rsidRDefault="00E51347">
            <w:r>
              <w:rPr>
                <w:rFonts w:ascii="Consolas" w:eastAsia="Consolas" w:hAnsi="Consolas" w:cs="Consolas"/>
                <w:sz w:val="22"/>
                <w:szCs w:val="22"/>
                <w:shd w:val="clear" w:color="auto" w:fill="EAEEF3"/>
              </w:rPr>
              <w:t>P168_lieu_défini_par (définit_le_lieu)</w:t>
            </w:r>
            <w:r>
              <w:t xml:space="preserve"> : </w:t>
            </w:r>
            <w:r>
              <w:rPr>
                <w:rFonts w:ascii="Consolas" w:eastAsia="Consolas" w:hAnsi="Consolas" w:cs="Consolas"/>
                <w:sz w:val="22"/>
                <w:szCs w:val="22"/>
                <w:shd w:val="clear" w:color="auto" w:fill="EAEEF3"/>
              </w:rPr>
              <w:t>E94_Primitive_spatiale</w:t>
            </w:r>
          </w:p>
          <w:p w14:paraId="6EDB5074" w14:textId="77777777" w:rsidR="00BF18CF" w:rsidRDefault="00E51347">
            <w:r>
              <w:rPr>
                <w:rFonts w:ascii="Consolas" w:eastAsia="Consolas" w:hAnsi="Consolas" w:cs="Consolas"/>
                <w:sz w:val="22"/>
                <w:szCs w:val="22"/>
                <w:shd w:val="clear" w:color="auto" w:fill="EAEEF3"/>
              </w:rPr>
              <w:t>P171_quelque_part_dans</w:t>
            </w:r>
            <w:r>
              <w:t xml:space="preserve"> : </w:t>
            </w:r>
            <w:r>
              <w:rPr>
                <w:rFonts w:ascii="Consolas" w:eastAsia="Consolas" w:hAnsi="Consolas" w:cs="Consolas"/>
                <w:sz w:val="22"/>
                <w:szCs w:val="22"/>
                <w:shd w:val="clear" w:color="auto" w:fill="EAEEF3"/>
              </w:rPr>
              <w:t>E94_Primitive_spatiale</w:t>
            </w:r>
          </w:p>
          <w:p w14:paraId="6EAA5A83" w14:textId="77777777" w:rsidR="00BF18CF" w:rsidRDefault="00E51347">
            <w:r>
              <w:rPr>
                <w:rFonts w:ascii="Consolas" w:eastAsia="Consolas" w:hAnsi="Consolas" w:cs="Consolas"/>
                <w:sz w:val="22"/>
                <w:szCs w:val="22"/>
                <w:shd w:val="clear" w:color="auto" w:fill="EAEEF3"/>
              </w:rPr>
              <w:t>P172_contient</w:t>
            </w:r>
            <w:r>
              <w:t xml:space="preserve"> : </w:t>
            </w:r>
            <w:r>
              <w:rPr>
                <w:rFonts w:ascii="Consolas" w:eastAsia="Consolas" w:hAnsi="Consolas" w:cs="Consolas"/>
                <w:sz w:val="22"/>
                <w:szCs w:val="22"/>
                <w:shd w:val="clear" w:color="auto" w:fill="EAEEF3"/>
              </w:rPr>
              <w:t>E94_Primitive_spatiale</w:t>
            </w:r>
          </w:p>
        </w:tc>
      </w:tr>
      <w:tr w:rsidR="00BF18CF" w14:paraId="7A44434B" w14:textId="77777777" w:rsidTr="00BF18CF">
        <w:tc>
          <w:tcPr>
            <w:tcW w:w="1757" w:type="dxa"/>
          </w:tcPr>
          <w:p w14:paraId="1C46A2AF" w14:textId="77D86DE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33" w:type="dxa"/>
          </w:tcPr>
          <w:p w14:paraId="5CDBE099" w14:textId="77777777" w:rsidR="00BF18CF" w:rsidRDefault="00BF18CF">
            <w:pPr>
              <w:pBdr>
                <w:top w:val="nil"/>
                <w:left w:val="nil"/>
                <w:bottom w:val="nil"/>
                <w:right w:val="nil"/>
                <w:between w:val="nil"/>
              </w:pBdr>
              <w:spacing w:before="36" w:after="36"/>
              <w:rPr>
                <w:color w:val="000000"/>
              </w:rPr>
            </w:pPr>
          </w:p>
        </w:tc>
      </w:tr>
      <w:tr w:rsidR="00BF18CF" w14:paraId="513CABE1" w14:textId="77777777" w:rsidTr="00BF18CF">
        <w:tc>
          <w:tcPr>
            <w:tcW w:w="1757" w:type="dxa"/>
          </w:tcPr>
          <w:p w14:paraId="27D67BC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33" w:type="dxa"/>
          </w:tcPr>
          <w:p w14:paraId="6A581C25" w14:textId="77777777" w:rsidR="00BF18CF" w:rsidRDefault="00BF18CF">
            <w:pPr>
              <w:pBdr>
                <w:top w:val="nil"/>
                <w:left w:val="nil"/>
                <w:bottom w:val="nil"/>
                <w:right w:val="nil"/>
                <w:between w:val="nil"/>
              </w:pBdr>
              <w:spacing w:before="36" w:after="36"/>
              <w:rPr>
                <w:color w:val="000000"/>
              </w:rPr>
            </w:pPr>
          </w:p>
        </w:tc>
      </w:tr>
    </w:tbl>
    <w:p w14:paraId="1F9ABAEB" w14:textId="77777777" w:rsidR="00BF18CF" w:rsidRDefault="00E51347">
      <w:pPr>
        <w:pStyle w:val="Heading3"/>
      </w:pPr>
      <w:bookmarkStart w:id="184" w:name="bookmark=id.3jtnz0s" w:colFirst="0" w:colLast="0"/>
      <w:bookmarkStart w:id="185" w:name="_Toc144360835"/>
      <w:bookmarkEnd w:id="184"/>
      <w:r>
        <w:t>E54 Dimension</w:t>
      </w:r>
      <w:bookmarkEnd w:id="185"/>
    </w:p>
    <w:tbl>
      <w:tblPr>
        <w:tblStyle w:val="a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77"/>
        <w:gridCol w:w="8913"/>
      </w:tblGrid>
      <w:tr w:rsidR="00BF18CF" w14:paraId="0F458A7A" w14:textId="77777777" w:rsidTr="00BF18CF">
        <w:tc>
          <w:tcPr>
            <w:tcW w:w="1777" w:type="dxa"/>
          </w:tcPr>
          <w:p w14:paraId="0E019D98"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13" w:type="dxa"/>
          </w:tcPr>
          <w:p w14:paraId="6F0789FC" w14:textId="77777777" w:rsidR="00BF18CF" w:rsidRDefault="00E51347">
            <w:r>
              <w:rPr>
                <w:rFonts w:ascii="Consolas" w:eastAsia="Consolas" w:hAnsi="Consolas" w:cs="Consolas"/>
                <w:sz w:val="22"/>
                <w:szCs w:val="22"/>
                <w:shd w:val="clear" w:color="auto" w:fill="EAEEF3"/>
              </w:rPr>
              <w:t>E1_Entité_CRM</w:t>
            </w:r>
          </w:p>
        </w:tc>
      </w:tr>
      <w:tr w:rsidR="00BF18CF" w14:paraId="5406EFF2" w14:textId="77777777" w:rsidTr="00BF18CF">
        <w:tc>
          <w:tcPr>
            <w:tcW w:w="1777" w:type="dxa"/>
          </w:tcPr>
          <w:p w14:paraId="79DE1C98"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13" w:type="dxa"/>
          </w:tcPr>
          <w:p w14:paraId="58FBEED9" w14:textId="77777777" w:rsidR="00BF18CF" w:rsidRDefault="00E51347">
            <w:r>
              <w:rPr>
                <w:rFonts w:ascii="Consolas" w:eastAsia="Consolas" w:hAnsi="Consolas" w:cs="Consolas"/>
                <w:sz w:val="22"/>
                <w:szCs w:val="22"/>
                <w:shd w:val="clear" w:color="auto" w:fill="EAEEF3"/>
              </w:rPr>
              <w:t>E97_Valeur_monétaire</w:t>
            </w:r>
          </w:p>
        </w:tc>
      </w:tr>
      <w:tr w:rsidR="00BF18CF" w14:paraId="7C26C569" w14:textId="77777777" w:rsidTr="00BF18CF">
        <w:tc>
          <w:tcPr>
            <w:tcW w:w="1777" w:type="dxa"/>
          </w:tcPr>
          <w:p w14:paraId="292FED15"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913" w:type="dxa"/>
          </w:tcPr>
          <w:p w14:paraId="2EA71420" w14:textId="77777777" w:rsidR="00BF18CF" w:rsidRDefault="00E51347">
            <w:r>
              <w:t>Cette classe comprend des propriétés quantifiables pouvant être mesurées par le biais d’une opération d’étalonnage et estimées avec des valeurs, c.-à-d. par des points ou des régions dans un espace mathématique ou conceptuel, tels que les entiers naturels ou les nombres réels, les valeurs du mode colorimétrique RVB [n.d.t. rouge, vert, bleu, etc.</w:t>
            </w:r>
          </w:p>
          <w:p w14:paraId="5ABBCCC4" w14:textId="77777777" w:rsidR="00BF18CF" w:rsidRDefault="00E51347">
            <w:r>
              <w:t xml:space="preserve">Une instance de </w:t>
            </w:r>
            <w:r>
              <w:rPr>
                <w:rFonts w:ascii="Consolas" w:eastAsia="Consolas" w:hAnsi="Consolas" w:cs="Consolas"/>
                <w:sz w:val="22"/>
                <w:szCs w:val="22"/>
                <w:shd w:val="clear" w:color="auto" w:fill="EAEEF3"/>
              </w:rPr>
              <w:t>E54_Dimension</w:t>
            </w:r>
            <w:r>
              <w:t xml:space="preserve"> représente la quantité empirique ou théoriquement dérivée, y compris les approximations résultant de la méthode ou du calcul spécifique. L’identité d’une instance de </w:t>
            </w:r>
            <w:r>
              <w:rPr>
                <w:rFonts w:ascii="Consolas" w:eastAsia="Consolas" w:hAnsi="Consolas" w:cs="Consolas"/>
                <w:sz w:val="22"/>
                <w:szCs w:val="22"/>
                <w:shd w:val="clear" w:color="auto" w:fill="EAEEF3"/>
              </w:rPr>
              <w:t>E54_Dimension</w:t>
            </w:r>
            <w:r>
              <w:t xml:space="preserve"> dépend de la méthode selon laquelle elle est déterminée parce que chacune des méthodes pourrait produire des valeurs différentes même lorsque des qualités comparables sont déterminées. Par exemple, la dimension de l’envergure d’un oiseau vivant sera différente de celle d’un oiseau mort. La datation par thermoluminescence et la datation par réhydroxylation sont des dimensions différentes de distance temporelle, même si elles visent à dater le même objet. La méthode de détermination doit être exprimée à l’aide de la propriété </w:t>
            </w:r>
            <w:r>
              <w:rPr>
                <w:rFonts w:ascii="Consolas" w:eastAsia="Consolas" w:hAnsi="Consolas" w:cs="Consolas"/>
                <w:sz w:val="22"/>
                <w:szCs w:val="22"/>
                <w:shd w:val="clear" w:color="auto" w:fill="EAEEF3"/>
              </w:rPr>
              <w:t>P2_a_pour_type (est_le_type_de)</w:t>
            </w:r>
            <w:r>
              <w:t>. Des termes simples tels que « diamètre » ou « longueur » sont généralement insuffisants pour décrire clairement une dimension alors que l'expression « étendue linéaire maximale » peut être suffisante.</w:t>
            </w:r>
          </w:p>
          <w:p w14:paraId="71AB5D6E" w14:textId="77777777" w:rsidR="00BF18CF" w:rsidRDefault="00E51347">
            <w:r>
              <w:t xml:space="preserve">Les propriétés de la classe </w:t>
            </w:r>
            <w:r>
              <w:rPr>
                <w:rFonts w:ascii="Consolas" w:eastAsia="Consolas" w:hAnsi="Consolas" w:cs="Consolas"/>
                <w:sz w:val="22"/>
                <w:szCs w:val="22"/>
                <w:shd w:val="clear" w:color="auto" w:fill="EAEEF3"/>
              </w:rPr>
              <w:t>E54_Dimension</w:t>
            </w:r>
            <w:r>
              <w:t xml:space="preserve"> permettent d’exprimer les valeurs numériques approximatives des instances de </w:t>
            </w:r>
            <w:r>
              <w:rPr>
                <w:rFonts w:ascii="Consolas" w:eastAsia="Consolas" w:hAnsi="Consolas" w:cs="Consolas"/>
                <w:sz w:val="22"/>
                <w:szCs w:val="22"/>
                <w:shd w:val="clear" w:color="auto" w:fill="EAEEF3"/>
              </w:rPr>
              <w:t>E54_Dimension</w:t>
            </w:r>
            <w:r>
              <w:t xml:space="preserve"> convenables à la précision de la méthode de détermination utilisée. Si la quantité appartient à un espace non discret selon les lois de la physique, comme une distance spatiale, il est recommandé de l’enregistrer comme une estimation par intervalles ou régions d’indétermination couvrant les valeurs considérées vraies. Par exemple, une longueur de 5 centimètres peut être enregistrée comme 4,5-5,5 centimètres, en fonction de la précision de l’observation. La comparabilité des valeurs décrites dans différentes unités dépend significativement de la représentation comme des régions de valeurs.</w:t>
            </w:r>
          </w:p>
          <w:p w14:paraId="562C4A2F" w14:textId="77777777" w:rsidR="00BF18CF" w:rsidRDefault="00E51347">
            <w:r>
              <w:t xml:space="preserve">Les estimations numériques archaïques enregistrées comme instances de </w:t>
            </w:r>
            <w:r>
              <w:rPr>
                <w:rFonts w:ascii="Consolas" w:eastAsia="Consolas" w:hAnsi="Consolas" w:cs="Consolas"/>
                <w:sz w:val="22"/>
                <w:szCs w:val="22"/>
                <w:shd w:val="clear" w:color="auto" w:fill="EAEEF3"/>
              </w:rPr>
              <w:t>E58_Unité_de_</w:t>
            </w:r>
            <w:proofErr w:type="gramStart"/>
            <w:r>
              <w:rPr>
                <w:rFonts w:ascii="Consolas" w:eastAsia="Consolas" w:hAnsi="Consolas" w:cs="Consolas"/>
                <w:sz w:val="22"/>
                <w:szCs w:val="22"/>
                <w:shd w:val="clear" w:color="auto" w:fill="EAEEF3"/>
              </w:rPr>
              <w:t>mesure</w:t>
            </w:r>
            <w:r>
              <w:t xml:space="preserve"> utilisées</w:t>
            </w:r>
            <w:proofErr w:type="gramEnd"/>
            <w:r>
              <w:t xml:space="preserve"> dans les documents historiques doivent être conservées. Les valeurs équivalentes correspondant aux connaissances actuelles doivent être enregistrées comme des instances supplémentaires de </w:t>
            </w:r>
            <w:r>
              <w:rPr>
                <w:rFonts w:ascii="Consolas" w:eastAsia="Consolas" w:hAnsi="Consolas" w:cs="Consolas"/>
                <w:sz w:val="22"/>
                <w:szCs w:val="22"/>
                <w:shd w:val="clear" w:color="auto" w:fill="EAEEF3"/>
              </w:rPr>
              <w:t>E54_Dimension</w:t>
            </w:r>
            <w:r>
              <w:t>, le cas échéant.</w:t>
            </w:r>
          </w:p>
        </w:tc>
      </w:tr>
      <w:tr w:rsidR="00BF18CF" w14:paraId="64118335" w14:textId="77777777" w:rsidTr="00BF18CF">
        <w:tc>
          <w:tcPr>
            <w:tcW w:w="1777" w:type="dxa"/>
          </w:tcPr>
          <w:p w14:paraId="76705343"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13" w:type="dxa"/>
          </w:tcPr>
          <w:p w14:paraId="4E3736F0" w14:textId="77777777" w:rsidR="00BF18CF" w:rsidRDefault="00E51347">
            <w:pPr>
              <w:numPr>
                <w:ilvl w:val="0"/>
                <w:numId w:val="19"/>
              </w:numPr>
            </w:pPr>
            <w:r>
              <w:t>Le poids de l’obélisque de Louxor [250 tonnes]</w:t>
            </w:r>
          </w:p>
          <w:p w14:paraId="374369EF" w14:textId="77777777" w:rsidR="00BF18CF" w:rsidRDefault="00E51347">
            <w:pPr>
              <w:numPr>
                <w:ilvl w:val="0"/>
                <w:numId w:val="19"/>
              </w:numPr>
            </w:pPr>
            <w:r>
              <w:t>La hauteur du David de Michel-Ange [5,17 mètres]</w:t>
            </w:r>
          </w:p>
          <w:p w14:paraId="3043BA03" w14:textId="77777777" w:rsidR="00BF18CF" w:rsidRDefault="00E51347">
            <w:pPr>
              <w:numPr>
                <w:ilvl w:val="0"/>
                <w:numId w:val="19"/>
              </w:numPr>
            </w:pPr>
            <w:r>
              <w:t>La masse du diamant Cullinan [530,2 carats]</w:t>
            </w:r>
          </w:p>
          <w:p w14:paraId="3143C3CE" w14:textId="77777777" w:rsidR="00BF18CF" w:rsidRDefault="00E51347">
            <w:pPr>
              <w:numPr>
                <w:ilvl w:val="0"/>
                <w:numId w:val="19"/>
              </w:numPr>
            </w:pPr>
            <w:r>
              <w:t>L’âge calibré au carbone 14 du Suaire de Turin [1262-1312 EC, 1303-1384 EC]</w:t>
            </w:r>
          </w:p>
          <w:p w14:paraId="0FBB90F4" w14:textId="77777777" w:rsidR="00BF18CF" w:rsidRDefault="00E51347">
            <w:pPr>
              <w:numPr>
                <w:ilvl w:val="0"/>
                <w:numId w:val="19"/>
              </w:numPr>
            </w:pPr>
            <w:r>
              <w:t>Le diamètre horizontal du grand cercle de sarsen de Stonehenge [33 mètres]</w:t>
            </w:r>
          </w:p>
          <w:p w14:paraId="29B48F53" w14:textId="77777777" w:rsidR="00BF18CF" w:rsidRDefault="00E51347">
            <w:pPr>
              <w:numPr>
                <w:ilvl w:val="0"/>
                <w:numId w:val="19"/>
              </w:numPr>
            </w:pPr>
            <w:r>
              <w:t>La longueur des côtés de la grande pyramide de Gizeh [755,9 pieds]</w:t>
            </w:r>
          </w:p>
          <w:p w14:paraId="0EEB1CDA" w14:textId="77777777" w:rsidR="00BF18CF" w:rsidRDefault="00E51347">
            <w:pPr>
              <w:numPr>
                <w:ilvl w:val="0"/>
                <w:numId w:val="19"/>
              </w:numPr>
            </w:pPr>
            <w:r>
              <w:t>La durée de l’intervalle temporel de la bataille d’Issos le 15 novembre 333 AEC [moins de 12 heures] (Howard, 2012)</w:t>
            </w:r>
          </w:p>
          <w:p w14:paraId="6CBE856C" w14:textId="77777777" w:rsidR="00BF18CF" w:rsidRDefault="00E51347">
            <w:pPr>
              <w:numPr>
                <w:ilvl w:val="0"/>
                <w:numId w:val="19"/>
              </w:numPr>
            </w:pPr>
            <w:r>
              <w:lastRenderedPageBreak/>
              <w:t xml:space="preserve">Le prix d’adjudication par Christie's de l’œuvre de Vincent Van Gogh </w:t>
            </w:r>
            <w:r>
              <w:rPr>
                <w:i/>
              </w:rPr>
              <w:t>Nature morte : Vase avec quinze tournesols</w:t>
            </w:r>
            <w:r>
              <w:t xml:space="preserve"> à Londres le 30 mars 1987 [24,75 millions de livres sterling] (</w:t>
            </w:r>
            <w:r>
              <w:rPr>
                <w:rFonts w:ascii="Consolas" w:eastAsia="Consolas" w:hAnsi="Consolas" w:cs="Consolas"/>
                <w:sz w:val="22"/>
                <w:szCs w:val="22"/>
                <w:shd w:val="clear" w:color="auto" w:fill="EAEEF3"/>
              </w:rPr>
              <w:t>E54_Dimension</w:t>
            </w:r>
            <w:r>
              <w:t>)</w:t>
            </w:r>
          </w:p>
        </w:tc>
      </w:tr>
      <w:tr w:rsidR="00BF18CF" w14:paraId="0D33D54B" w14:textId="77777777" w:rsidTr="00BF18CF">
        <w:tc>
          <w:tcPr>
            <w:tcW w:w="1777" w:type="dxa"/>
          </w:tcPr>
          <w:p w14:paraId="0EE37594"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13" w:type="dxa"/>
          </w:tcPr>
          <w:p w14:paraId="472262C4" w14:textId="77777777" w:rsidR="00BF18CF" w:rsidRDefault="00E51347">
            <w:r>
              <w:t>E54(x) ⇒ E1(x)</w:t>
            </w:r>
          </w:p>
        </w:tc>
      </w:tr>
      <w:tr w:rsidR="00BF18CF" w14:paraId="774644BF" w14:textId="77777777" w:rsidTr="00BF18CF">
        <w:tc>
          <w:tcPr>
            <w:tcW w:w="1777" w:type="dxa"/>
          </w:tcPr>
          <w:p w14:paraId="188A5AC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13" w:type="dxa"/>
          </w:tcPr>
          <w:p w14:paraId="0EC9C83C" w14:textId="77777777" w:rsidR="00BF18CF" w:rsidRDefault="00E51347">
            <w:r>
              <w:rPr>
                <w:rFonts w:ascii="Consolas" w:eastAsia="Consolas" w:hAnsi="Consolas" w:cs="Consolas"/>
                <w:sz w:val="22"/>
                <w:szCs w:val="22"/>
                <w:shd w:val="clear" w:color="auto" w:fill="EAEEF3"/>
              </w:rPr>
              <w:t>P90_a_pour_valeur</w:t>
            </w:r>
            <w:r>
              <w:t xml:space="preserve"> : </w:t>
            </w:r>
            <w:r>
              <w:rPr>
                <w:rFonts w:ascii="Consolas" w:eastAsia="Consolas" w:hAnsi="Consolas" w:cs="Consolas"/>
                <w:sz w:val="22"/>
                <w:szCs w:val="22"/>
                <w:shd w:val="clear" w:color="auto" w:fill="EAEEF3"/>
              </w:rPr>
              <w:t>E60_Nombre</w:t>
            </w:r>
          </w:p>
          <w:p w14:paraId="6E1358E5" w14:textId="77777777" w:rsidR="00BF18CF" w:rsidRDefault="00E51347">
            <w:r>
              <w:rPr>
                <w:rFonts w:ascii="Consolas" w:eastAsia="Consolas" w:hAnsi="Consolas" w:cs="Consolas"/>
                <w:sz w:val="22"/>
                <w:szCs w:val="22"/>
                <w:shd w:val="clear" w:color="auto" w:fill="EAEEF3"/>
              </w:rPr>
              <w:t>P91_a_pour_unité_de_mesure (est_l’unité_de_mesure_de)</w:t>
            </w:r>
            <w:r>
              <w:t xml:space="preserve"> : </w:t>
            </w:r>
            <w:r>
              <w:rPr>
                <w:rFonts w:ascii="Consolas" w:eastAsia="Consolas" w:hAnsi="Consolas" w:cs="Consolas"/>
                <w:sz w:val="22"/>
                <w:szCs w:val="22"/>
                <w:shd w:val="clear" w:color="auto" w:fill="EAEEF3"/>
              </w:rPr>
              <w:t>E58_Unité_de_mesure</w:t>
            </w:r>
          </w:p>
        </w:tc>
      </w:tr>
      <w:tr w:rsidR="00BF18CF" w14:paraId="6FF06FC3" w14:textId="77777777" w:rsidTr="00BF18CF">
        <w:tc>
          <w:tcPr>
            <w:tcW w:w="1777" w:type="dxa"/>
          </w:tcPr>
          <w:p w14:paraId="5DC84174" w14:textId="4770EA5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13" w:type="dxa"/>
          </w:tcPr>
          <w:p w14:paraId="6683F8E6" w14:textId="77777777" w:rsidR="00BF18CF" w:rsidRDefault="00BF18CF">
            <w:pPr>
              <w:pBdr>
                <w:top w:val="nil"/>
                <w:left w:val="nil"/>
                <w:bottom w:val="nil"/>
                <w:right w:val="nil"/>
                <w:between w:val="nil"/>
              </w:pBdr>
              <w:spacing w:before="36" w:after="36"/>
              <w:rPr>
                <w:color w:val="000000"/>
              </w:rPr>
            </w:pPr>
          </w:p>
        </w:tc>
      </w:tr>
      <w:tr w:rsidR="00BF18CF" w14:paraId="0ACEB3C2" w14:textId="77777777" w:rsidTr="00BF18CF">
        <w:tc>
          <w:tcPr>
            <w:tcW w:w="1777" w:type="dxa"/>
          </w:tcPr>
          <w:p w14:paraId="75FC6E5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13" w:type="dxa"/>
          </w:tcPr>
          <w:p w14:paraId="702306F4" w14:textId="77777777" w:rsidR="00BF18CF" w:rsidRDefault="00BF18CF">
            <w:pPr>
              <w:pBdr>
                <w:top w:val="nil"/>
                <w:left w:val="nil"/>
                <w:bottom w:val="nil"/>
                <w:right w:val="nil"/>
                <w:between w:val="nil"/>
              </w:pBdr>
              <w:spacing w:before="36" w:after="36"/>
              <w:rPr>
                <w:color w:val="000000"/>
              </w:rPr>
            </w:pPr>
          </w:p>
        </w:tc>
      </w:tr>
    </w:tbl>
    <w:p w14:paraId="36D2C95B" w14:textId="77777777" w:rsidR="00BF18CF" w:rsidRDefault="00E51347">
      <w:pPr>
        <w:pStyle w:val="Heading3"/>
      </w:pPr>
      <w:bookmarkStart w:id="186" w:name="bookmark=id.1yyy98l" w:colFirst="0" w:colLast="0"/>
      <w:bookmarkStart w:id="187" w:name="_Toc144360836"/>
      <w:bookmarkEnd w:id="186"/>
      <w:r>
        <w:t>E55 Type</w:t>
      </w:r>
      <w:bookmarkEnd w:id="187"/>
    </w:p>
    <w:tbl>
      <w:tblPr>
        <w:tblStyle w:val="a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55"/>
        <w:gridCol w:w="8935"/>
      </w:tblGrid>
      <w:tr w:rsidR="00BF18CF" w14:paraId="5736D2A2" w14:textId="77777777" w:rsidTr="00BF18CF">
        <w:tc>
          <w:tcPr>
            <w:tcW w:w="1755" w:type="dxa"/>
          </w:tcPr>
          <w:p w14:paraId="4F838485"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35" w:type="dxa"/>
          </w:tcPr>
          <w:p w14:paraId="037FC1B4" w14:textId="77777777" w:rsidR="00BF18CF" w:rsidRDefault="00E51347">
            <w:r>
              <w:rPr>
                <w:rFonts w:ascii="Consolas" w:eastAsia="Consolas" w:hAnsi="Consolas" w:cs="Consolas"/>
                <w:sz w:val="22"/>
                <w:szCs w:val="22"/>
                <w:shd w:val="clear" w:color="auto" w:fill="EAEEF3"/>
              </w:rPr>
              <w:t>E28_Objet_conceptuel</w:t>
            </w:r>
          </w:p>
        </w:tc>
      </w:tr>
      <w:tr w:rsidR="00BF18CF" w14:paraId="439B9167" w14:textId="77777777" w:rsidTr="00BF18CF">
        <w:tc>
          <w:tcPr>
            <w:tcW w:w="1755" w:type="dxa"/>
          </w:tcPr>
          <w:p w14:paraId="6D3B6C30"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35" w:type="dxa"/>
          </w:tcPr>
          <w:p w14:paraId="1BB25763" w14:textId="77777777" w:rsidR="00BF18CF" w:rsidRDefault="00E51347">
            <w:r>
              <w:rPr>
                <w:rFonts w:ascii="Consolas" w:eastAsia="Consolas" w:hAnsi="Consolas" w:cs="Consolas"/>
                <w:sz w:val="22"/>
                <w:szCs w:val="22"/>
                <w:shd w:val="clear" w:color="auto" w:fill="EAEEF3"/>
              </w:rPr>
              <w:t>E56_Langue</w:t>
            </w:r>
          </w:p>
          <w:p w14:paraId="23CF44D0" w14:textId="77777777" w:rsidR="00BF18CF" w:rsidRDefault="00E51347">
            <w:r>
              <w:rPr>
                <w:rFonts w:ascii="Consolas" w:eastAsia="Consolas" w:hAnsi="Consolas" w:cs="Consolas"/>
                <w:sz w:val="22"/>
                <w:szCs w:val="22"/>
                <w:shd w:val="clear" w:color="auto" w:fill="EAEEF3"/>
              </w:rPr>
              <w:t>E57_Matériau</w:t>
            </w:r>
          </w:p>
          <w:p w14:paraId="618F9CDA" w14:textId="77777777" w:rsidR="00BF18CF" w:rsidRDefault="00E51347">
            <w:r>
              <w:rPr>
                <w:rFonts w:ascii="Consolas" w:eastAsia="Consolas" w:hAnsi="Consolas" w:cs="Consolas"/>
                <w:sz w:val="22"/>
                <w:szCs w:val="22"/>
                <w:shd w:val="clear" w:color="auto" w:fill="EAEEF3"/>
              </w:rPr>
              <w:t>E58_Unité_de_mesure</w:t>
            </w:r>
          </w:p>
          <w:p w14:paraId="5D81475D" w14:textId="77777777" w:rsidR="00BF18CF" w:rsidRDefault="00E51347">
            <w:r>
              <w:rPr>
                <w:rFonts w:ascii="Consolas" w:eastAsia="Consolas" w:hAnsi="Consolas" w:cs="Consolas"/>
                <w:sz w:val="22"/>
                <w:szCs w:val="22"/>
                <w:shd w:val="clear" w:color="auto" w:fill="EAEEF3"/>
              </w:rPr>
              <w:t>E99_Modèle_de_produit</w:t>
            </w:r>
          </w:p>
        </w:tc>
      </w:tr>
      <w:tr w:rsidR="00BF18CF" w14:paraId="3220D875" w14:textId="77777777" w:rsidTr="00BF18CF">
        <w:tc>
          <w:tcPr>
            <w:tcW w:w="1755" w:type="dxa"/>
          </w:tcPr>
          <w:p w14:paraId="4225F55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35" w:type="dxa"/>
          </w:tcPr>
          <w:p w14:paraId="45429533" w14:textId="77777777" w:rsidR="00BF18CF" w:rsidRDefault="00E51347">
            <w:r>
              <w:t xml:space="preserve">Cette classe comprend des concepts désignés par des termes issus de thésaurus et de vocabulaires contrôlés utilisés pour caractériser et catégoriser les instances des classes du CIDOC CRM. Les instances de </w:t>
            </w:r>
            <w:r>
              <w:rPr>
                <w:rFonts w:ascii="Consolas" w:eastAsia="Consolas" w:hAnsi="Consolas" w:cs="Consolas"/>
                <w:sz w:val="22"/>
                <w:szCs w:val="22"/>
                <w:shd w:val="clear" w:color="auto" w:fill="EAEEF3"/>
              </w:rPr>
              <w:t>E55_Type</w:t>
            </w:r>
            <w:r>
              <w:t xml:space="preserve"> représentent des concepts par opposition aux instances de </w:t>
            </w:r>
            <w:r>
              <w:rPr>
                <w:rFonts w:ascii="Consolas" w:eastAsia="Consolas" w:hAnsi="Consolas" w:cs="Consolas"/>
                <w:sz w:val="22"/>
                <w:szCs w:val="22"/>
                <w:shd w:val="clear" w:color="auto" w:fill="EAEEF3"/>
              </w:rPr>
              <w:t>E41_Appellation</w:t>
            </w:r>
            <w:r>
              <w:t xml:space="preserve"> qui sont utilisées pour nommer les instances des classes du CIDOC CRM.</w:t>
            </w:r>
          </w:p>
          <w:p w14:paraId="2662AA02" w14:textId="77777777" w:rsidR="00BF18CF" w:rsidRDefault="00E51347">
            <w:r>
              <w:t xml:space="preserve">La classe </w:t>
            </w:r>
            <w:r>
              <w:rPr>
                <w:rFonts w:ascii="Consolas" w:eastAsia="Consolas" w:hAnsi="Consolas" w:cs="Consolas"/>
                <w:sz w:val="22"/>
                <w:szCs w:val="22"/>
                <w:shd w:val="clear" w:color="auto" w:fill="EAEEF3"/>
              </w:rPr>
              <w:t>E55_Type</w:t>
            </w:r>
            <w:r>
              <w:t xml:space="preserve"> est le point d’entrée qui permet d’accueillir des ontologies et thésaurus spécifiques. Ceux-ci peuvent être représentés dans le CIDOC CRM comme des sous-classes de </w:t>
            </w:r>
            <w:r>
              <w:rPr>
                <w:rFonts w:ascii="Consolas" w:eastAsia="Consolas" w:hAnsi="Consolas" w:cs="Consolas"/>
                <w:sz w:val="22"/>
                <w:szCs w:val="22"/>
                <w:shd w:val="clear" w:color="auto" w:fill="EAEEF3"/>
              </w:rPr>
              <w:t>E55_Type</w:t>
            </w:r>
            <w:r>
              <w:t xml:space="preserve">, formant des hiérarchies de termes, c.-à-d. que les instances de </w:t>
            </w:r>
            <w:r>
              <w:rPr>
                <w:rFonts w:ascii="Consolas" w:eastAsia="Consolas" w:hAnsi="Consolas" w:cs="Consolas"/>
                <w:sz w:val="22"/>
                <w:szCs w:val="22"/>
                <w:shd w:val="clear" w:color="auto" w:fill="EAEEF3"/>
              </w:rPr>
              <w:t>E55_Type</w:t>
            </w:r>
            <w:r>
              <w:t xml:space="preserve"> sont liées par la propriété </w:t>
            </w:r>
            <w:r>
              <w:rPr>
                <w:rFonts w:ascii="Consolas" w:eastAsia="Consolas" w:hAnsi="Consolas" w:cs="Consolas"/>
                <w:sz w:val="22"/>
                <w:szCs w:val="22"/>
                <w:shd w:val="clear" w:color="auto" w:fill="EAEEF3"/>
              </w:rPr>
              <w:t>P127_a_pour_terme_général (a_pour_terme_spécifique)</w:t>
            </w:r>
            <w:r>
              <w:t xml:space="preserve"> : </w:t>
            </w:r>
            <w:r>
              <w:rPr>
                <w:rFonts w:ascii="Consolas" w:eastAsia="Consolas" w:hAnsi="Consolas" w:cs="Consolas"/>
                <w:sz w:val="22"/>
                <w:szCs w:val="22"/>
                <w:shd w:val="clear" w:color="auto" w:fill="EAEEF3"/>
              </w:rPr>
              <w:t>E55_Type</w:t>
            </w:r>
            <w:r>
              <w:t>. De telles hiérarchies peuvent être étendues avec des propriétés supplémentaires.</w:t>
            </w:r>
          </w:p>
        </w:tc>
      </w:tr>
      <w:tr w:rsidR="00BF18CF" w14:paraId="79DC90FC" w14:textId="77777777" w:rsidTr="00BF18CF">
        <w:tc>
          <w:tcPr>
            <w:tcW w:w="1755" w:type="dxa"/>
          </w:tcPr>
          <w:p w14:paraId="311CD027"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35" w:type="dxa"/>
          </w:tcPr>
          <w:p w14:paraId="396A453B" w14:textId="77777777" w:rsidR="00BF18CF" w:rsidRDefault="00E51347">
            <w:pPr>
              <w:numPr>
                <w:ilvl w:val="0"/>
                <w:numId w:val="19"/>
              </w:numPr>
            </w:pPr>
            <w:r>
              <w:t xml:space="preserve">Poids, longueur, profondeur [types associés à </w:t>
            </w:r>
            <w:r>
              <w:rPr>
                <w:rFonts w:ascii="Consolas" w:eastAsia="Consolas" w:hAnsi="Consolas" w:cs="Consolas"/>
                <w:sz w:val="22"/>
                <w:szCs w:val="22"/>
                <w:shd w:val="clear" w:color="auto" w:fill="EAEEF3"/>
              </w:rPr>
              <w:t>E54_Dimension</w:t>
            </w:r>
            <w:r>
              <w:t>]</w:t>
            </w:r>
          </w:p>
          <w:p w14:paraId="3CEEB2D7" w14:textId="77777777" w:rsidR="00BF18CF" w:rsidRDefault="00E51347">
            <w:pPr>
              <w:numPr>
                <w:ilvl w:val="0"/>
                <w:numId w:val="19"/>
              </w:numPr>
            </w:pPr>
            <w:r>
              <w:t xml:space="preserve">Portrait, croquis, animation [types associés à </w:t>
            </w:r>
            <w:r>
              <w:rPr>
                <w:rFonts w:ascii="Consolas" w:eastAsia="Consolas" w:hAnsi="Consolas" w:cs="Consolas"/>
                <w:sz w:val="22"/>
                <w:szCs w:val="22"/>
                <w:shd w:val="clear" w:color="auto" w:fill="EAEEF3"/>
              </w:rPr>
              <w:t>E36_Entité_visuelle</w:t>
            </w:r>
            <w:r>
              <w:t>]</w:t>
            </w:r>
          </w:p>
          <w:p w14:paraId="2C4FA3BF" w14:textId="77777777" w:rsidR="00BF18CF" w:rsidRDefault="00E51347">
            <w:pPr>
              <w:numPr>
                <w:ilvl w:val="0"/>
                <w:numId w:val="19"/>
              </w:numPr>
            </w:pPr>
            <w:r>
              <w:t>Français, anglais, allemand [</w:t>
            </w:r>
            <w:r>
              <w:rPr>
                <w:rFonts w:ascii="Consolas" w:eastAsia="Consolas" w:hAnsi="Consolas" w:cs="Consolas"/>
                <w:sz w:val="22"/>
                <w:szCs w:val="22"/>
                <w:shd w:val="clear" w:color="auto" w:fill="EAEEF3"/>
              </w:rPr>
              <w:t>E56_Langue</w:t>
            </w:r>
            <w:r>
              <w:t>]</w:t>
            </w:r>
          </w:p>
          <w:p w14:paraId="06498E5D" w14:textId="77777777" w:rsidR="00BF18CF" w:rsidRDefault="00E51347">
            <w:pPr>
              <w:numPr>
                <w:ilvl w:val="0"/>
                <w:numId w:val="19"/>
              </w:numPr>
            </w:pPr>
            <w:r>
              <w:t xml:space="preserve">Excellent, bon, mauvais [types associés à </w:t>
            </w:r>
            <w:r>
              <w:rPr>
                <w:rFonts w:ascii="Consolas" w:eastAsia="Consolas" w:hAnsi="Consolas" w:cs="Consolas"/>
                <w:sz w:val="22"/>
                <w:szCs w:val="22"/>
                <w:shd w:val="clear" w:color="auto" w:fill="EAEEF3"/>
              </w:rPr>
              <w:t>E3_État_matériel</w:t>
            </w:r>
            <w:r>
              <w:t>]</w:t>
            </w:r>
          </w:p>
          <w:p w14:paraId="4EE72D32" w14:textId="77777777" w:rsidR="00BF18CF" w:rsidRDefault="00E51347">
            <w:pPr>
              <w:numPr>
                <w:ilvl w:val="0"/>
                <w:numId w:val="19"/>
              </w:numPr>
            </w:pPr>
            <w:r>
              <w:t xml:space="preserve">Ford Modèle T, baguettes [types associés à </w:t>
            </w:r>
            <w:r>
              <w:rPr>
                <w:rFonts w:ascii="Consolas" w:eastAsia="Consolas" w:hAnsi="Consolas" w:cs="Consolas"/>
                <w:sz w:val="22"/>
                <w:szCs w:val="22"/>
                <w:shd w:val="clear" w:color="auto" w:fill="EAEEF3"/>
              </w:rPr>
              <w:t>E22_Objet_élaboré_par_l’humain</w:t>
            </w:r>
            <w:r>
              <w:t>]</w:t>
            </w:r>
          </w:p>
          <w:p w14:paraId="15BDC5D6" w14:textId="77777777" w:rsidR="00BF18CF" w:rsidRDefault="00E51347">
            <w:pPr>
              <w:numPr>
                <w:ilvl w:val="0"/>
                <w:numId w:val="19"/>
              </w:numPr>
            </w:pPr>
            <w:proofErr w:type="gramStart"/>
            <w:r>
              <w:t>grotte</w:t>
            </w:r>
            <w:proofErr w:type="gramEnd"/>
            <w:r>
              <w:t xml:space="preserve">, doline, égratignure [types associés à </w:t>
            </w:r>
            <w:r>
              <w:rPr>
                <w:rFonts w:ascii="Consolas" w:eastAsia="Consolas" w:hAnsi="Consolas" w:cs="Consolas"/>
                <w:sz w:val="22"/>
                <w:szCs w:val="22"/>
                <w:shd w:val="clear" w:color="auto" w:fill="EAEEF3"/>
              </w:rPr>
              <w:t>E26_Caractéristique_physique</w:t>
            </w:r>
            <w:r>
              <w:t>]</w:t>
            </w:r>
          </w:p>
          <w:p w14:paraId="2C5B6116" w14:textId="77777777" w:rsidR="00BF18CF" w:rsidRDefault="00E51347">
            <w:pPr>
              <w:numPr>
                <w:ilvl w:val="0"/>
                <w:numId w:val="19"/>
              </w:numPr>
            </w:pPr>
            <w:proofErr w:type="gramStart"/>
            <w:r>
              <w:t>poème</w:t>
            </w:r>
            <w:proofErr w:type="gramEnd"/>
            <w:r>
              <w:t xml:space="preserve">, nouvelle [types associés à </w:t>
            </w:r>
            <w:r>
              <w:rPr>
                <w:rFonts w:ascii="Consolas" w:eastAsia="Consolas" w:hAnsi="Consolas" w:cs="Consolas"/>
                <w:sz w:val="22"/>
                <w:szCs w:val="22"/>
                <w:shd w:val="clear" w:color="auto" w:fill="EAEEF3"/>
              </w:rPr>
              <w:t>E33_Objet_linguistique</w:t>
            </w:r>
            <w:r>
              <w:t>]</w:t>
            </w:r>
          </w:p>
          <w:p w14:paraId="48A84143" w14:textId="77777777" w:rsidR="00BF18CF" w:rsidRDefault="00E51347">
            <w:pPr>
              <w:numPr>
                <w:ilvl w:val="0"/>
                <w:numId w:val="19"/>
              </w:numPr>
            </w:pPr>
            <w:proofErr w:type="gramStart"/>
            <w:r>
              <w:lastRenderedPageBreak/>
              <w:t>mariage</w:t>
            </w:r>
            <w:proofErr w:type="gramEnd"/>
            <w:r>
              <w:t xml:space="preserve">, tremblement de terre, escarmouche [types associés à </w:t>
            </w:r>
            <w:r>
              <w:rPr>
                <w:rFonts w:ascii="Consolas" w:eastAsia="Consolas" w:hAnsi="Consolas" w:cs="Consolas"/>
                <w:sz w:val="22"/>
                <w:szCs w:val="22"/>
                <w:shd w:val="clear" w:color="auto" w:fill="EAEEF3"/>
              </w:rPr>
              <w:t>E5_Évènement</w:t>
            </w:r>
            <w:r>
              <w:t>]</w:t>
            </w:r>
          </w:p>
        </w:tc>
      </w:tr>
      <w:tr w:rsidR="00BF18CF" w14:paraId="553AAC27" w14:textId="77777777" w:rsidTr="00BF18CF">
        <w:tc>
          <w:tcPr>
            <w:tcW w:w="1755" w:type="dxa"/>
          </w:tcPr>
          <w:p w14:paraId="1DB31819"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35" w:type="dxa"/>
          </w:tcPr>
          <w:p w14:paraId="7AB036FE" w14:textId="77777777" w:rsidR="00BF18CF" w:rsidRDefault="00E51347">
            <w:r>
              <w:t>E55(x) ⇒ E28(x)</w:t>
            </w:r>
          </w:p>
        </w:tc>
      </w:tr>
      <w:tr w:rsidR="00BF18CF" w14:paraId="0035C1DD" w14:textId="77777777" w:rsidTr="00BF18CF">
        <w:tc>
          <w:tcPr>
            <w:tcW w:w="1755" w:type="dxa"/>
          </w:tcPr>
          <w:p w14:paraId="46EB340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35" w:type="dxa"/>
          </w:tcPr>
          <w:p w14:paraId="4836CA0D" w14:textId="77777777" w:rsidR="00BF18CF" w:rsidRDefault="00E51347">
            <w:r>
              <w:rPr>
                <w:rFonts w:ascii="Consolas" w:eastAsia="Consolas" w:hAnsi="Consolas" w:cs="Consolas"/>
                <w:sz w:val="22"/>
                <w:szCs w:val="22"/>
                <w:shd w:val="clear" w:color="auto" w:fill="EAEEF3"/>
              </w:rPr>
              <w:t>P127_a_pour_terme_général (a_pour_terme_spécifique)</w:t>
            </w:r>
            <w:r>
              <w:t xml:space="preserve"> : </w:t>
            </w:r>
            <w:r>
              <w:rPr>
                <w:rFonts w:ascii="Consolas" w:eastAsia="Consolas" w:hAnsi="Consolas" w:cs="Consolas"/>
                <w:sz w:val="22"/>
                <w:szCs w:val="22"/>
                <w:shd w:val="clear" w:color="auto" w:fill="EAEEF3"/>
              </w:rPr>
              <w:t>E55_Type</w:t>
            </w:r>
          </w:p>
          <w:p w14:paraId="78F23DB2" w14:textId="77777777" w:rsidR="00BF18CF" w:rsidRDefault="00E51347">
            <w:r>
              <w:rPr>
                <w:rFonts w:ascii="Consolas" w:eastAsia="Consolas" w:hAnsi="Consolas" w:cs="Consolas"/>
                <w:sz w:val="22"/>
                <w:szCs w:val="22"/>
                <w:shd w:val="clear" w:color="auto" w:fill="EAEEF3"/>
              </w:rPr>
              <w:t>P150_définit_les_éléments_typiques_de (définit_l’ensemble_typique_pour)</w:t>
            </w:r>
            <w:r>
              <w:t xml:space="preserve"> : </w:t>
            </w:r>
            <w:r>
              <w:rPr>
                <w:rFonts w:ascii="Consolas" w:eastAsia="Consolas" w:hAnsi="Consolas" w:cs="Consolas"/>
                <w:sz w:val="22"/>
                <w:szCs w:val="22"/>
                <w:shd w:val="clear" w:color="auto" w:fill="EAEEF3"/>
              </w:rPr>
              <w:t>E55_Type</w:t>
            </w:r>
          </w:p>
        </w:tc>
      </w:tr>
      <w:tr w:rsidR="00BF18CF" w14:paraId="23B24130" w14:textId="77777777" w:rsidTr="00BF18CF">
        <w:tc>
          <w:tcPr>
            <w:tcW w:w="1755" w:type="dxa"/>
          </w:tcPr>
          <w:p w14:paraId="295AF9DA" w14:textId="7628816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35" w:type="dxa"/>
          </w:tcPr>
          <w:p w14:paraId="222FED60" w14:textId="77777777" w:rsidR="00BF18CF" w:rsidRDefault="00BF18CF">
            <w:pPr>
              <w:pBdr>
                <w:top w:val="nil"/>
                <w:left w:val="nil"/>
                <w:bottom w:val="nil"/>
                <w:right w:val="nil"/>
                <w:between w:val="nil"/>
              </w:pBdr>
              <w:spacing w:before="36" w:after="36"/>
              <w:rPr>
                <w:color w:val="000000"/>
              </w:rPr>
            </w:pPr>
          </w:p>
        </w:tc>
      </w:tr>
      <w:tr w:rsidR="00BF18CF" w14:paraId="0DC7089F" w14:textId="77777777" w:rsidTr="00BF18CF">
        <w:tc>
          <w:tcPr>
            <w:tcW w:w="1755" w:type="dxa"/>
          </w:tcPr>
          <w:p w14:paraId="087B829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35" w:type="dxa"/>
          </w:tcPr>
          <w:p w14:paraId="054D9E85" w14:textId="77777777" w:rsidR="00BF18CF" w:rsidRDefault="00BF18CF">
            <w:pPr>
              <w:pBdr>
                <w:top w:val="nil"/>
                <w:left w:val="nil"/>
                <w:bottom w:val="nil"/>
                <w:right w:val="nil"/>
                <w:between w:val="nil"/>
              </w:pBdr>
              <w:spacing w:before="36" w:after="36"/>
              <w:rPr>
                <w:color w:val="000000"/>
              </w:rPr>
            </w:pPr>
          </w:p>
        </w:tc>
      </w:tr>
    </w:tbl>
    <w:p w14:paraId="27A266FF" w14:textId="77777777" w:rsidR="00BF18CF" w:rsidRDefault="00E51347">
      <w:pPr>
        <w:pStyle w:val="Heading3"/>
      </w:pPr>
      <w:bookmarkStart w:id="188" w:name="bookmark=id.4iylrwe" w:colFirst="0" w:colLast="0"/>
      <w:bookmarkStart w:id="189" w:name="_Toc144360837"/>
      <w:bookmarkEnd w:id="188"/>
      <w:r>
        <w:t>E56 Langue</w:t>
      </w:r>
      <w:bookmarkEnd w:id="189"/>
    </w:p>
    <w:tbl>
      <w:tblPr>
        <w:tblStyle w:val="a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42"/>
        <w:gridCol w:w="8848"/>
      </w:tblGrid>
      <w:tr w:rsidR="00BF18CF" w14:paraId="23BD997D" w14:textId="77777777" w:rsidTr="00BF18CF">
        <w:tc>
          <w:tcPr>
            <w:tcW w:w="1842" w:type="dxa"/>
          </w:tcPr>
          <w:p w14:paraId="1C56170F"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848" w:type="dxa"/>
          </w:tcPr>
          <w:p w14:paraId="2DBF6CCC" w14:textId="77777777" w:rsidR="00BF18CF" w:rsidRDefault="00E51347">
            <w:r>
              <w:rPr>
                <w:rFonts w:ascii="Consolas" w:eastAsia="Consolas" w:hAnsi="Consolas" w:cs="Consolas"/>
                <w:sz w:val="22"/>
                <w:szCs w:val="22"/>
                <w:shd w:val="clear" w:color="auto" w:fill="EAEEF3"/>
              </w:rPr>
              <w:t>E55_Type</w:t>
            </w:r>
          </w:p>
        </w:tc>
      </w:tr>
      <w:tr w:rsidR="00BF18CF" w14:paraId="08D7E437" w14:textId="77777777" w:rsidTr="00BF18CF">
        <w:tc>
          <w:tcPr>
            <w:tcW w:w="1842" w:type="dxa"/>
          </w:tcPr>
          <w:p w14:paraId="3BB61FE9"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848" w:type="dxa"/>
          </w:tcPr>
          <w:p w14:paraId="54F2FCC5" w14:textId="77777777" w:rsidR="00BF18CF" w:rsidRDefault="00BF18CF">
            <w:pPr>
              <w:pBdr>
                <w:top w:val="nil"/>
                <w:left w:val="nil"/>
                <w:bottom w:val="nil"/>
                <w:right w:val="nil"/>
                <w:between w:val="nil"/>
              </w:pBdr>
              <w:spacing w:before="36" w:after="36"/>
              <w:rPr>
                <w:color w:val="000000"/>
              </w:rPr>
            </w:pPr>
          </w:p>
        </w:tc>
      </w:tr>
      <w:tr w:rsidR="00BF18CF" w14:paraId="60783BA7" w14:textId="77777777" w:rsidTr="00BF18CF">
        <w:tc>
          <w:tcPr>
            <w:tcW w:w="1842" w:type="dxa"/>
          </w:tcPr>
          <w:p w14:paraId="5D5AD2D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48" w:type="dxa"/>
          </w:tcPr>
          <w:p w14:paraId="00587408" w14:textId="77777777" w:rsidR="00BF18CF" w:rsidRDefault="00E51347">
            <w:r>
              <w:t xml:space="preserve">Cette classe est une sous-classe de </w:t>
            </w:r>
            <w:r>
              <w:rPr>
                <w:rFonts w:ascii="Consolas" w:eastAsia="Consolas" w:hAnsi="Consolas" w:cs="Consolas"/>
                <w:sz w:val="22"/>
                <w:szCs w:val="22"/>
                <w:shd w:val="clear" w:color="auto" w:fill="EAEEF3"/>
              </w:rPr>
              <w:t>E55_Type</w:t>
            </w:r>
            <w:r>
              <w:t xml:space="preserve"> et comprend les langues naturelles en tant que concepts.</w:t>
            </w:r>
          </w:p>
          <w:p w14:paraId="5C68012A" w14:textId="77777777" w:rsidR="00BF18CF" w:rsidRDefault="00E51347">
            <w:r>
              <w:t xml:space="preserve">Ce type est utilisé dans le modèle de manière catégorique, sans référence à des instances de celui-ci, c.-à-d. que le modèle ne prévoit pas la description d’instances d’instances de </w:t>
            </w:r>
            <w:r>
              <w:rPr>
                <w:rFonts w:ascii="Consolas" w:eastAsia="Consolas" w:hAnsi="Consolas" w:cs="Consolas"/>
                <w:sz w:val="22"/>
                <w:szCs w:val="22"/>
                <w:shd w:val="clear" w:color="auto" w:fill="EAEEF3"/>
              </w:rPr>
              <w:t>E56_Langue</w:t>
            </w:r>
            <w:r>
              <w:t>, par exemple : « instances de mandarin ».</w:t>
            </w:r>
          </w:p>
          <w:p w14:paraId="1D01932F" w14:textId="77777777" w:rsidR="00BF18CF" w:rsidRDefault="00E51347">
            <w:r>
              <w:t xml:space="preserve">Il est recommandé d’utiliser des codes et une terminologie convenus au niveau national ou international pour désigner les instances de </w:t>
            </w:r>
            <w:r>
              <w:rPr>
                <w:rFonts w:ascii="Consolas" w:eastAsia="Consolas" w:hAnsi="Consolas" w:cs="Consolas"/>
                <w:sz w:val="22"/>
                <w:szCs w:val="22"/>
                <w:shd w:val="clear" w:color="auto" w:fill="EAEEF3"/>
              </w:rPr>
              <w:t>E56_Langue</w:t>
            </w:r>
            <w:r>
              <w:t>, telles que celles définies dans la norme ISO 639-1:2002 et ses versions ultérieures.</w:t>
            </w:r>
          </w:p>
        </w:tc>
      </w:tr>
      <w:tr w:rsidR="00BF18CF" w14:paraId="0E7EDD13" w14:textId="77777777" w:rsidTr="00BF18CF">
        <w:tc>
          <w:tcPr>
            <w:tcW w:w="1842" w:type="dxa"/>
          </w:tcPr>
          <w:p w14:paraId="7F955DB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48" w:type="dxa"/>
          </w:tcPr>
          <w:p w14:paraId="203A2754" w14:textId="77777777" w:rsidR="00BF18CF" w:rsidRDefault="00E51347">
            <w:pPr>
              <w:numPr>
                <w:ilvl w:val="0"/>
                <w:numId w:val="19"/>
              </w:numPr>
            </w:pPr>
            <w:proofErr w:type="gramStart"/>
            <w:r>
              <w:t>el</w:t>
            </w:r>
            <w:proofErr w:type="gramEnd"/>
            <w:r>
              <w:t xml:space="preserve"> [grec] (Palmer, 1980)</w:t>
            </w:r>
          </w:p>
          <w:p w14:paraId="72038B2B" w14:textId="77777777" w:rsidR="00BF18CF" w:rsidRDefault="00E51347">
            <w:pPr>
              <w:numPr>
                <w:ilvl w:val="0"/>
                <w:numId w:val="19"/>
              </w:numPr>
            </w:pPr>
            <w:proofErr w:type="gramStart"/>
            <w:r>
              <w:t>en</w:t>
            </w:r>
            <w:proofErr w:type="gramEnd"/>
            <w:r>
              <w:t xml:space="preserve"> [anglais] (Wilson, 1983)</w:t>
            </w:r>
          </w:p>
          <w:p w14:paraId="0CFEDFAB" w14:textId="77777777" w:rsidR="00BF18CF" w:rsidRDefault="00E51347">
            <w:pPr>
              <w:numPr>
                <w:ilvl w:val="0"/>
                <w:numId w:val="19"/>
              </w:numPr>
            </w:pPr>
            <w:proofErr w:type="gramStart"/>
            <w:r>
              <w:t>eo</w:t>
            </w:r>
            <w:proofErr w:type="gramEnd"/>
            <w:r>
              <w:t xml:space="preserve"> [esperanto] (Nuessel, 2000)</w:t>
            </w:r>
          </w:p>
          <w:p w14:paraId="28D75E17" w14:textId="77777777" w:rsidR="00BF18CF" w:rsidRDefault="00E51347">
            <w:pPr>
              <w:numPr>
                <w:ilvl w:val="0"/>
                <w:numId w:val="19"/>
              </w:numPr>
            </w:pPr>
            <w:proofErr w:type="gramStart"/>
            <w:r>
              <w:t>es</w:t>
            </w:r>
            <w:proofErr w:type="gramEnd"/>
            <w:r>
              <w:t xml:space="preserve"> [espagnol] (Pineda, 1993)</w:t>
            </w:r>
          </w:p>
          <w:p w14:paraId="69417052" w14:textId="77777777" w:rsidR="00BF18CF" w:rsidRDefault="00E51347">
            <w:pPr>
              <w:numPr>
                <w:ilvl w:val="0"/>
                <w:numId w:val="19"/>
              </w:numPr>
            </w:pPr>
            <w:proofErr w:type="gramStart"/>
            <w:r>
              <w:t>fr</w:t>
            </w:r>
            <w:proofErr w:type="gramEnd"/>
            <w:r>
              <w:t xml:space="preserve"> [français] (Rickard, 1974)</w:t>
            </w:r>
          </w:p>
        </w:tc>
      </w:tr>
      <w:tr w:rsidR="00BF18CF" w14:paraId="4D3F9F4B" w14:textId="77777777" w:rsidTr="00BF18CF">
        <w:tc>
          <w:tcPr>
            <w:tcW w:w="1842" w:type="dxa"/>
          </w:tcPr>
          <w:p w14:paraId="33F3C8D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48" w:type="dxa"/>
          </w:tcPr>
          <w:p w14:paraId="2A6DB182" w14:textId="77777777" w:rsidR="00BF18CF" w:rsidRDefault="00E51347">
            <w:r>
              <w:t>E56(x) ⇒ E55(x)</w:t>
            </w:r>
          </w:p>
        </w:tc>
      </w:tr>
      <w:tr w:rsidR="00BF18CF" w14:paraId="7504166D" w14:textId="77777777" w:rsidTr="00BF18CF">
        <w:tc>
          <w:tcPr>
            <w:tcW w:w="1842" w:type="dxa"/>
          </w:tcPr>
          <w:p w14:paraId="1CCEDCA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48" w:type="dxa"/>
          </w:tcPr>
          <w:p w14:paraId="46F30B44" w14:textId="77777777" w:rsidR="00BF18CF" w:rsidRDefault="00BF18CF">
            <w:pPr>
              <w:pBdr>
                <w:top w:val="nil"/>
                <w:left w:val="nil"/>
                <w:bottom w:val="nil"/>
                <w:right w:val="nil"/>
                <w:between w:val="nil"/>
              </w:pBdr>
              <w:spacing w:before="36" w:after="36"/>
              <w:rPr>
                <w:color w:val="000000"/>
              </w:rPr>
            </w:pPr>
          </w:p>
        </w:tc>
      </w:tr>
      <w:tr w:rsidR="00BF18CF" w14:paraId="5F92A5EE" w14:textId="77777777" w:rsidTr="00BF18CF">
        <w:tc>
          <w:tcPr>
            <w:tcW w:w="1842" w:type="dxa"/>
          </w:tcPr>
          <w:p w14:paraId="38DD54ED" w14:textId="3A42626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48" w:type="dxa"/>
          </w:tcPr>
          <w:p w14:paraId="1E0FCF5B" w14:textId="77777777" w:rsidR="00BF18CF" w:rsidRDefault="00BF18CF">
            <w:pPr>
              <w:pBdr>
                <w:top w:val="nil"/>
                <w:left w:val="nil"/>
                <w:bottom w:val="nil"/>
                <w:right w:val="nil"/>
                <w:between w:val="nil"/>
              </w:pBdr>
              <w:spacing w:before="36" w:after="36"/>
              <w:rPr>
                <w:color w:val="000000"/>
              </w:rPr>
            </w:pPr>
          </w:p>
        </w:tc>
      </w:tr>
      <w:tr w:rsidR="00BF18CF" w14:paraId="5962B020" w14:textId="77777777" w:rsidTr="00BF18CF">
        <w:tc>
          <w:tcPr>
            <w:tcW w:w="1842" w:type="dxa"/>
          </w:tcPr>
          <w:p w14:paraId="17F48D6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48" w:type="dxa"/>
          </w:tcPr>
          <w:p w14:paraId="1BE27301" w14:textId="77777777" w:rsidR="00BF18CF" w:rsidRDefault="00BF18CF">
            <w:pPr>
              <w:pBdr>
                <w:top w:val="nil"/>
                <w:left w:val="nil"/>
                <w:bottom w:val="nil"/>
                <w:right w:val="nil"/>
                <w:between w:val="nil"/>
              </w:pBdr>
              <w:spacing w:before="36" w:after="36"/>
              <w:rPr>
                <w:color w:val="000000"/>
              </w:rPr>
            </w:pPr>
          </w:p>
        </w:tc>
      </w:tr>
    </w:tbl>
    <w:p w14:paraId="3A0B8F65" w14:textId="77777777" w:rsidR="00BF18CF" w:rsidRDefault="00E51347">
      <w:pPr>
        <w:pStyle w:val="Heading3"/>
      </w:pPr>
      <w:bookmarkStart w:id="190" w:name="bookmark=id.2y3w247" w:colFirst="0" w:colLast="0"/>
      <w:bookmarkStart w:id="191" w:name="_Toc144360838"/>
      <w:bookmarkEnd w:id="190"/>
      <w:r>
        <w:t>E57 Matériau</w:t>
      </w:r>
      <w:bookmarkEnd w:id="191"/>
    </w:p>
    <w:tbl>
      <w:tblPr>
        <w:tblStyle w:val="a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6"/>
        <w:gridCol w:w="8904"/>
      </w:tblGrid>
      <w:tr w:rsidR="00BF18CF" w14:paraId="3F1BBE80" w14:textId="77777777" w:rsidTr="00BF18CF">
        <w:tc>
          <w:tcPr>
            <w:tcW w:w="1786" w:type="dxa"/>
          </w:tcPr>
          <w:p w14:paraId="6888F260"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4" w:type="dxa"/>
          </w:tcPr>
          <w:p w14:paraId="68C74129" w14:textId="77777777" w:rsidR="00BF18CF" w:rsidRDefault="00E51347">
            <w:r>
              <w:rPr>
                <w:rFonts w:ascii="Consolas" w:eastAsia="Consolas" w:hAnsi="Consolas" w:cs="Consolas"/>
                <w:sz w:val="22"/>
                <w:szCs w:val="22"/>
                <w:shd w:val="clear" w:color="auto" w:fill="EAEEF3"/>
              </w:rPr>
              <w:t>E55_Type</w:t>
            </w:r>
          </w:p>
        </w:tc>
      </w:tr>
      <w:tr w:rsidR="00BF18CF" w14:paraId="49A7845B" w14:textId="77777777" w:rsidTr="00BF18CF">
        <w:tc>
          <w:tcPr>
            <w:tcW w:w="1786" w:type="dxa"/>
          </w:tcPr>
          <w:p w14:paraId="266810F7"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4" w:type="dxa"/>
          </w:tcPr>
          <w:p w14:paraId="015F8CC1" w14:textId="77777777" w:rsidR="00BF18CF" w:rsidRDefault="00BF18CF">
            <w:pPr>
              <w:pBdr>
                <w:top w:val="nil"/>
                <w:left w:val="nil"/>
                <w:bottom w:val="nil"/>
                <w:right w:val="nil"/>
                <w:between w:val="nil"/>
              </w:pBdr>
              <w:spacing w:before="36" w:after="36"/>
              <w:rPr>
                <w:color w:val="000000"/>
              </w:rPr>
            </w:pPr>
          </w:p>
        </w:tc>
      </w:tr>
      <w:tr w:rsidR="00BF18CF" w14:paraId="2198EE8F" w14:textId="77777777" w:rsidTr="00BF18CF">
        <w:tc>
          <w:tcPr>
            <w:tcW w:w="1786" w:type="dxa"/>
          </w:tcPr>
          <w:p w14:paraId="3A8D7266"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904" w:type="dxa"/>
          </w:tcPr>
          <w:p w14:paraId="5F6A821A" w14:textId="77777777" w:rsidR="00BF18CF" w:rsidRDefault="00E51347">
            <w:r>
              <w:t xml:space="preserve">Cette classe est une sous-classe de </w:t>
            </w:r>
            <w:r>
              <w:rPr>
                <w:rFonts w:ascii="Consolas" w:eastAsia="Consolas" w:hAnsi="Consolas" w:cs="Consolas"/>
                <w:sz w:val="22"/>
                <w:szCs w:val="22"/>
                <w:shd w:val="clear" w:color="auto" w:fill="EAEEF3"/>
              </w:rPr>
              <w:t>E55_Type</w:t>
            </w:r>
            <w:r>
              <w:t xml:space="preserve"> et comprend les matériaux en tant que concepts.</w:t>
            </w:r>
          </w:p>
          <w:p w14:paraId="140E117D" w14:textId="77777777" w:rsidR="00BF18CF" w:rsidRDefault="00E51347">
            <w:r>
              <w:t xml:space="preserve">Les instances de </w:t>
            </w:r>
            <w:r>
              <w:rPr>
                <w:rFonts w:ascii="Consolas" w:eastAsia="Consolas" w:hAnsi="Consolas" w:cs="Consolas"/>
                <w:sz w:val="22"/>
                <w:szCs w:val="22"/>
                <w:shd w:val="clear" w:color="auto" w:fill="EAEEF3"/>
              </w:rPr>
              <w:t>E57_Matériau</w:t>
            </w:r>
            <w:r>
              <w:t xml:space="preserve"> peuvent également désigner les propriétés de la matière avant ou pendant son utilisation ou telle qu’incorporée dans un objet, comme la </w:t>
            </w:r>
            <w:r>
              <w:rPr>
                <w:i/>
              </w:rPr>
              <w:t>poudre</w:t>
            </w:r>
            <w:r>
              <w:t xml:space="preserve"> de pigment bleu outremer, la tempera [n.d.t. peinture </w:t>
            </w:r>
            <w:r>
              <w:rPr>
                <w:i/>
              </w:rPr>
              <w:t>à l'œuf</w:t>
            </w:r>
            <w:r>
              <w:t xml:space="preserve">] et le béton </w:t>
            </w:r>
            <w:r>
              <w:rPr>
                <w:i/>
              </w:rPr>
              <w:t>armé</w:t>
            </w:r>
            <w:r>
              <w:t>.</w:t>
            </w:r>
          </w:p>
          <w:p w14:paraId="7AC1AD6A" w14:textId="77777777" w:rsidR="00BF18CF" w:rsidRDefault="00E51347">
            <w:r>
              <w:t xml:space="preserve">Les matières premières conservées telles quelles dans les musées, comme les briques, le tissu ou les pièces de métal, doivent être modélisées individuellement, c.-à-d. de la même manière que les autres objets. Les matières premières qui ont été utilisées ou transformées, comme les pierres du temple de Néfertiti, doivent plutôt être modélisées comme des parties composantes (voir </w:t>
            </w:r>
            <w:r>
              <w:rPr>
                <w:rFonts w:ascii="Consolas" w:eastAsia="Consolas" w:hAnsi="Consolas" w:cs="Consolas"/>
                <w:sz w:val="22"/>
                <w:szCs w:val="22"/>
                <w:shd w:val="clear" w:color="auto" w:fill="EAEEF3"/>
              </w:rPr>
              <w:t>P46_est_composé_de (fait_partie_de)</w:t>
            </w:r>
            <w:r>
              <w:t xml:space="preserve"> : </w:t>
            </w:r>
            <w:r>
              <w:rPr>
                <w:rFonts w:ascii="Consolas" w:eastAsia="Consolas" w:hAnsi="Consolas" w:cs="Consolas"/>
                <w:sz w:val="22"/>
                <w:szCs w:val="22"/>
                <w:shd w:val="clear" w:color="auto" w:fill="EAEEF3"/>
              </w:rPr>
              <w:t>E18_Chose_matérielle</w:t>
            </w:r>
            <w:r>
              <w:t>).</w:t>
            </w:r>
          </w:p>
          <w:p w14:paraId="7326C6DF" w14:textId="77777777" w:rsidR="00BF18CF" w:rsidRDefault="00E51347">
            <w:r>
              <w:t xml:space="preserve">Ce type est utilisé dans le modèle de manière catégorique, sans référence à des instances de celui-ci, c.-à-d. que le modèle ne prévoit pas la description d’instances d’instances de </w:t>
            </w:r>
            <w:r>
              <w:rPr>
                <w:rFonts w:ascii="Consolas" w:eastAsia="Consolas" w:hAnsi="Consolas" w:cs="Consolas"/>
                <w:sz w:val="22"/>
                <w:szCs w:val="22"/>
                <w:shd w:val="clear" w:color="auto" w:fill="EAEEF3"/>
              </w:rPr>
              <w:t>E57_Matériau</w:t>
            </w:r>
            <w:r>
              <w:t>, par exemple « instances d’or ».</w:t>
            </w:r>
          </w:p>
          <w:p w14:paraId="31A85385" w14:textId="77777777" w:rsidR="00BF18CF" w:rsidRDefault="00E51347">
            <w:r>
              <w:t>Il est recommandé d’utiliser des codes et une terminologie convenus au niveau national ou international.</w:t>
            </w:r>
          </w:p>
        </w:tc>
      </w:tr>
      <w:tr w:rsidR="00BF18CF" w14:paraId="654FEA8D" w14:textId="77777777" w:rsidTr="00BF18CF">
        <w:tc>
          <w:tcPr>
            <w:tcW w:w="1786" w:type="dxa"/>
          </w:tcPr>
          <w:p w14:paraId="0304A43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04" w:type="dxa"/>
          </w:tcPr>
          <w:p w14:paraId="641D8C27" w14:textId="77777777" w:rsidR="00BF18CF" w:rsidRDefault="00E51347">
            <w:pPr>
              <w:numPr>
                <w:ilvl w:val="0"/>
                <w:numId w:val="19"/>
              </w:numPr>
            </w:pPr>
            <w:r>
              <w:t>Brique</w:t>
            </w:r>
          </w:p>
          <w:p w14:paraId="5C96A5C3" w14:textId="77777777" w:rsidR="00BF18CF" w:rsidRDefault="00E51347">
            <w:pPr>
              <w:numPr>
                <w:ilvl w:val="0"/>
                <w:numId w:val="19"/>
              </w:numPr>
            </w:pPr>
            <w:r>
              <w:t>Or</w:t>
            </w:r>
          </w:p>
          <w:p w14:paraId="1A620268" w14:textId="77777777" w:rsidR="00BF18CF" w:rsidRDefault="00E51347">
            <w:pPr>
              <w:numPr>
                <w:ilvl w:val="0"/>
                <w:numId w:val="19"/>
              </w:numPr>
            </w:pPr>
            <w:r>
              <w:t>Aluminium</w:t>
            </w:r>
          </w:p>
          <w:p w14:paraId="3D031E15" w14:textId="77777777" w:rsidR="00BF18CF" w:rsidRDefault="00E51347">
            <w:pPr>
              <w:numPr>
                <w:ilvl w:val="0"/>
                <w:numId w:val="19"/>
              </w:numPr>
            </w:pPr>
            <w:r>
              <w:t>Polycarbonate</w:t>
            </w:r>
          </w:p>
          <w:p w14:paraId="3BA5DE5A" w14:textId="77777777" w:rsidR="00BF18CF" w:rsidRDefault="00E51347">
            <w:pPr>
              <w:numPr>
                <w:ilvl w:val="0"/>
                <w:numId w:val="19"/>
              </w:numPr>
            </w:pPr>
            <w:r>
              <w:t>Résine</w:t>
            </w:r>
          </w:p>
        </w:tc>
      </w:tr>
      <w:tr w:rsidR="00BF18CF" w14:paraId="4768019D" w14:textId="77777777" w:rsidTr="00BF18CF">
        <w:tc>
          <w:tcPr>
            <w:tcW w:w="1786" w:type="dxa"/>
          </w:tcPr>
          <w:p w14:paraId="45E6047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4" w:type="dxa"/>
          </w:tcPr>
          <w:p w14:paraId="2446B3AF" w14:textId="77777777" w:rsidR="00BF18CF" w:rsidRDefault="00E51347">
            <w:r>
              <w:t>E57(x) ⇒ E55(x)</w:t>
            </w:r>
          </w:p>
        </w:tc>
      </w:tr>
      <w:tr w:rsidR="00BF18CF" w14:paraId="098ADCB5" w14:textId="77777777" w:rsidTr="00BF18CF">
        <w:tc>
          <w:tcPr>
            <w:tcW w:w="1786" w:type="dxa"/>
          </w:tcPr>
          <w:p w14:paraId="7C12B0F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4" w:type="dxa"/>
          </w:tcPr>
          <w:p w14:paraId="741CA24A" w14:textId="77777777" w:rsidR="00BF18CF" w:rsidRDefault="00BF18CF">
            <w:pPr>
              <w:pBdr>
                <w:top w:val="nil"/>
                <w:left w:val="nil"/>
                <w:bottom w:val="nil"/>
                <w:right w:val="nil"/>
                <w:between w:val="nil"/>
              </w:pBdr>
              <w:spacing w:before="36" w:after="36"/>
              <w:rPr>
                <w:color w:val="000000"/>
              </w:rPr>
            </w:pPr>
          </w:p>
        </w:tc>
      </w:tr>
      <w:tr w:rsidR="00BF18CF" w14:paraId="07EA7780" w14:textId="77777777" w:rsidTr="00BF18CF">
        <w:tc>
          <w:tcPr>
            <w:tcW w:w="1786" w:type="dxa"/>
          </w:tcPr>
          <w:p w14:paraId="2F41CDEB" w14:textId="74C60F4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4" w:type="dxa"/>
          </w:tcPr>
          <w:p w14:paraId="0A8572C3" w14:textId="77777777" w:rsidR="00BF18CF" w:rsidRDefault="00E51347">
            <w:r>
              <w:t>Le terme “</w:t>
            </w:r>
            <w:r>
              <w:rPr>
                <w:i/>
              </w:rPr>
              <w:t>Peinture à l'œuf”</w:t>
            </w:r>
            <w:r>
              <w:t xml:space="preserve"> a été ajouté en note du traducteur afin de démontrer l’aspect “propriété de la matière”.</w:t>
            </w:r>
          </w:p>
          <w:p w14:paraId="3C9053C5" w14:textId="77777777" w:rsidR="00BF18CF" w:rsidRDefault="00E51347">
            <w:r>
              <w:t>Les références aux exemples en français ont été retirées de la traduction parce qu’elles ne pointent pas vers des thésaurus reconnus en français. Ce point sera statué plus tard par CHIN-RCIP.</w:t>
            </w:r>
          </w:p>
        </w:tc>
      </w:tr>
      <w:tr w:rsidR="00BF18CF" w14:paraId="4E28C348" w14:textId="77777777" w:rsidTr="00BF18CF">
        <w:tc>
          <w:tcPr>
            <w:tcW w:w="1786" w:type="dxa"/>
          </w:tcPr>
          <w:p w14:paraId="48F70F30"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4" w:type="dxa"/>
          </w:tcPr>
          <w:p w14:paraId="490E8C4A" w14:textId="77777777" w:rsidR="00BF18CF" w:rsidRDefault="00BF18CF">
            <w:pPr>
              <w:pBdr>
                <w:top w:val="nil"/>
                <w:left w:val="nil"/>
                <w:bottom w:val="nil"/>
                <w:right w:val="nil"/>
                <w:between w:val="nil"/>
              </w:pBdr>
              <w:spacing w:before="36" w:after="36"/>
              <w:rPr>
                <w:color w:val="000000"/>
              </w:rPr>
            </w:pPr>
          </w:p>
        </w:tc>
      </w:tr>
    </w:tbl>
    <w:p w14:paraId="0CD8772D" w14:textId="77777777" w:rsidR="00BF18CF" w:rsidRDefault="00E51347">
      <w:pPr>
        <w:pStyle w:val="Heading3"/>
      </w:pPr>
      <w:bookmarkStart w:id="192" w:name="bookmark=id.1d96cc0" w:colFirst="0" w:colLast="0"/>
      <w:bookmarkStart w:id="193" w:name="_Toc144360839"/>
      <w:bookmarkEnd w:id="192"/>
      <w:r>
        <w:t>E58 Unité de mesure</w:t>
      </w:r>
      <w:bookmarkEnd w:id="193"/>
    </w:p>
    <w:tbl>
      <w:tblPr>
        <w:tblStyle w:val="a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76"/>
        <w:gridCol w:w="8914"/>
      </w:tblGrid>
      <w:tr w:rsidR="00BF18CF" w14:paraId="6277E03D" w14:textId="77777777" w:rsidTr="00BF18CF">
        <w:tc>
          <w:tcPr>
            <w:tcW w:w="1776" w:type="dxa"/>
          </w:tcPr>
          <w:p w14:paraId="6760C0E7"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14" w:type="dxa"/>
          </w:tcPr>
          <w:p w14:paraId="05D549AB" w14:textId="77777777" w:rsidR="00BF18CF" w:rsidRDefault="00E51347">
            <w:r>
              <w:rPr>
                <w:rFonts w:ascii="Consolas" w:eastAsia="Consolas" w:hAnsi="Consolas" w:cs="Consolas"/>
                <w:sz w:val="22"/>
                <w:szCs w:val="22"/>
                <w:shd w:val="clear" w:color="auto" w:fill="EAEEF3"/>
              </w:rPr>
              <w:t>E55_Type</w:t>
            </w:r>
          </w:p>
        </w:tc>
      </w:tr>
      <w:tr w:rsidR="00BF18CF" w14:paraId="663EF345" w14:textId="77777777" w:rsidTr="00BF18CF">
        <w:tc>
          <w:tcPr>
            <w:tcW w:w="1776" w:type="dxa"/>
          </w:tcPr>
          <w:p w14:paraId="2BE26A10"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14" w:type="dxa"/>
          </w:tcPr>
          <w:p w14:paraId="280BC2DA" w14:textId="77777777" w:rsidR="00BF18CF" w:rsidRDefault="00E51347">
            <w:r>
              <w:rPr>
                <w:rFonts w:ascii="Consolas" w:eastAsia="Consolas" w:hAnsi="Consolas" w:cs="Consolas"/>
                <w:sz w:val="22"/>
                <w:szCs w:val="22"/>
                <w:shd w:val="clear" w:color="auto" w:fill="EAEEF3"/>
              </w:rPr>
              <w:t>E98_Unité_monétaire</w:t>
            </w:r>
          </w:p>
        </w:tc>
      </w:tr>
      <w:tr w:rsidR="00BF18CF" w14:paraId="036283E6" w14:textId="77777777" w:rsidTr="00BF18CF">
        <w:tc>
          <w:tcPr>
            <w:tcW w:w="1776" w:type="dxa"/>
          </w:tcPr>
          <w:p w14:paraId="1807824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14" w:type="dxa"/>
          </w:tcPr>
          <w:p w14:paraId="731C7F1A" w14:textId="77777777" w:rsidR="00BF18CF" w:rsidRDefault="00E51347">
            <w:r>
              <w:t xml:space="preserve">Cette classe est une sous-classe de </w:t>
            </w:r>
            <w:r>
              <w:rPr>
                <w:rFonts w:ascii="Consolas" w:eastAsia="Consolas" w:hAnsi="Consolas" w:cs="Consolas"/>
                <w:sz w:val="22"/>
                <w:szCs w:val="22"/>
                <w:shd w:val="clear" w:color="auto" w:fill="EAEEF3"/>
              </w:rPr>
              <w:t>E55_Type</w:t>
            </w:r>
            <w:r>
              <w:t xml:space="preserve"> et comprend les types d’unités de mesure : pieds, pouces, centimètres, litres, lumens, etc.</w:t>
            </w:r>
          </w:p>
          <w:p w14:paraId="27450EF2" w14:textId="77777777" w:rsidR="00BF18CF" w:rsidRDefault="00E51347">
            <w:r>
              <w:lastRenderedPageBreak/>
              <w:t xml:space="preserve">Ce type est utilisé catégoriquement dans le modèle sans référence à des instances de celui-ci, c.-à-d. que le modèle ne prévoit pas la description d’instances de </w:t>
            </w:r>
            <w:r>
              <w:rPr>
                <w:rFonts w:ascii="Consolas" w:eastAsia="Consolas" w:hAnsi="Consolas" w:cs="Consolas"/>
                <w:sz w:val="22"/>
                <w:szCs w:val="22"/>
                <w:shd w:val="clear" w:color="auto" w:fill="EAEEF3"/>
              </w:rPr>
              <w:t>E58_Unité_de_mesure</w:t>
            </w:r>
            <w:r>
              <w:t>, par exemple « instances de cm ».</w:t>
            </w:r>
          </w:p>
          <w:p w14:paraId="1F5B0F31" w14:textId="77777777" w:rsidR="00BF18CF" w:rsidRDefault="00E51347">
            <w:r>
              <w:t>Les unités du Système international d’unités (SI) ou des termes reconnus internationalement mais qui ne font pas partie du SI doivent être utilisés lorsque possible, comme les unités de mesures définies par le standard ISO 80000:2009. Les unités de mesure archaïques utilisées dans des documents historiques doivent être préservées.</w:t>
            </w:r>
          </w:p>
        </w:tc>
      </w:tr>
      <w:tr w:rsidR="00BF18CF" w14:paraId="42E20D00" w14:textId="77777777" w:rsidTr="00BF18CF">
        <w:tc>
          <w:tcPr>
            <w:tcW w:w="1776" w:type="dxa"/>
          </w:tcPr>
          <w:p w14:paraId="756AD1C3"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14" w:type="dxa"/>
          </w:tcPr>
          <w:p w14:paraId="1DFE236C" w14:textId="77777777" w:rsidR="00BF18CF" w:rsidRDefault="00E51347">
            <w:pPr>
              <w:numPr>
                <w:ilvl w:val="0"/>
                <w:numId w:val="19"/>
              </w:numPr>
            </w:pPr>
            <w:proofErr w:type="gramStart"/>
            <w:r>
              <w:t>cm</w:t>
            </w:r>
            <w:proofErr w:type="gramEnd"/>
            <w:r>
              <w:t xml:space="preserve"> [centimètre]</w:t>
            </w:r>
          </w:p>
          <w:p w14:paraId="39A1AA32" w14:textId="77777777" w:rsidR="00BF18CF" w:rsidRDefault="00E51347">
            <w:pPr>
              <w:numPr>
                <w:ilvl w:val="0"/>
                <w:numId w:val="19"/>
              </w:numPr>
            </w:pPr>
            <w:proofErr w:type="gramStart"/>
            <w:r>
              <w:t>km</w:t>
            </w:r>
            <w:proofErr w:type="gramEnd"/>
            <w:r>
              <w:t xml:space="preserve"> [kilomètre]</w:t>
            </w:r>
          </w:p>
          <w:p w14:paraId="0A0B1057" w14:textId="77777777" w:rsidR="00BF18CF" w:rsidRDefault="00E51347">
            <w:pPr>
              <w:numPr>
                <w:ilvl w:val="0"/>
                <w:numId w:val="19"/>
              </w:numPr>
            </w:pPr>
            <w:proofErr w:type="gramStart"/>
            <w:r>
              <w:t>m</w:t>
            </w:r>
            <w:proofErr w:type="gramEnd"/>
            <w:r>
              <w:t xml:space="preserve"> [mètre]</w:t>
            </w:r>
          </w:p>
          <w:p w14:paraId="657E9AB7" w14:textId="77777777" w:rsidR="00BF18CF" w:rsidRDefault="00E51347">
            <w:pPr>
              <w:numPr>
                <w:ilvl w:val="0"/>
                <w:numId w:val="19"/>
              </w:numPr>
            </w:pPr>
            <w:proofErr w:type="gramStart"/>
            <w:r>
              <w:t>m</w:t>
            </w:r>
            <w:proofErr w:type="gramEnd"/>
            <w:r>
              <w:t>/s [mètres par seconde] (Hau &amp; al, 1999)</w:t>
            </w:r>
          </w:p>
          <w:p w14:paraId="450258C3" w14:textId="77777777" w:rsidR="00BF18CF" w:rsidRDefault="00E51347">
            <w:pPr>
              <w:numPr>
                <w:ilvl w:val="0"/>
                <w:numId w:val="19"/>
              </w:numPr>
            </w:pPr>
            <w:r>
              <w:t>A [Ampère]</w:t>
            </w:r>
          </w:p>
          <w:p w14:paraId="06141B77" w14:textId="77777777" w:rsidR="00BF18CF" w:rsidRDefault="00E51347">
            <w:pPr>
              <w:numPr>
                <w:ilvl w:val="0"/>
                <w:numId w:val="19"/>
              </w:numPr>
            </w:pPr>
            <w:r>
              <w:t>GRD [Drachme grecque] (</w:t>
            </w:r>
            <w:r>
              <w:rPr>
                <w:rFonts w:ascii="Consolas" w:eastAsia="Consolas" w:hAnsi="Consolas" w:cs="Consolas"/>
                <w:sz w:val="22"/>
                <w:szCs w:val="22"/>
                <w:shd w:val="clear" w:color="auto" w:fill="EAEEF3"/>
              </w:rPr>
              <w:t>E98_Unité_monétaire</w:t>
            </w:r>
            <w:r>
              <w:t>) (Daniel, 2014)</w:t>
            </w:r>
          </w:p>
          <w:p w14:paraId="4C6E69EA" w14:textId="77777777" w:rsidR="00BF18CF" w:rsidRDefault="00E51347">
            <w:pPr>
              <w:numPr>
                <w:ilvl w:val="0"/>
                <w:numId w:val="19"/>
              </w:numPr>
            </w:pPr>
            <w:r>
              <w:t>°C [degrés centigrades] (Beckman, 1998)</w:t>
            </w:r>
          </w:p>
        </w:tc>
      </w:tr>
      <w:tr w:rsidR="00BF18CF" w14:paraId="7F802B34" w14:textId="77777777" w:rsidTr="00BF18CF">
        <w:tc>
          <w:tcPr>
            <w:tcW w:w="1776" w:type="dxa"/>
          </w:tcPr>
          <w:p w14:paraId="75198E6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14" w:type="dxa"/>
          </w:tcPr>
          <w:p w14:paraId="70797B68" w14:textId="77777777" w:rsidR="00BF18CF" w:rsidRDefault="00E51347">
            <w:r>
              <w:t>E58(x) ⇒ E55(x)</w:t>
            </w:r>
          </w:p>
        </w:tc>
      </w:tr>
      <w:tr w:rsidR="00BF18CF" w14:paraId="3504F89C" w14:textId="77777777" w:rsidTr="00BF18CF">
        <w:tc>
          <w:tcPr>
            <w:tcW w:w="1776" w:type="dxa"/>
          </w:tcPr>
          <w:p w14:paraId="730675C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14" w:type="dxa"/>
          </w:tcPr>
          <w:p w14:paraId="59E1584A" w14:textId="77777777" w:rsidR="00BF18CF" w:rsidRDefault="00BF18CF">
            <w:pPr>
              <w:pBdr>
                <w:top w:val="nil"/>
                <w:left w:val="nil"/>
                <w:bottom w:val="nil"/>
                <w:right w:val="nil"/>
                <w:between w:val="nil"/>
              </w:pBdr>
              <w:spacing w:before="36" w:after="36"/>
              <w:rPr>
                <w:color w:val="000000"/>
              </w:rPr>
            </w:pPr>
          </w:p>
        </w:tc>
      </w:tr>
      <w:tr w:rsidR="00BF18CF" w14:paraId="6CC3BA33" w14:textId="77777777" w:rsidTr="00BF18CF">
        <w:tc>
          <w:tcPr>
            <w:tcW w:w="1776" w:type="dxa"/>
          </w:tcPr>
          <w:p w14:paraId="1AC23777" w14:textId="1258BAB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14" w:type="dxa"/>
          </w:tcPr>
          <w:p w14:paraId="27D68BF3" w14:textId="77777777" w:rsidR="00BF18CF" w:rsidRDefault="00BF18CF">
            <w:pPr>
              <w:pBdr>
                <w:top w:val="nil"/>
                <w:left w:val="nil"/>
                <w:bottom w:val="nil"/>
                <w:right w:val="nil"/>
                <w:between w:val="nil"/>
              </w:pBdr>
              <w:spacing w:before="36" w:after="36"/>
              <w:rPr>
                <w:color w:val="000000"/>
              </w:rPr>
            </w:pPr>
          </w:p>
        </w:tc>
      </w:tr>
      <w:tr w:rsidR="00BF18CF" w14:paraId="17B312EE" w14:textId="77777777" w:rsidTr="00BF18CF">
        <w:tc>
          <w:tcPr>
            <w:tcW w:w="1776" w:type="dxa"/>
          </w:tcPr>
          <w:p w14:paraId="2BCB16F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14" w:type="dxa"/>
          </w:tcPr>
          <w:p w14:paraId="293CAC84" w14:textId="77777777" w:rsidR="00BF18CF" w:rsidRDefault="00BF18CF">
            <w:pPr>
              <w:pBdr>
                <w:top w:val="nil"/>
                <w:left w:val="nil"/>
                <w:bottom w:val="nil"/>
                <w:right w:val="nil"/>
                <w:between w:val="nil"/>
              </w:pBdr>
              <w:spacing w:before="36" w:after="36"/>
              <w:rPr>
                <w:color w:val="000000"/>
              </w:rPr>
            </w:pPr>
          </w:p>
        </w:tc>
      </w:tr>
    </w:tbl>
    <w:p w14:paraId="4BE9F92B" w14:textId="77777777" w:rsidR="00BF18CF" w:rsidRDefault="00E51347">
      <w:pPr>
        <w:pStyle w:val="Heading3"/>
      </w:pPr>
      <w:bookmarkStart w:id="194" w:name="bookmark=id.3x8tuzt" w:colFirst="0" w:colLast="0"/>
      <w:bookmarkStart w:id="195" w:name="_Toc144360840"/>
      <w:bookmarkEnd w:id="194"/>
      <w:r>
        <w:t>E59 Valeur primitive</w:t>
      </w:r>
      <w:bookmarkEnd w:id="195"/>
    </w:p>
    <w:tbl>
      <w:tblPr>
        <w:tblStyle w:val="a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67"/>
        <w:gridCol w:w="8923"/>
      </w:tblGrid>
      <w:tr w:rsidR="00BF18CF" w14:paraId="705251EC" w14:textId="77777777" w:rsidTr="00BF18CF">
        <w:tc>
          <w:tcPr>
            <w:tcW w:w="1767" w:type="dxa"/>
          </w:tcPr>
          <w:p w14:paraId="6A08D61D"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23" w:type="dxa"/>
          </w:tcPr>
          <w:p w14:paraId="700AFB29" w14:textId="77777777" w:rsidR="00BF18CF" w:rsidRDefault="00E51347">
            <w:r>
              <w:rPr>
                <w:rFonts w:ascii="Consolas" w:eastAsia="Consolas" w:hAnsi="Consolas" w:cs="Consolas"/>
                <w:sz w:val="22"/>
                <w:szCs w:val="22"/>
                <w:shd w:val="clear" w:color="auto" w:fill="EAEEF3"/>
              </w:rPr>
              <w:t>E1_Entité_CRM</w:t>
            </w:r>
          </w:p>
        </w:tc>
      </w:tr>
      <w:tr w:rsidR="00BF18CF" w14:paraId="43EDF6E7" w14:textId="77777777" w:rsidTr="00BF18CF">
        <w:tc>
          <w:tcPr>
            <w:tcW w:w="1767" w:type="dxa"/>
          </w:tcPr>
          <w:p w14:paraId="211DB8A8"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23" w:type="dxa"/>
          </w:tcPr>
          <w:p w14:paraId="0C41CA7E" w14:textId="77777777" w:rsidR="00BF18CF" w:rsidRDefault="00E51347">
            <w:r>
              <w:rPr>
                <w:rFonts w:ascii="Consolas" w:eastAsia="Consolas" w:hAnsi="Consolas" w:cs="Consolas"/>
                <w:sz w:val="22"/>
                <w:szCs w:val="22"/>
                <w:shd w:val="clear" w:color="auto" w:fill="EAEEF3"/>
              </w:rPr>
              <w:t>E60_Nombre</w:t>
            </w:r>
          </w:p>
          <w:p w14:paraId="530205DC" w14:textId="77777777" w:rsidR="00BF18CF" w:rsidRDefault="00E51347">
            <w:r>
              <w:rPr>
                <w:rFonts w:ascii="Consolas" w:eastAsia="Consolas" w:hAnsi="Consolas" w:cs="Consolas"/>
                <w:sz w:val="22"/>
                <w:szCs w:val="22"/>
                <w:shd w:val="clear" w:color="auto" w:fill="EAEEF3"/>
              </w:rPr>
              <w:t>E61_Primitive_temporelle</w:t>
            </w:r>
          </w:p>
          <w:p w14:paraId="0FA7AAB5" w14:textId="77777777" w:rsidR="00BF18CF" w:rsidRDefault="00E51347">
            <w:r>
              <w:rPr>
                <w:rFonts w:ascii="Consolas" w:eastAsia="Consolas" w:hAnsi="Consolas" w:cs="Consolas"/>
                <w:sz w:val="22"/>
                <w:szCs w:val="22"/>
                <w:shd w:val="clear" w:color="auto" w:fill="EAEEF3"/>
              </w:rPr>
              <w:t>E62_Chaîne_de_caractères</w:t>
            </w:r>
          </w:p>
          <w:p w14:paraId="2E4C96CE" w14:textId="77777777" w:rsidR="00BF18CF" w:rsidRDefault="00E51347">
            <w:r>
              <w:rPr>
                <w:rFonts w:ascii="Consolas" w:eastAsia="Consolas" w:hAnsi="Consolas" w:cs="Consolas"/>
                <w:sz w:val="22"/>
                <w:szCs w:val="22"/>
                <w:shd w:val="clear" w:color="auto" w:fill="EAEEF3"/>
              </w:rPr>
              <w:t>E94_Primitive_spatiale</w:t>
            </w:r>
          </w:p>
          <w:p w14:paraId="4B422764" w14:textId="77777777" w:rsidR="00BF18CF" w:rsidRDefault="00E51347">
            <w:r>
              <w:rPr>
                <w:rFonts w:ascii="Consolas" w:eastAsia="Consolas" w:hAnsi="Consolas" w:cs="Consolas"/>
                <w:sz w:val="22"/>
                <w:szCs w:val="22"/>
                <w:shd w:val="clear" w:color="auto" w:fill="EAEEF3"/>
              </w:rPr>
              <w:t>E95_Primitive_spatio-temporelle</w:t>
            </w:r>
          </w:p>
        </w:tc>
      </w:tr>
      <w:tr w:rsidR="00BF18CF" w14:paraId="1479D244" w14:textId="77777777" w:rsidTr="00BF18CF">
        <w:tc>
          <w:tcPr>
            <w:tcW w:w="1767" w:type="dxa"/>
          </w:tcPr>
          <w:p w14:paraId="1B25D20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23" w:type="dxa"/>
          </w:tcPr>
          <w:p w14:paraId="14F68B9E" w14:textId="77777777" w:rsidR="00BF18CF" w:rsidRDefault="00E51347">
            <w:r>
              <w:t>Cette classe comprend les valeurs des types de données primitives :</w:t>
            </w:r>
          </w:p>
          <w:p w14:paraId="5156EDA9" w14:textId="77777777" w:rsidR="00BF18CF" w:rsidRDefault="00E51347">
            <w:pPr>
              <w:numPr>
                <w:ilvl w:val="0"/>
                <w:numId w:val="19"/>
              </w:numPr>
            </w:pPr>
            <w:proofErr w:type="gramStart"/>
            <w:r>
              <w:t>de</w:t>
            </w:r>
            <w:proofErr w:type="gramEnd"/>
            <w:r>
              <w:t xml:space="preserve"> langages de programmation ou de systèmes de gestion de bases de données;</w:t>
            </w:r>
          </w:p>
          <w:p w14:paraId="0EE84E41" w14:textId="77777777" w:rsidR="00BF18CF" w:rsidRDefault="00E51347">
            <w:pPr>
              <w:numPr>
                <w:ilvl w:val="0"/>
                <w:numId w:val="19"/>
              </w:numPr>
            </w:pPr>
            <w:proofErr w:type="gramStart"/>
            <w:r>
              <w:t>composées</w:t>
            </w:r>
            <w:proofErr w:type="gramEnd"/>
            <w:r>
              <w:t xml:space="preserve"> de telles valeurs mobilisées comme éléments de documentation ainsi que leurs abstractions mathématiques.</w:t>
            </w:r>
          </w:p>
          <w:p w14:paraId="010ECFA3" w14:textId="77777777" w:rsidR="00BF18CF" w:rsidRDefault="00E51347">
            <w:r>
              <w:t xml:space="preserve">Les instances de </w:t>
            </w:r>
            <w:r>
              <w:rPr>
                <w:rFonts w:ascii="Consolas" w:eastAsia="Consolas" w:hAnsi="Consolas" w:cs="Consolas"/>
                <w:sz w:val="22"/>
                <w:szCs w:val="22"/>
                <w:shd w:val="clear" w:color="auto" w:fill="EAEEF3"/>
              </w:rPr>
              <w:t>E59_Valeur_primitive</w:t>
            </w:r>
            <w:r>
              <w:t xml:space="preserve"> et de ses sous-classes ne sont pas considérées comme des éléments relevant de l'univers du discours que le </w:t>
            </w:r>
            <w:r>
              <w:lastRenderedPageBreak/>
              <w:t>CIDOC CRM cherche à définir ou à analyser. Celles-ci agissent plutôt comme interface entre le CIDOC CRM, le monde des manipulations mathématiques et informatiques, et les objets symboliques que définissent et traitent ces manipulations.</w:t>
            </w:r>
          </w:p>
          <w:p w14:paraId="30404049" w14:textId="77777777" w:rsidR="00BF18CF" w:rsidRDefault="00E51347">
            <w:r>
              <w:t xml:space="preserve">Plus particulièrement, les instances de </w:t>
            </w:r>
            <w:r>
              <w:rPr>
                <w:rFonts w:ascii="Consolas" w:eastAsia="Consolas" w:hAnsi="Consolas" w:cs="Consolas"/>
                <w:sz w:val="22"/>
                <w:szCs w:val="22"/>
                <w:shd w:val="clear" w:color="auto" w:fill="EAEEF3"/>
              </w:rPr>
              <w:t>E59_Valeur_primitive</w:t>
            </w:r>
            <w:r>
              <w:t xml:space="preserve"> comprennent :</w:t>
            </w:r>
          </w:p>
          <w:p w14:paraId="2BEF0079" w14:textId="77777777" w:rsidR="00BF18CF" w:rsidRDefault="00E51347">
            <w:pPr>
              <w:numPr>
                <w:ilvl w:val="0"/>
                <w:numId w:val="19"/>
              </w:numPr>
            </w:pPr>
            <w:proofErr w:type="gramStart"/>
            <w:r>
              <w:t>des</w:t>
            </w:r>
            <w:proofErr w:type="gramEnd"/>
            <w:r>
              <w:t xml:space="preserve"> éléments lexicaux encodés comme des chaînes de caractères ou des séries de caractères et de symboles dérivés de schémas d'encodages, comme UNICODE. Ces éléments lexicaux encodés sont caractérisés par le fait qu'ils sont un sous-ensemble limité des abstractions mathématiques concernées;</w:t>
            </w:r>
          </w:p>
          <w:p w14:paraId="0AF1D9AB" w14:textId="77777777" w:rsidR="00BF18CF" w:rsidRDefault="00E51347">
            <w:pPr>
              <w:numPr>
                <w:ilvl w:val="0"/>
                <w:numId w:val="19"/>
              </w:numPr>
            </w:pPr>
            <w:proofErr w:type="gramStart"/>
            <w:r>
              <w:t>des</w:t>
            </w:r>
            <w:proofErr w:type="gramEnd"/>
            <w:r>
              <w:t xml:space="preserve"> valeurs de types de données qui peuvent être encodées sous forme lexicale, notamment les spécifications quantitatives géographiques ou d'intervalles temporels.</w:t>
            </w:r>
          </w:p>
          <w:p w14:paraId="7B383DB0" w14:textId="77777777" w:rsidR="00BF18CF" w:rsidRDefault="00E51347">
            <w:r>
              <w:t xml:space="preserve">Les instances de </w:t>
            </w:r>
            <w:r>
              <w:rPr>
                <w:rFonts w:ascii="Consolas" w:eastAsia="Consolas" w:hAnsi="Consolas" w:cs="Consolas"/>
                <w:sz w:val="22"/>
                <w:szCs w:val="22"/>
                <w:shd w:val="clear" w:color="auto" w:fill="EAEEF3"/>
              </w:rPr>
              <w:t>E59_Valeur_primitive</w:t>
            </w:r>
            <w:r>
              <w:t xml:space="preserve"> s'auto-définissent par leur valeur encodée indépendamment de la nature de leurs abstractions mathématiques.</w:t>
            </w:r>
          </w:p>
          <w:p w14:paraId="37A372D9" w14:textId="77777777" w:rsidR="00BF18CF" w:rsidRDefault="00E51347">
            <w:r>
              <w:t xml:space="preserve">Lorsqu'elles sont implémentées, les instances de </w:t>
            </w:r>
            <w:r>
              <w:rPr>
                <w:rFonts w:ascii="Consolas" w:eastAsia="Consolas" w:hAnsi="Consolas" w:cs="Consolas"/>
                <w:sz w:val="22"/>
                <w:szCs w:val="22"/>
                <w:shd w:val="clear" w:color="auto" w:fill="EAEEF3"/>
              </w:rPr>
              <w:t>E59_Valeur_primitive</w:t>
            </w:r>
            <w:r>
              <w:t xml:space="preserve"> devraient être représentées directement dans la forme symbolique encodée supportée par leur plateforme, comme une chaîne de caractères ou une date formatée. Elles ne doivent pas, dans ce cadre, être représentées indirectement par l'usage d'un autre URI qui serait alors relié à la forme symbolique encodée. Il est donc recommandé, lors d'une application concrète, de substituer le système de valeurs primitives de la plateforme ou du langage d'implémentation à </w:t>
            </w:r>
            <w:r>
              <w:rPr>
                <w:rFonts w:ascii="Consolas" w:eastAsia="Consolas" w:hAnsi="Consolas" w:cs="Consolas"/>
                <w:sz w:val="22"/>
                <w:szCs w:val="22"/>
                <w:shd w:val="clear" w:color="auto" w:fill="EAEEF3"/>
              </w:rPr>
              <w:t>E59_Valeur_primitive</w:t>
            </w:r>
            <w:r>
              <w:t xml:space="preserve"> et à ses sous-classes.</w:t>
            </w:r>
          </w:p>
        </w:tc>
      </w:tr>
      <w:tr w:rsidR="00BF18CF" w14:paraId="7A8254AE" w14:textId="77777777" w:rsidTr="00BF18CF">
        <w:tc>
          <w:tcPr>
            <w:tcW w:w="1767" w:type="dxa"/>
          </w:tcPr>
          <w:p w14:paraId="20842F9B"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23" w:type="dxa"/>
          </w:tcPr>
          <w:p w14:paraId="0A2309EE" w14:textId="77777777" w:rsidR="00BF18CF" w:rsidRDefault="00E51347">
            <w:pPr>
              <w:numPr>
                <w:ilvl w:val="0"/>
                <w:numId w:val="19"/>
              </w:numPr>
            </w:pPr>
            <w:r>
              <w:t>ABCDEFG (</w:t>
            </w:r>
            <w:r>
              <w:rPr>
                <w:rFonts w:ascii="Consolas" w:eastAsia="Consolas" w:hAnsi="Consolas" w:cs="Consolas"/>
                <w:sz w:val="22"/>
                <w:szCs w:val="22"/>
                <w:shd w:val="clear" w:color="auto" w:fill="EAEEF3"/>
              </w:rPr>
              <w:t>E62_Chaîne_de_caractères</w:t>
            </w:r>
            <w:r>
              <w:t>)</w:t>
            </w:r>
          </w:p>
          <w:p w14:paraId="7D40A0E9" w14:textId="77777777" w:rsidR="00BF18CF" w:rsidRDefault="00E51347">
            <w:pPr>
              <w:numPr>
                <w:ilvl w:val="0"/>
                <w:numId w:val="19"/>
              </w:numPr>
            </w:pPr>
            <w:r>
              <w:t>3.14 (</w:t>
            </w:r>
            <w:r>
              <w:rPr>
                <w:rFonts w:ascii="Consolas" w:eastAsia="Consolas" w:hAnsi="Consolas" w:cs="Consolas"/>
                <w:sz w:val="22"/>
                <w:szCs w:val="22"/>
                <w:shd w:val="clear" w:color="auto" w:fill="EAEEF3"/>
              </w:rPr>
              <w:t>E60_Nombre</w:t>
            </w:r>
            <w:r>
              <w:t>)</w:t>
            </w:r>
          </w:p>
          <w:p w14:paraId="336A065A" w14:textId="77777777" w:rsidR="00BF18CF" w:rsidRDefault="00E51347">
            <w:pPr>
              <w:numPr>
                <w:ilvl w:val="0"/>
                <w:numId w:val="19"/>
              </w:numPr>
            </w:pPr>
            <w:r>
              <w:t>0 (</w:t>
            </w:r>
            <w:r>
              <w:rPr>
                <w:rFonts w:ascii="Consolas" w:eastAsia="Consolas" w:hAnsi="Consolas" w:cs="Consolas"/>
                <w:sz w:val="22"/>
                <w:szCs w:val="22"/>
                <w:shd w:val="clear" w:color="auto" w:fill="EAEEF3"/>
              </w:rPr>
              <w:t>E60_Nombre</w:t>
            </w:r>
            <w:r>
              <w:t>)</w:t>
            </w:r>
          </w:p>
          <w:p w14:paraId="05828058" w14:textId="77777777" w:rsidR="00BF18CF" w:rsidRDefault="00E51347">
            <w:pPr>
              <w:numPr>
                <w:ilvl w:val="0"/>
                <w:numId w:val="19"/>
              </w:numPr>
            </w:pPr>
            <w:r>
              <w:t>1921-01-01 (</w:t>
            </w:r>
            <w:r>
              <w:rPr>
                <w:rFonts w:ascii="Consolas" w:eastAsia="Consolas" w:hAnsi="Consolas" w:cs="Consolas"/>
                <w:sz w:val="22"/>
                <w:szCs w:val="22"/>
                <w:shd w:val="clear" w:color="auto" w:fill="EAEEF3"/>
              </w:rPr>
              <w:t>E61_Primitive_temporelle</w:t>
            </w:r>
            <w:r>
              <w:t>)</w:t>
            </w:r>
          </w:p>
        </w:tc>
      </w:tr>
      <w:tr w:rsidR="00BF18CF" w14:paraId="5DA964D3" w14:textId="77777777" w:rsidTr="00BF18CF">
        <w:tc>
          <w:tcPr>
            <w:tcW w:w="1767" w:type="dxa"/>
          </w:tcPr>
          <w:p w14:paraId="74F7978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23" w:type="dxa"/>
          </w:tcPr>
          <w:p w14:paraId="597E4EFF" w14:textId="77777777" w:rsidR="00BF18CF" w:rsidRDefault="00E51347">
            <w:r>
              <w:t>E59(x) ⇒ E1(x)</w:t>
            </w:r>
          </w:p>
        </w:tc>
      </w:tr>
      <w:tr w:rsidR="00BF18CF" w14:paraId="688AA785" w14:textId="77777777" w:rsidTr="00BF18CF">
        <w:tc>
          <w:tcPr>
            <w:tcW w:w="1767" w:type="dxa"/>
          </w:tcPr>
          <w:p w14:paraId="468DEAD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23" w:type="dxa"/>
          </w:tcPr>
          <w:p w14:paraId="4D76FB11" w14:textId="77777777" w:rsidR="00BF18CF" w:rsidRDefault="00BF18CF">
            <w:pPr>
              <w:pBdr>
                <w:top w:val="nil"/>
                <w:left w:val="nil"/>
                <w:bottom w:val="nil"/>
                <w:right w:val="nil"/>
                <w:between w:val="nil"/>
              </w:pBdr>
              <w:spacing w:before="36" w:after="36"/>
              <w:rPr>
                <w:color w:val="000000"/>
              </w:rPr>
            </w:pPr>
          </w:p>
        </w:tc>
      </w:tr>
      <w:tr w:rsidR="00BF18CF" w14:paraId="563AA6C3" w14:textId="77777777" w:rsidTr="00BF18CF">
        <w:tc>
          <w:tcPr>
            <w:tcW w:w="1767" w:type="dxa"/>
          </w:tcPr>
          <w:p w14:paraId="2A498C2F" w14:textId="32235AC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23" w:type="dxa"/>
          </w:tcPr>
          <w:p w14:paraId="6293AC02" w14:textId="77777777" w:rsidR="00BF18CF" w:rsidRDefault="00BF18CF">
            <w:pPr>
              <w:pBdr>
                <w:top w:val="nil"/>
                <w:left w:val="nil"/>
                <w:bottom w:val="nil"/>
                <w:right w:val="nil"/>
                <w:between w:val="nil"/>
              </w:pBdr>
              <w:spacing w:before="36" w:after="36"/>
              <w:rPr>
                <w:color w:val="000000"/>
              </w:rPr>
            </w:pPr>
          </w:p>
        </w:tc>
      </w:tr>
      <w:tr w:rsidR="00BF18CF" w14:paraId="56883BC9" w14:textId="77777777" w:rsidTr="00BF18CF">
        <w:tc>
          <w:tcPr>
            <w:tcW w:w="1767" w:type="dxa"/>
          </w:tcPr>
          <w:p w14:paraId="231C5F1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23" w:type="dxa"/>
          </w:tcPr>
          <w:p w14:paraId="1279679A" w14:textId="77777777" w:rsidR="00BF18CF" w:rsidRDefault="00BF18CF">
            <w:pPr>
              <w:pBdr>
                <w:top w:val="nil"/>
                <w:left w:val="nil"/>
                <w:bottom w:val="nil"/>
                <w:right w:val="nil"/>
                <w:between w:val="nil"/>
              </w:pBdr>
              <w:spacing w:before="36" w:after="36"/>
              <w:rPr>
                <w:color w:val="000000"/>
              </w:rPr>
            </w:pPr>
          </w:p>
        </w:tc>
      </w:tr>
    </w:tbl>
    <w:p w14:paraId="436A7ABE" w14:textId="77777777" w:rsidR="00BF18CF" w:rsidRDefault="00E51347">
      <w:pPr>
        <w:pStyle w:val="Heading3"/>
      </w:pPr>
      <w:bookmarkStart w:id="196" w:name="bookmark=id.2ce457m" w:colFirst="0" w:colLast="0"/>
      <w:bookmarkStart w:id="197" w:name="_Toc144360841"/>
      <w:bookmarkEnd w:id="196"/>
      <w:r>
        <w:t>E60 Nombre</w:t>
      </w:r>
      <w:bookmarkEnd w:id="197"/>
    </w:p>
    <w:tbl>
      <w:tblPr>
        <w:tblStyle w:val="a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9"/>
        <w:gridCol w:w="8901"/>
      </w:tblGrid>
      <w:tr w:rsidR="00BF18CF" w14:paraId="71D815FE" w14:textId="77777777" w:rsidTr="00BF18CF">
        <w:tc>
          <w:tcPr>
            <w:tcW w:w="1789" w:type="dxa"/>
          </w:tcPr>
          <w:p w14:paraId="66F39400"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1" w:type="dxa"/>
          </w:tcPr>
          <w:p w14:paraId="2981C10F" w14:textId="77777777" w:rsidR="00BF18CF" w:rsidRDefault="00E51347">
            <w:r>
              <w:rPr>
                <w:rFonts w:ascii="Consolas" w:eastAsia="Consolas" w:hAnsi="Consolas" w:cs="Consolas"/>
                <w:sz w:val="22"/>
                <w:szCs w:val="22"/>
                <w:shd w:val="clear" w:color="auto" w:fill="EAEEF3"/>
              </w:rPr>
              <w:t>E59_Valeur_primitive</w:t>
            </w:r>
          </w:p>
        </w:tc>
      </w:tr>
      <w:tr w:rsidR="00BF18CF" w14:paraId="2355F387" w14:textId="77777777" w:rsidTr="00BF18CF">
        <w:tc>
          <w:tcPr>
            <w:tcW w:w="1789" w:type="dxa"/>
          </w:tcPr>
          <w:p w14:paraId="09D09E4C"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1" w:type="dxa"/>
          </w:tcPr>
          <w:p w14:paraId="2355882D" w14:textId="77777777" w:rsidR="00BF18CF" w:rsidRDefault="00BF18CF">
            <w:pPr>
              <w:pBdr>
                <w:top w:val="nil"/>
                <w:left w:val="nil"/>
                <w:bottom w:val="nil"/>
                <w:right w:val="nil"/>
                <w:between w:val="nil"/>
              </w:pBdr>
              <w:spacing w:before="36" w:after="36"/>
              <w:rPr>
                <w:color w:val="000000"/>
              </w:rPr>
            </w:pPr>
          </w:p>
        </w:tc>
      </w:tr>
      <w:tr w:rsidR="00BF18CF" w14:paraId="516F9886" w14:textId="77777777" w:rsidTr="00BF18CF">
        <w:tc>
          <w:tcPr>
            <w:tcW w:w="1789" w:type="dxa"/>
          </w:tcPr>
          <w:p w14:paraId="336C38F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1" w:type="dxa"/>
          </w:tcPr>
          <w:p w14:paraId="59D23B0A" w14:textId="77777777" w:rsidR="00BF18CF" w:rsidRDefault="00E51347">
            <w:r>
              <w:t>Cette classe comprend tous les encodages de valeurs calculables (algébriques) tels que les nombres entiers, les nombres réels, les nombres complexes, les vecteurs, les tenseurs, etc. Les intervalles de ces valeurs exprimant une précision limitée sont aussi compris.</w:t>
            </w:r>
          </w:p>
          <w:p w14:paraId="712FCA44" w14:textId="77777777" w:rsidR="00BF18CF" w:rsidRDefault="00E51347">
            <w:r>
              <w:lastRenderedPageBreak/>
              <w:t xml:space="preserve">Les nombres sont fondamentalement distincts des identifiants numériques exprimés dans des continuums tels que les dates issues du calendrier grégorien ou les coordonnées spatiales, même si leur encodage peut être similaire. Celles-ci sont plutôt des instances de </w:t>
            </w:r>
            <w:r>
              <w:rPr>
                <w:rFonts w:ascii="Consolas" w:eastAsia="Consolas" w:hAnsi="Consolas" w:cs="Consolas"/>
                <w:sz w:val="22"/>
                <w:szCs w:val="22"/>
                <w:shd w:val="clear" w:color="auto" w:fill="EAEEF3"/>
              </w:rPr>
              <w:t>E41_Appellation</w:t>
            </w:r>
            <w:r>
              <w:t xml:space="preserve">. Les instances de </w:t>
            </w:r>
            <w:r>
              <w:rPr>
                <w:rFonts w:ascii="Consolas" w:eastAsia="Consolas" w:hAnsi="Consolas" w:cs="Consolas"/>
                <w:sz w:val="22"/>
                <w:szCs w:val="22"/>
                <w:shd w:val="clear" w:color="auto" w:fill="EAEEF3"/>
              </w:rPr>
              <w:t>E60_Nombre</w:t>
            </w:r>
            <w:r>
              <w:t xml:space="preserve"> peuvent être combinées les unes aux autres dans des opérations algébriques pour mener à d’autres instances de </w:t>
            </w:r>
            <w:r>
              <w:rPr>
                <w:rFonts w:ascii="Consolas" w:eastAsia="Consolas" w:hAnsi="Consolas" w:cs="Consolas"/>
                <w:sz w:val="22"/>
                <w:szCs w:val="22"/>
                <w:shd w:val="clear" w:color="auto" w:fill="EAEEF3"/>
              </w:rPr>
              <w:t>E60_Nombre</w:t>
            </w:r>
            <w:r>
              <w:t xml:space="preserve"> comme 1 + 1 = 2. Les identifiants numériques exprimés dans des continuums peuvent être combinés à des nombres exprimant des distances pour produire de nouveaux identifiants, par exemple 1924-01-31 (</w:t>
            </w:r>
            <w:r>
              <w:rPr>
                <w:rFonts w:ascii="Consolas" w:eastAsia="Consolas" w:hAnsi="Consolas" w:cs="Consolas"/>
                <w:sz w:val="22"/>
                <w:szCs w:val="22"/>
                <w:shd w:val="clear" w:color="auto" w:fill="EAEEF3"/>
              </w:rPr>
              <w:t>E41_Appellation</w:t>
            </w:r>
            <w:r>
              <w:t>) + 2 jours (</w:t>
            </w:r>
            <w:r>
              <w:rPr>
                <w:rFonts w:ascii="Consolas" w:eastAsia="Consolas" w:hAnsi="Consolas" w:cs="Consolas"/>
                <w:sz w:val="22"/>
                <w:szCs w:val="22"/>
                <w:shd w:val="clear" w:color="auto" w:fill="EAEEF3"/>
              </w:rPr>
              <w:t>E60_Nombre</w:t>
            </w:r>
            <w:r>
              <w:t xml:space="preserve">) = 1924-02-02. Voir aussi </w:t>
            </w:r>
            <w:r>
              <w:rPr>
                <w:rFonts w:ascii="Consolas" w:eastAsia="Consolas" w:hAnsi="Consolas" w:cs="Consolas"/>
                <w:sz w:val="22"/>
                <w:szCs w:val="22"/>
                <w:shd w:val="clear" w:color="auto" w:fill="EAEEF3"/>
              </w:rPr>
              <w:t>E54_Dimension</w:t>
            </w:r>
            <w:r>
              <w:t>.</w:t>
            </w:r>
          </w:p>
        </w:tc>
      </w:tr>
      <w:tr w:rsidR="00BF18CF" w14:paraId="197DB24D" w14:textId="77777777" w:rsidTr="00BF18CF">
        <w:tc>
          <w:tcPr>
            <w:tcW w:w="1789" w:type="dxa"/>
          </w:tcPr>
          <w:p w14:paraId="413B3667"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01" w:type="dxa"/>
          </w:tcPr>
          <w:p w14:paraId="17A2F293" w14:textId="77777777" w:rsidR="00BF18CF" w:rsidRDefault="00E51347">
            <w:pPr>
              <w:numPr>
                <w:ilvl w:val="0"/>
                <w:numId w:val="19"/>
              </w:numPr>
            </w:pPr>
            <w:r>
              <w:t>5</w:t>
            </w:r>
          </w:p>
          <w:p w14:paraId="6140AD1E" w14:textId="77777777" w:rsidR="00BF18CF" w:rsidRDefault="00E51347">
            <w:pPr>
              <w:numPr>
                <w:ilvl w:val="0"/>
                <w:numId w:val="19"/>
              </w:numPr>
            </w:pPr>
            <w:r>
              <w:t>3+2i</w:t>
            </w:r>
          </w:p>
          <w:p w14:paraId="093E4F30" w14:textId="77777777" w:rsidR="00BF18CF" w:rsidRDefault="00E51347">
            <w:pPr>
              <w:numPr>
                <w:ilvl w:val="0"/>
                <w:numId w:val="19"/>
              </w:numPr>
            </w:pPr>
            <w:r>
              <w:t>1.5e-04</w:t>
            </w:r>
          </w:p>
          <w:p w14:paraId="36709E82" w14:textId="77777777" w:rsidR="00BF18CF" w:rsidRDefault="00E51347">
            <w:pPr>
              <w:numPr>
                <w:ilvl w:val="0"/>
                <w:numId w:val="19"/>
              </w:numPr>
            </w:pPr>
            <w:r>
              <w:t>(0.5, - 0.7,88)</w:t>
            </w:r>
          </w:p>
        </w:tc>
      </w:tr>
      <w:tr w:rsidR="00BF18CF" w14:paraId="08E98336" w14:textId="77777777" w:rsidTr="00BF18CF">
        <w:tc>
          <w:tcPr>
            <w:tcW w:w="1789" w:type="dxa"/>
          </w:tcPr>
          <w:p w14:paraId="062DFBF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1" w:type="dxa"/>
          </w:tcPr>
          <w:p w14:paraId="2D289504" w14:textId="77777777" w:rsidR="00BF18CF" w:rsidRDefault="00E51347">
            <w:r>
              <w:t>E60(x) ⇒ E59(x)</w:t>
            </w:r>
          </w:p>
        </w:tc>
      </w:tr>
      <w:tr w:rsidR="00BF18CF" w14:paraId="4C714AD6" w14:textId="77777777" w:rsidTr="00BF18CF">
        <w:tc>
          <w:tcPr>
            <w:tcW w:w="1789" w:type="dxa"/>
          </w:tcPr>
          <w:p w14:paraId="015B706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1" w:type="dxa"/>
          </w:tcPr>
          <w:p w14:paraId="2BF40BB1" w14:textId="77777777" w:rsidR="00BF18CF" w:rsidRDefault="00BF18CF">
            <w:pPr>
              <w:pBdr>
                <w:top w:val="nil"/>
                <w:left w:val="nil"/>
                <w:bottom w:val="nil"/>
                <w:right w:val="nil"/>
                <w:between w:val="nil"/>
              </w:pBdr>
              <w:spacing w:before="36" w:after="36"/>
              <w:rPr>
                <w:color w:val="000000"/>
              </w:rPr>
            </w:pPr>
          </w:p>
        </w:tc>
      </w:tr>
      <w:tr w:rsidR="00BF18CF" w14:paraId="22D53E82" w14:textId="77777777" w:rsidTr="00BF18CF">
        <w:tc>
          <w:tcPr>
            <w:tcW w:w="1789" w:type="dxa"/>
          </w:tcPr>
          <w:p w14:paraId="3150C84D" w14:textId="7577A67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1" w:type="dxa"/>
          </w:tcPr>
          <w:p w14:paraId="0320F7F6" w14:textId="77777777" w:rsidR="00BF18CF" w:rsidRDefault="00BF18CF">
            <w:pPr>
              <w:pBdr>
                <w:top w:val="nil"/>
                <w:left w:val="nil"/>
                <w:bottom w:val="nil"/>
                <w:right w:val="nil"/>
                <w:between w:val="nil"/>
              </w:pBdr>
              <w:spacing w:before="36" w:after="36"/>
              <w:rPr>
                <w:color w:val="000000"/>
              </w:rPr>
            </w:pPr>
          </w:p>
        </w:tc>
      </w:tr>
      <w:tr w:rsidR="00BF18CF" w14:paraId="03032B07" w14:textId="77777777" w:rsidTr="00BF18CF">
        <w:tc>
          <w:tcPr>
            <w:tcW w:w="1789" w:type="dxa"/>
          </w:tcPr>
          <w:p w14:paraId="69CBC62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1" w:type="dxa"/>
          </w:tcPr>
          <w:p w14:paraId="497E07EF" w14:textId="77777777" w:rsidR="00BF18CF" w:rsidRDefault="00BF18CF">
            <w:pPr>
              <w:pBdr>
                <w:top w:val="nil"/>
                <w:left w:val="nil"/>
                <w:bottom w:val="nil"/>
                <w:right w:val="nil"/>
                <w:between w:val="nil"/>
              </w:pBdr>
              <w:spacing w:before="36" w:after="36"/>
              <w:rPr>
                <w:color w:val="000000"/>
              </w:rPr>
            </w:pPr>
          </w:p>
        </w:tc>
      </w:tr>
    </w:tbl>
    <w:p w14:paraId="2B965ECC" w14:textId="77777777" w:rsidR="00BF18CF" w:rsidRDefault="00E51347">
      <w:pPr>
        <w:pStyle w:val="Heading3"/>
      </w:pPr>
      <w:bookmarkStart w:id="198" w:name="bookmark=id.rjefff" w:colFirst="0" w:colLast="0"/>
      <w:bookmarkStart w:id="199" w:name="_Toc144360842"/>
      <w:bookmarkEnd w:id="198"/>
      <w:r>
        <w:t>E61 Primitive temporelle</w:t>
      </w:r>
      <w:bookmarkEnd w:id="199"/>
    </w:p>
    <w:tbl>
      <w:tblPr>
        <w:tblStyle w:val="a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1"/>
        <w:gridCol w:w="8909"/>
      </w:tblGrid>
      <w:tr w:rsidR="00BF18CF" w14:paraId="3C015B1B" w14:textId="77777777" w:rsidTr="00BF18CF">
        <w:tc>
          <w:tcPr>
            <w:tcW w:w="1781" w:type="dxa"/>
          </w:tcPr>
          <w:p w14:paraId="42BF74E1"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9" w:type="dxa"/>
          </w:tcPr>
          <w:p w14:paraId="45F3B221" w14:textId="77777777" w:rsidR="00BF18CF" w:rsidRDefault="00E51347">
            <w:r>
              <w:rPr>
                <w:rFonts w:ascii="Consolas" w:eastAsia="Consolas" w:hAnsi="Consolas" w:cs="Consolas"/>
                <w:sz w:val="22"/>
                <w:szCs w:val="22"/>
                <w:shd w:val="clear" w:color="auto" w:fill="EAEEF3"/>
              </w:rPr>
              <w:t>E41_Appellation</w:t>
            </w:r>
          </w:p>
          <w:p w14:paraId="31058663" w14:textId="77777777" w:rsidR="00BF18CF" w:rsidRDefault="00E51347">
            <w:r>
              <w:rPr>
                <w:rFonts w:ascii="Consolas" w:eastAsia="Consolas" w:hAnsi="Consolas" w:cs="Consolas"/>
                <w:sz w:val="22"/>
                <w:szCs w:val="22"/>
                <w:shd w:val="clear" w:color="auto" w:fill="EAEEF3"/>
              </w:rPr>
              <w:t>E59_Valeur_primitive</w:t>
            </w:r>
          </w:p>
        </w:tc>
      </w:tr>
      <w:tr w:rsidR="00BF18CF" w14:paraId="158BB954" w14:textId="77777777" w:rsidTr="00BF18CF">
        <w:tc>
          <w:tcPr>
            <w:tcW w:w="1781" w:type="dxa"/>
          </w:tcPr>
          <w:p w14:paraId="1B10FE2B"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9" w:type="dxa"/>
          </w:tcPr>
          <w:p w14:paraId="75F3658D" w14:textId="77777777" w:rsidR="00BF18CF" w:rsidRDefault="00BF18CF">
            <w:pPr>
              <w:pBdr>
                <w:top w:val="nil"/>
                <w:left w:val="nil"/>
                <w:bottom w:val="nil"/>
                <w:right w:val="nil"/>
                <w:between w:val="nil"/>
              </w:pBdr>
              <w:spacing w:before="36" w:after="36"/>
              <w:rPr>
                <w:color w:val="000000"/>
              </w:rPr>
            </w:pPr>
          </w:p>
        </w:tc>
      </w:tr>
      <w:tr w:rsidR="00BF18CF" w14:paraId="7FECB125" w14:textId="77777777" w:rsidTr="00BF18CF">
        <w:tc>
          <w:tcPr>
            <w:tcW w:w="1781" w:type="dxa"/>
          </w:tcPr>
          <w:p w14:paraId="2C517C9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9" w:type="dxa"/>
          </w:tcPr>
          <w:p w14:paraId="4D25AC15" w14:textId="77777777" w:rsidR="00BF18CF" w:rsidRDefault="00E51347">
            <w:r>
              <w:t xml:space="preserve">Cette classe comprend les instances temporelles de </w:t>
            </w:r>
            <w:r>
              <w:rPr>
                <w:rFonts w:ascii="Consolas" w:eastAsia="Consolas" w:hAnsi="Consolas" w:cs="Consolas"/>
                <w:sz w:val="22"/>
                <w:szCs w:val="22"/>
                <w:shd w:val="clear" w:color="auto" w:fill="EAEEF3"/>
              </w:rPr>
              <w:t>E59_Valeur_primitive</w:t>
            </w:r>
            <w:r>
              <w:t xml:space="preserve"> qui doivent être implémentées avec les validation, précision et références appropriées aux systèmes de coordonnées temporelles, et ce pour exprimer un temps dans un contexte pertinent à la documentation culturelle et scientifique.</w:t>
            </w:r>
          </w:p>
          <w:p w14:paraId="39478BCE" w14:textId="77777777" w:rsidR="00BF18CF" w:rsidRDefault="00E51347">
            <w:r>
              <w:t xml:space="preserve">L’instanciation de différentes instances de </w:t>
            </w:r>
            <w:r>
              <w:rPr>
                <w:rFonts w:ascii="Consolas" w:eastAsia="Consolas" w:hAnsi="Consolas" w:cs="Consolas"/>
                <w:sz w:val="22"/>
                <w:szCs w:val="22"/>
                <w:shd w:val="clear" w:color="auto" w:fill="EAEEF3"/>
              </w:rPr>
              <w:t>E61_Primitive_temporelle</w:t>
            </w:r>
            <w:r>
              <w:t xml:space="preserve"> reliées à une unique instance de </w:t>
            </w:r>
            <w:r>
              <w:rPr>
                <w:rFonts w:ascii="Consolas" w:eastAsia="Consolas" w:hAnsi="Consolas" w:cs="Consolas"/>
                <w:sz w:val="22"/>
                <w:szCs w:val="22"/>
                <w:shd w:val="clear" w:color="auto" w:fill="EAEEF3"/>
              </w:rPr>
              <w:t>E52_Intervalle_temporel</w:t>
            </w:r>
            <w:r>
              <w:t xml:space="preserve"> permet l’expression de multiples opinions ou approximations du même phénomène. Pour représenter différentes opinions ou approximations d’une instance de </w:t>
            </w:r>
            <w:r>
              <w:rPr>
                <w:rFonts w:ascii="Consolas" w:eastAsia="Consolas" w:hAnsi="Consolas" w:cs="Consolas"/>
                <w:sz w:val="22"/>
                <w:szCs w:val="22"/>
                <w:shd w:val="clear" w:color="auto" w:fill="EAEEF3"/>
              </w:rPr>
              <w:t>E52_Intervalle_temporel</w:t>
            </w:r>
            <w:r>
              <w:t xml:space="preserve"> reliée à une instance de </w:t>
            </w:r>
            <w:r>
              <w:rPr>
                <w:rFonts w:ascii="Consolas" w:eastAsia="Consolas" w:hAnsi="Consolas" w:cs="Consolas"/>
                <w:sz w:val="22"/>
                <w:szCs w:val="22"/>
                <w:shd w:val="clear" w:color="auto" w:fill="EAEEF3"/>
              </w:rPr>
              <w:t>E2_Entité_temporelle</w:t>
            </w:r>
            <w:r>
              <w:t xml:space="preserve">, plusieurs instances de </w:t>
            </w:r>
            <w:r>
              <w:rPr>
                <w:rFonts w:ascii="Consolas" w:eastAsia="Consolas" w:hAnsi="Consolas" w:cs="Consolas"/>
                <w:sz w:val="22"/>
                <w:szCs w:val="22"/>
                <w:shd w:val="clear" w:color="auto" w:fill="EAEEF3"/>
              </w:rPr>
              <w:t>E61_Primitive_temporelle</w:t>
            </w:r>
            <w:r>
              <w:t xml:space="preserve"> devraient être instanciées et reliées à cette unique instance de </w:t>
            </w:r>
            <w:r>
              <w:rPr>
                <w:rFonts w:ascii="Consolas" w:eastAsia="Consolas" w:hAnsi="Consolas" w:cs="Consolas"/>
                <w:sz w:val="22"/>
                <w:szCs w:val="22"/>
                <w:shd w:val="clear" w:color="auto" w:fill="EAEEF3"/>
              </w:rPr>
              <w:t>E52_Intervalle_temporel</w:t>
            </w:r>
            <w:r>
              <w:t xml:space="preserve">. Une unique instance de </w:t>
            </w:r>
            <w:r>
              <w:rPr>
                <w:rFonts w:ascii="Consolas" w:eastAsia="Consolas" w:hAnsi="Consolas" w:cs="Consolas"/>
                <w:sz w:val="22"/>
                <w:szCs w:val="22"/>
                <w:shd w:val="clear" w:color="auto" w:fill="EAEEF3"/>
              </w:rPr>
              <w:t>E52_Intervalle_temporel</w:t>
            </w:r>
            <w:r>
              <w:t xml:space="preserve"> devrait être instanciée du fait que, pour n’importe quelle entité temporelle, il n’existe qu’une seule étendue temporelle phénoménale réelle.</w:t>
            </w:r>
          </w:p>
          <w:p w14:paraId="08CB2014" w14:textId="77777777" w:rsidR="00BF18CF" w:rsidRDefault="00E51347">
            <w:r>
              <w:t xml:space="preserve">Les instances de </w:t>
            </w:r>
            <w:r>
              <w:rPr>
                <w:rFonts w:ascii="Consolas" w:eastAsia="Consolas" w:hAnsi="Consolas" w:cs="Consolas"/>
                <w:sz w:val="22"/>
                <w:szCs w:val="22"/>
                <w:shd w:val="clear" w:color="auto" w:fill="EAEEF3"/>
              </w:rPr>
              <w:t>E61_Primitive_temporelle</w:t>
            </w:r>
            <w:r>
              <w:t xml:space="preserve"> ne sont pas considérées comme des éléments de l’univers du discours que le CIDOC CRM tente de définir et d'analyser. Plutôt, ces instances jouent le rôle d’une interface symbolique entre l’application de </w:t>
            </w:r>
            <w:r>
              <w:lastRenderedPageBreak/>
              <w:t>ce modèle, le monde des manipulations mathématiques et computationnelles, ainsi que les objets symboliques que ces instances définissent et manipulent.</w:t>
            </w:r>
          </w:p>
          <w:p w14:paraId="739A4241" w14:textId="77777777" w:rsidR="00BF18CF" w:rsidRDefault="00E51347">
            <w:r>
              <w:t xml:space="preserve">Dès lors, ces instances de </w:t>
            </w:r>
            <w:r>
              <w:rPr>
                <w:rFonts w:ascii="Consolas" w:eastAsia="Consolas" w:hAnsi="Consolas" w:cs="Consolas"/>
                <w:sz w:val="22"/>
                <w:szCs w:val="22"/>
                <w:shd w:val="clear" w:color="auto" w:fill="EAEEF3"/>
              </w:rPr>
              <w:t>E61_Primitive_temporelle</w:t>
            </w:r>
            <w:r>
              <w:t xml:space="preserve"> ne doivent pas être représentées dans une implémentation par un identifiant universel associé avec un modèle de contenu d’une identité différente. Dans une application concrète, il est recommandé que le système de valeurs primitives d’une plateforme d’implémentation spécifique et/ou d’un langage de définition de données soit utilisé en lieu et place de cette classe.</w:t>
            </w:r>
          </w:p>
        </w:tc>
      </w:tr>
      <w:tr w:rsidR="00BF18CF" w14:paraId="34A32F06" w14:textId="77777777" w:rsidTr="00BF18CF">
        <w:tc>
          <w:tcPr>
            <w:tcW w:w="1781" w:type="dxa"/>
          </w:tcPr>
          <w:p w14:paraId="3654CA42"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09" w:type="dxa"/>
          </w:tcPr>
          <w:p w14:paraId="6DE01C84" w14:textId="77777777" w:rsidR="00BF18CF" w:rsidRDefault="00E51347">
            <w:pPr>
              <w:numPr>
                <w:ilvl w:val="0"/>
                <w:numId w:val="19"/>
              </w:numPr>
            </w:pPr>
            <w:r>
              <w:t>1994 – 1997</w:t>
            </w:r>
          </w:p>
          <w:p w14:paraId="49B2EC4A" w14:textId="77777777" w:rsidR="00BF18CF" w:rsidRDefault="00E51347">
            <w:pPr>
              <w:numPr>
                <w:ilvl w:val="0"/>
                <w:numId w:val="19"/>
              </w:numPr>
            </w:pPr>
            <w:r>
              <w:t>13 mai 1768</w:t>
            </w:r>
          </w:p>
          <w:p w14:paraId="701FA1EE" w14:textId="77777777" w:rsidR="00BF18CF" w:rsidRDefault="00E51347">
            <w:pPr>
              <w:numPr>
                <w:ilvl w:val="0"/>
                <w:numId w:val="19"/>
              </w:numPr>
            </w:pPr>
            <w:r>
              <w:t>2000/01/01 00:00:59.7</w:t>
            </w:r>
          </w:p>
          <w:p w14:paraId="08941981" w14:textId="77777777" w:rsidR="00BF18CF" w:rsidRDefault="00E51347">
            <w:pPr>
              <w:numPr>
                <w:ilvl w:val="0"/>
                <w:numId w:val="19"/>
              </w:numPr>
            </w:pPr>
            <w:r>
              <w:t>LXXXV</w:t>
            </w:r>
            <w:r>
              <w:rPr>
                <w:vertAlign w:val="superscript"/>
              </w:rPr>
              <w:t>e</w:t>
            </w:r>
            <w:r>
              <w:t xml:space="preserve"> siècle AEC</w:t>
            </w:r>
          </w:p>
        </w:tc>
      </w:tr>
      <w:tr w:rsidR="00BF18CF" w14:paraId="54F6AEAE" w14:textId="77777777" w:rsidTr="00BF18CF">
        <w:tc>
          <w:tcPr>
            <w:tcW w:w="1781" w:type="dxa"/>
          </w:tcPr>
          <w:p w14:paraId="734FC5C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9" w:type="dxa"/>
          </w:tcPr>
          <w:p w14:paraId="56626F61" w14:textId="77777777" w:rsidR="00BF18CF" w:rsidRDefault="00E51347">
            <w:r>
              <w:t>E61(x) ⇒ E41(x)</w:t>
            </w:r>
          </w:p>
          <w:p w14:paraId="1957B63B" w14:textId="77777777" w:rsidR="00BF18CF" w:rsidRDefault="00E51347">
            <w:r>
              <w:t>E61(x) ⇒ E59(x)</w:t>
            </w:r>
          </w:p>
        </w:tc>
      </w:tr>
      <w:tr w:rsidR="00BF18CF" w14:paraId="54F3AFC3" w14:textId="77777777" w:rsidTr="00BF18CF">
        <w:tc>
          <w:tcPr>
            <w:tcW w:w="1781" w:type="dxa"/>
          </w:tcPr>
          <w:p w14:paraId="16981A5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9" w:type="dxa"/>
          </w:tcPr>
          <w:p w14:paraId="64380A65" w14:textId="77777777" w:rsidR="00BF18CF" w:rsidRDefault="00E51347">
            <w:r>
              <w:rPr>
                <w:rFonts w:ascii="Consolas" w:eastAsia="Consolas" w:hAnsi="Consolas" w:cs="Consolas"/>
                <w:sz w:val="22"/>
                <w:szCs w:val="22"/>
                <w:shd w:val="clear" w:color="auto" w:fill="EAEEF3"/>
              </w:rPr>
              <w:t>P170_temps_défini_par (définit_le_temps)</w:t>
            </w:r>
            <w:r>
              <w:t xml:space="preserve"> : </w:t>
            </w:r>
            <w:r>
              <w:rPr>
                <w:rFonts w:ascii="Consolas" w:eastAsia="Consolas" w:hAnsi="Consolas" w:cs="Consolas"/>
                <w:sz w:val="22"/>
                <w:szCs w:val="22"/>
                <w:shd w:val="clear" w:color="auto" w:fill="EAEEF3"/>
              </w:rPr>
              <w:t>E52_Intervalle_temporel</w:t>
            </w:r>
          </w:p>
        </w:tc>
      </w:tr>
      <w:tr w:rsidR="00BF18CF" w14:paraId="5371A2E4" w14:textId="77777777" w:rsidTr="00BF18CF">
        <w:tc>
          <w:tcPr>
            <w:tcW w:w="1781" w:type="dxa"/>
          </w:tcPr>
          <w:p w14:paraId="23AABB56" w14:textId="17D547C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9" w:type="dxa"/>
          </w:tcPr>
          <w:p w14:paraId="67E19081" w14:textId="77777777" w:rsidR="00BF18CF" w:rsidRDefault="00BF18CF">
            <w:pPr>
              <w:pBdr>
                <w:top w:val="nil"/>
                <w:left w:val="nil"/>
                <w:bottom w:val="nil"/>
                <w:right w:val="nil"/>
                <w:between w:val="nil"/>
              </w:pBdr>
              <w:spacing w:before="36" w:after="36"/>
              <w:rPr>
                <w:color w:val="000000"/>
              </w:rPr>
            </w:pPr>
          </w:p>
        </w:tc>
      </w:tr>
      <w:tr w:rsidR="00BF18CF" w14:paraId="39B8A70D" w14:textId="77777777" w:rsidTr="00BF18CF">
        <w:tc>
          <w:tcPr>
            <w:tcW w:w="1781" w:type="dxa"/>
          </w:tcPr>
          <w:p w14:paraId="4982F29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9" w:type="dxa"/>
          </w:tcPr>
          <w:p w14:paraId="3FA1B565" w14:textId="77777777" w:rsidR="00BF18CF" w:rsidRDefault="00BF18CF">
            <w:pPr>
              <w:pBdr>
                <w:top w:val="nil"/>
                <w:left w:val="nil"/>
                <w:bottom w:val="nil"/>
                <w:right w:val="nil"/>
                <w:between w:val="nil"/>
              </w:pBdr>
              <w:spacing w:before="36" w:after="36"/>
              <w:rPr>
                <w:color w:val="000000"/>
              </w:rPr>
            </w:pPr>
          </w:p>
        </w:tc>
      </w:tr>
    </w:tbl>
    <w:p w14:paraId="7BED82DF" w14:textId="77777777" w:rsidR="00BF18CF" w:rsidRDefault="00E51347">
      <w:pPr>
        <w:pStyle w:val="Heading3"/>
      </w:pPr>
      <w:bookmarkStart w:id="200" w:name="bookmark=id.3bj1y38" w:colFirst="0" w:colLast="0"/>
      <w:bookmarkStart w:id="201" w:name="_Toc144360843"/>
      <w:bookmarkEnd w:id="200"/>
      <w:r>
        <w:t>E62 Chaîne de caractères</w:t>
      </w:r>
      <w:bookmarkEnd w:id="201"/>
    </w:p>
    <w:tbl>
      <w:tblPr>
        <w:tblStyle w:val="a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1"/>
        <w:gridCol w:w="8909"/>
      </w:tblGrid>
      <w:tr w:rsidR="00BF18CF" w14:paraId="04EF3FE8" w14:textId="77777777" w:rsidTr="00BF18CF">
        <w:tc>
          <w:tcPr>
            <w:tcW w:w="1781" w:type="dxa"/>
          </w:tcPr>
          <w:p w14:paraId="61C2AD74"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9" w:type="dxa"/>
          </w:tcPr>
          <w:p w14:paraId="04853281" w14:textId="77777777" w:rsidR="00BF18CF" w:rsidRDefault="00E51347">
            <w:r>
              <w:rPr>
                <w:rFonts w:ascii="Consolas" w:eastAsia="Consolas" w:hAnsi="Consolas" w:cs="Consolas"/>
                <w:sz w:val="22"/>
                <w:szCs w:val="22"/>
                <w:shd w:val="clear" w:color="auto" w:fill="EAEEF3"/>
              </w:rPr>
              <w:t>E59_Valeur_primitive</w:t>
            </w:r>
          </w:p>
        </w:tc>
      </w:tr>
      <w:tr w:rsidR="00BF18CF" w14:paraId="34D6E400" w14:textId="77777777" w:rsidTr="00BF18CF">
        <w:tc>
          <w:tcPr>
            <w:tcW w:w="1781" w:type="dxa"/>
          </w:tcPr>
          <w:p w14:paraId="69734DDE"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9" w:type="dxa"/>
          </w:tcPr>
          <w:p w14:paraId="077F2C65" w14:textId="77777777" w:rsidR="00BF18CF" w:rsidRDefault="00BF18CF">
            <w:pPr>
              <w:pBdr>
                <w:top w:val="nil"/>
                <w:left w:val="nil"/>
                <w:bottom w:val="nil"/>
                <w:right w:val="nil"/>
                <w:between w:val="nil"/>
              </w:pBdr>
              <w:spacing w:before="36" w:after="36"/>
              <w:rPr>
                <w:color w:val="000000"/>
              </w:rPr>
            </w:pPr>
          </w:p>
        </w:tc>
      </w:tr>
      <w:tr w:rsidR="00BF18CF" w14:paraId="3EAD6AA0" w14:textId="77777777" w:rsidTr="00BF18CF">
        <w:tc>
          <w:tcPr>
            <w:tcW w:w="1781" w:type="dxa"/>
          </w:tcPr>
          <w:p w14:paraId="32F5AE8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9" w:type="dxa"/>
          </w:tcPr>
          <w:p w14:paraId="1634C19E" w14:textId="77777777" w:rsidR="00BF18CF" w:rsidRDefault="00E51347">
            <w:r>
              <w:t xml:space="preserve">Cette classe comprend les séquences cohérentes de symboles en code binaire. Elles correspondent au contenu d’une instance de </w:t>
            </w:r>
            <w:r>
              <w:rPr>
                <w:rFonts w:ascii="Consolas" w:eastAsia="Consolas" w:hAnsi="Consolas" w:cs="Consolas"/>
                <w:sz w:val="22"/>
                <w:szCs w:val="22"/>
                <w:shd w:val="clear" w:color="auto" w:fill="EAEEF3"/>
              </w:rPr>
              <w:t>E90_Objet_symbolique</w:t>
            </w:r>
            <w:r>
              <w:t xml:space="preserve">. Les instances de </w:t>
            </w:r>
            <w:r>
              <w:rPr>
                <w:rFonts w:ascii="Consolas" w:eastAsia="Consolas" w:hAnsi="Consolas" w:cs="Consolas"/>
                <w:sz w:val="22"/>
                <w:szCs w:val="22"/>
                <w:shd w:val="clear" w:color="auto" w:fill="EAEEF3"/>
              </w:rPr>
              <w:t>E62_Chaîne_de_caractères</w:t>
            </w:r>
            <w:r>
              <w:t xml:space="preserve"> représentent seulement la séquence de symboles en soi. Celles-ci peuvent contenir ou non un code de langue.</w:t>
            </w:r>
          </w:p>
          <w:p w14:paraId="00F47EB4" w14:textId="77777777" w:rsidR="00BF18CF" w:rsidRDefault="00E51347">
            <w:r>
              <w:t xml:space="preserve">En revanche, les instances des autres sous-classes de </w:t>
            </w:r>
            <w:r>
              <w:rPr>
                <w:rFonts w:ascii="Consolas" w:eastAsia="Consolas" w:hAnsi="Consolas" w:cs="Consolas"/>
                <w:sz w:val="22"/>
                <w:szCs w:val="22"/>
                <w:shd w:val="clear" w:color="auto" w:fill="EAEEF3"/>
              </w:rPr>
              <w:t>E59_Valeur_primitive</w:t>
            </w:r>
            <w:r>
              <w:t xml:space="preserve"> représentent les entités dans des espaces mathématiques autres que celui des séquences de symboles en code binaire, tels que des expressions de dates ou des nombres en codage décimal. Par exemple, différentes syntaxes exprimant une date peuvent représenter la même date, mais être constituées de différentes chaînes de caractères.</w:t>
            </w:r>
          </w:p>
        </w:tc>
      </w:tr>
      <w:tr w:rsidR="00BF18CF" w14:paraId="3EDF269F" w14:textId="77777777" w:rsidTr="00BF18CF">
        <w:tc>
          <w:tcPr>
            <w:tcW w:w="1781" w:type="dxa"/>
          </w:tcPr>
          <w:p w14:paraId="1DE04E8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09" w:type="dxa"/>
          </w:tcPr>
          <w:p w14:paraId="41322EAB" w14:textId="77777777" w:rsidR="00BF18CF" w:rsidRPr="00EE61A5" w:rsidRDefault="00E51347">
            <w:pPr>
              <w:numPr>
                <w:ilvl w:val="0"/>
                <w:numId w:val="19"/>
              </w:numPr>
              <w:rPr>
                <w:lang w:val="en-CA"/>
              </w:rPr>
            </w:pPr>
            <w:r w:rsidRPr="00EE61A5">
              <w:rPr>
                <w:lang w:val="en-CA"/>
              </w:rPr>
              <w:t>The Quick Brown Fox Jumps Over the Lazy Dog</w:t>
            </w:r>
          </w:p>
          <w:p w14:paraId="3D353FD8" w14:textId="77777777" w:rsidR="00BF18CF" w:rsidRDefault="00E51347">
            <w:pPr>
              <w:numPr>
                <w:ilvl w:val="0"/>
                <w:numId w:val="19"/>
              </w:numPr>
            </w:pPr>
            <w:r>
              <w:t>6F 6E 54 79 70 31 0D 9E</w:t>
            </w:r>
          </w:p>
        </w:tc>
      </w:tr>
      <w:tr w:rsidR="00BF18CF" w14:paraId="05FECAC4" w14:textId="77777777" w:rsidTr="00BF18CF">
        <w:tc>
          <w:tcPr>
            <w:tcW w:w="1781" w:type="dxa"/>
          </w:tcPr>
          <w:p w14:paraId="11D983D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9" w:type="dxa"/>
          </w:tcPr>
          <w:p w14:paraId="60A3C664" w14:textId="77777777" w:rsidR="00BF18CF" w:rsidRDefault="00E51347">
            <w:r>
              <w:t>E62(x) ⇒ E59(x)</w:t>
            </w:r>
          </w:p>
        </w:tc>
      </w:tr>
      <w:tr w:rsidR="00BF18CF" w14:paraId="53153A48" w14:textId="77777777" w:rsidTr="00BF18CF">
        <w:tc>
          <w:tcPr>
            <w:tcW w:w="1781" w:type="dxa"/>
          </w:tcPr>
          <w:p w14:paraId="1AB56BE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9" w:type="dxa"/>
          </w:tcPr>
          <w:p w14:paraId="3CF9B804" w14:textId="77777777" w:rsidR="00BF18CF" w:rsidRDefault="00BF18CF">
            <w:pPr>
              <w:pBdr>
                <w:top w:val="nil"/>
                <w:left w:val="nil"/>
                <w:bottom w:val="nil"/>
                <w:right w:val="nil"/>
                <w:between w:val="nil"/>
              </w:pBdr>
              <w:spacing w:before="36" w:after="36"/>
              <w:rPr>
                <w:color w:val="000000"/>
              </w:rPr>
            </w:pPr>
          </w:p>
        </w:tc>
      </w:tr>
      <w:tr w:rsidR="00BF18CF" w14:paraId="3E902E30" w14:textId="77777777" w:rsidTr="00BF18CF">
        <w:tc>
          <w:tcPr>
            <w:tcW w:w="1781" w:type="dxa"/>
          </w:tcPr>
          <w:p w14:paraId="7069CB46" w14:textId="1031C008"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909" w:type="dxa"/>
          </w:tcPr>
          <w:p w14:paraId="25A82495" w14:textId="77777777" w:rsidR="00BF18CF" w:rsidRDefault="00BF18CF">
            <w:pPr>
              <w:pBdr>
                <w:top w:val="nil"/>
                <w:left w:val="nil"/>
                <w:bottom w:val="nil"/>
                <w:right w:val="nil"/>
                <w:between w:val="nil"/>
              </w:pBdr>
              <w:spacing w:before="36" w:after="36"/>
              <w:rPr>
                <w:color w:val="000000"/>
              </w:rPr>
            </w:pPr>
          </w:p>
        </w:tc>
      </w:tr>
      <w:tr w:rsidR="00BF18CF" w14:paraId="5B3D8FEA" w14:textId="77777777" w:rsidTr="00BF18CF">
        <w:tc>
          <w:tcPr>
            <w:tcW w:w="1781" w:type="dxa"/>
          </w:tcPr>
          <w:p w14:paraId="3C48BAE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9" w:type="dxa"/>
          </w:tcPr>
          <w:p w14:paraId="4D373D75" w14:textId="77777777" w:rsidR="00BF18CF" w:rsidRDefault="00BF18CF">
            <w:pPr>
              <w:pBdr>
                <w:top w:val="nil"/>
                <w:left w:val="nil"/>
                <w:bottom w:val="nil"/>
                <w:right w:val="nil"/>
                <w:between w:val="nil"/>
              </w:pBdr>
              <w:spacing w:before="36" w:after="36"/>
              <w:rPr>
                <w:color w:val="000000"/>
              </w:rPr>
            </w:pPr>
          </w:p>
        </w:tc>
      </w:tr>
    </w:tbl>
    <w:p w14:paraId="63C6D8C0" w14:textId="77777777" w:rsidR="00BF18CF" w:rsidRDefault="00E51347">
      <w:pPr>
        <w:pStyle w:val="Heading3"/>
      </w:pPr>
      <w:bookmarkStart w:id="202" w:name="bookmark=id.1qoc8b1" w:colFirst="0" w:colLast="0"/>
      <w:bookmarkStart w:id="203" w:name="_Toc144360844"/>
      <w:bookmarkEnd w:id="202"/>
      <w:r>
        <w:t>E63 Début d’Existence</w:t>
      </w:r>
      <w:bookmarkEnd w:id="203"/>
    </w:p>
    <w:tbl>
      <w:tblPr>
        <w:tblStyle w:val="a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5"/>
        <w:gridCol w:w="8755"/>
      </w:tblGrid>
      <w:tr w:rsidR="00BF18CF" w14:paraId="4BF6CB0D" w14:textId="77777777" w:rsidTr="00BF18CF">
        <w:tc>
          <w:tcPr>
            <w:tcW w:w="1935" w:type="dxa"/>
          </w:tcPr>
          <w:p w14:paraId="5E76284C"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755" w:type="dxa"/>
          </w:tcPr>
          <w:p w14:paraId="75F4D0AF" w14:textId="77777777" w:rsidR="00BF18CF" w:rsidRDefault="00E51347">
            <w:r>
              <w:rPr>
                <w:rFonts w:ascii="Consolas" w:eastAsia="Consolas" w:hAnsi="Consolas" w:cs="Consolas"/>
                <w:sz w:val="22"/>
                <w:szCs w:val="22"/>
                <w:shd w:val="clear" w:color="auto" w:fill="EAEEF3"/>
              </w:rPr>
              <w:t>E5_Évènement</w:t>
            </w:r>
          </w:p>
        </w:tc>
      </w:tr>
      <w:tr w:rsidR="00BF18CF" w14:paraId="6D905984" w14:textId="77777777" w:rsidTr="00BF18CF">
        <w:tc>
          <w:tcPr>
            <w:tcW w:w="1935" w:type="dxa"/>
          </w:tcPr>
          <w:p w14:paraId="55D886C4"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755" w:type="dxa"/>
          </w:tcPr>
          <w:p w14:paraId="6EB6ED42" w14:textId="77777777" w:rsidR="00BF18CF" w:rsidRDefault="00E51347">
            <w:r>
              <w:rPr>
                <w:rFonts w:ascii="Consolas" w:eastAsia="Consolas" w:hAnsi="Consolas" w:cs="Consolas"/>
                <w:sz w:val="22"/>
                <w:szCs w:val="22"/>
                <w:shd w:val="clear" w:color="auto" w:fill="EAEEF3"/>
              </w:rPr>
              <w:t>E12_Production</w:t>
            </w:r>
          </w:p>
          <w:p w14:paraId="7AB8F7EE" w14:textId="77777777" w:rsidR="00BF18CF" w:rsidRDefault="00E51347">
            <w:r>
              <w:rPr>
                <w:rFonts w:ascii="Consolas" w:eastAsia="Consolas" w:hAnsi="Consolas" w:cs="Consolas"/>
                <w:sz w:val="22"/>
                <w:szCs w:val="22"/>
                <w:shd w:val="clear" w:color="auto" w:fill="EAEEF3"/>
              </w:rPr>
              <w:t>E65_Création</w:t>
            </w:r>
          </w:p>
          <w:p w14:paraId="250C6883" w14:textId="77777777" w:rsidR="00BF18CF" w:rsidRDefault="00E51347">
            <w:r>
              <w:rPr>
                <w:rFonts w:ascii="Consolas" w:eastAsia="Consolas" w:hAnsi="Consolas" w:cs="Consolas"/>
                <w:sz w:val="22"/>
                <w:szCs w:val="22"/>
                <w:shd w:val="clear" w:color="auto" w:fill="EAEEF3"/>
              </w:rPr>
              <w:t>E66_Formation</w:t>
            </w:r>
          </w:p>
          <w:p w14:paraId="68123797" w14:textId="77777777" w:rsidR="00BF18CF" w:rsidRDefault="00E51347">
            <w:r>
              <w:rPr>
                <w:rFonts w:ascii="Consolas" w:eastAsia="Consolas" w:hAnsi="Consolas" w:cs="Consolas"/>
                <w:sz w:val="22"/>
                <w:szCs w:val="22"/>
                <w:shd w:val="clear" w:color="auto" w:fill="EAEEF3"/>
              </w:rPr>
              <w:t>E67_Naissance</w:t>
            </w:r>
          </w:p>
          <w:p w14:paraId="1DEB7912" w14:textId="77777777" w:rsidR="00BF18CF" w:rsidRDefault="00E51347">
            <w:r>
              <w:rPr>
                <w:rFonts w:ascii="Consolas" w:eastAsia="Consolas" w:hAnsi="Consolas" w:cs="Consolas"/>
                <w:sz w:val="22"/>
                <w:szCs w:val="22"/>
                <w:shd w:val="clear" w:color="auto" w:fill="EAEEF3"/>
              </w:rPr>
              <w:t>E81_Transformation</w:t>
            </w:r>
          </w:p>
        </w:tc>
      </w:tr>
      <w:tr w:rsidR="00BF18CF" w14:paraId="4249395D" w14:textId="77777777" w:rsidTr="00BF18CF">
        <w:tc>
          <w:tcPr>
            <w:tcW w:w="1935" w:type="dxa"/>
          </w:tcPr>
          <w:p w14:paraId="55C6FCB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55" w:type="dxa"/>
          </w:tcPr>
          <w:p w14:paraId="4DD9B15A" w14:textId="77777777" w:rsidR="00BF18CF" w:rsidRDefault="00E51347">
            <w:r>
              <w:t xml:space="preserve">Cette classe comprend les évènements qui permettent l’avènement de n’importe quelle instance de </w:t>
            </w:r>
            <w:r>
              <w:rPr>
                <w:rFonts w:ascii="Consolas" w:eastAsia="Consolas" w:hAnsi="Consolas" w:cs="Consolas"/>
                <w:sz w:val="22"/>
                <w:szCs w:val="22"/>
                <w:shd w:val="clear" w:color="auto" w:fill="EAEEF3"/>
              </w:rPr>
              <w:t>E77_Entité_persistante</w:t>
            </w:r>
            <w:r>
              <w:t>.</w:t>
            </w:r>
          </w:p>
          <w:p w14:paraId="33759E5E" w14:textId="77777777" w:rsidR="00BF18CF" w:rsidRDefault="00E51347">
            <w:r>
              <w:rPr>
                <w:rFonts w:ascii="Consolas" w:eastAsia="Consolas" w:hAnsi="Consolas" w:cs="Consolas"/>
                <w:sz w:val="22"/>
                <w:szCs w:val="22"/>
                <w:shd w:val="clear" w:color="auto" w:fill="EAEEF3"/>
              </w:rPr>
              <w:t>E63_Début_d’existence</w:t>
            </w:r>
            <w:r>
              <w:t xml:space="preserve"> peut être utilisée à des fins de raisonnement temporel sur des entités (produits intellectuels, entités matérielles, groupes de personnes, êtres vivants) qui commencent à exister; elle permet de déterminer le « terminus post quem » ou le « terminus ante quem ».</w:t>
            </w:r>
          </w:p>
        </w:tc>
      </w:tr>
      <w:tr w:rsidR="00BF18CF" w14:paraId="5A5442F3" w14:textId="77777777" w:rsidTr="00BF18CF">
        <w:tc>
          <w:tcPr>
            <w:tcW w:w="1935" w:type="dxa"/>
          </w:tcPr>
          <w:p w14:paraId="0E2A8DF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55" w:type="dxa"/>
          </w:tcPr>
          <w:p w14:paraId="1195D74A" w14:textId="77777777" w:rsidR="00BF18CF" w:rsidRDefault="00E51347">
            <w:pPr>
              <w:numPr>
                <w:ilvl w:val="0"/>
                <w:numId w:val="19"/>
              </w:numPr>
            </w:pPr>
            <w:r>
              <w:t>La naissance de mon enfant</w:t>
            </w:r>
          </w:p>
          <w:p w14:paraId="3C70E416" w14:textId="77777777" w:rsidR="00BF18CF" w:rsidRDefault="00E51347">
            <w:pPr>
              <w:numPr>
                <w:ilvl w:val="0"/>
                <w:numId w:val="19"/>
              </w:numPr>
            </w:pPr>
            <w:r>
              <w:t>La naissance de Snoopy, mon chien</w:t>
            </w:r>
          </w:p>
          <w:p w14:paraId="51EAEE4B" w14:textId="77777777" w:rsidR="00BF18CF" w:rsidRDefault="00E51347">
            <w:pPr>
              <w:numPr>
                <w:ilvl w:val="0"/>
                <w:numId w:val="19"/>
              </w:numPr>
            </w:pPr>
            <w:r>
              <w:t>Le vêlage de l’iceberg qui a causé le naufrage du Titanic</w:t>
            </w:r>
          </w:p>
          <w:p w14:paraId="3CC485F8" w14:textId="77777777" w:rsidR="00BF18CF" w:rsidRDefault="00E51347">
            <w:pPr>
              <w:numPr>
                <w:ilvl w:val="0"/>
                <w:numId w:val="19"/>
              </w:numPr>
            </w:pPr>
            <w:r>
              <w:t>La construction de la tour Eiffel (Tissandier, 1889)</w:t>
            </w:r>
          </w:p>
        </w:tc>
      </w:tr>
      <w:tr w:rsidR="00BF18CF" w14:paraId="199F6BAF" w14:textId="77777777" w:rsidTr="00BF18CF">
        <w:tc>
          <w:tcPr>
            <w:tcW w:w="1935" w:type="dxa"/>
          </w:tcPr>
          <w:p w14:paraId="6D99458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55" w:type="dxa"/>
          </w:tcPr>
          <w:p w14:paraId="2C0D69C5" w14:textId="77777777" w:rsidR="00BF18CF" w:rsidRDefault="00E51347">
            <w:r>
              <w:t>E63(x) ⊃ E5(x)</w:t>
            </w:r>
          </w:p>
        </w:tc>
      </w:tr>
      <w:tr w:rsidR="00BF18CF" w14:paraId="3714AEB8" w14:textId="77777777" w:rsidTr="00BF18CF">
        <w:tc>
          <w:tcPr>
            <w:tcW w:w="1935" w:type="dxa"/>
          </w:tcPr>
          <w:p w14:paraId="13F2C62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55" w:type="dxa"/>
          </w:tcPr>
          <w:p w14:paraId="63A7CA9C" w14:textId="77777777" w:rsidR="00BF18CF" w:rsidRDefault="00E51347">
            <w:r>
              <w:rPr>
                <w:rFonts w:ascii="Consolas" w:eastAsia="Consolas" w:hAnsi="Consolas" w:cs="Consolas"/>
                <w:sz w:val="22"/>
                <w:szCs w:val="22"/>
                <w:shd w:val="clear" w:color="auto" w:fill="EAEEF3"/>
              </w:rPr>
              <w:t>P92_a_fait_exister (a_commencé_à_exister_par)</w:t>
            </w:r>
            <w:r>
              <w:t xml:space="preserve"> : </w:t>
            </w:r>
            <w:r>
              <w:rPr>
                <w:rFonts w:ascii="Consolas" w:eastAsia="Consolas" w:hAnsi="Consolas" w:cs="Consolas"/>
                <w:sz w:val="22"/>
                <w:szCs w:val="22"/>
                <w:shd w:val="clear" w:color="auto" w:fill="EAEEF3"/>
              </w:rPr>
              <w:t>E77_Entité_persistante</w:t>
            </w:r>
          </w:p>
        </w:tc>
      </w:tr>
      <w:tr w:rsidR="00BF18CF" w14:paraId="47AD3950" w14:textId="77777777" w:rsidTr="00BF18CF">
        <w:tc>
          <w:tcPr>
            <w:tcW w:w="1935" w:type="dxa"/>
          </w:tcPr>
          <w:p w14:paraId="2F7F9FD6" w14:textId="31554CB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55" w:type="dxa"/>
          </w:tcPr>
          <w:p w14:paraId="4E23AA29" w14:textId="77777777" w:rsidR="00BF18CF" w:rsidRDefault="00E51347">
            <w:r>
              <w:t>Entité persistante est plus près de la définition anglaise qui porte sur le fait de persister plutôt que de perdurer ou d’être de longue durée.</w:t>
            </w:r>
          </w:p>
          <w:p w14:paraId="4943C36E" w14:textId="77777777" w:rsidR="00BF18CF" w:rsidRDefault="00E51347">
            <w:r>
              <w:t>« Entité » est utilisé à la place de « chose », car « chose » n’inclut pas (à l’exception de désignations méprisantes ou hautaines) des personnes/groupes/humains.</w:t>
            </w:r>
          </w:p>
        </w:tc>
      </w:tr>
      <w:tr w:rsidR="00BF18CF" w14:paraId="374E9578" w14:textId="77777777" w:rsidTr="00BF18CF">
        <w:tc>
          <w:tcPr>
            <w:tcW w:w="1935" w:type="dxa"/>
          </w:tcPr>
          <w:p w14:paraId="5B7C908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55" w:type="dxa"/>
          </w:tcPr>
          <w:p w14:paraId="54C22692" w14:textId="77777777" w:rsidR="00BF18CF" w:rsidRDefault="00E51347">
            <w:r w:rsidRPr="00EE61A5">
              <w:rPr>
                <w:lang w:val="en-CA"/>
              </w:rPr>
              <w:t xml:space="preserve">Termium. « </w:t>
            </w:r>
            <w:proofErr w:type="gramStart"/>
            <w:r w:rsidRPr="00EE61A5">
              <w:rPr>
                <w:lang w:val="en-CA"/>
              </w:rPr>
              <w:t>temporal</w:t>
            </w:r>
            <w:proofErr w:type="gramEnd"/>
            <w:r w:rsidRPr="00EE61A5">
              <w:rPr>
                <w:lang w:val="en-CA"/>
              </w:rPr>
              <w:t xml:space="preserve"> reasoning ». Dans </w:t>
            </w:r>
            <w:r w:rsidRPr="00EE61A5">
              <w:rPr>
                <w:i/>
                <w:lang w:val="en-CA"/>
              </w:rPr>
              <w:t>Termium Plus</w:t>
            </w:r>
            <w:r w:rsidRPr="00EE61A5">
              <w:rPr>
                <w:lang w:val="en-CA"/>
              </w:rPr>
              <w:t xml:space="preserve">. </w:t>
            </w:r>
            <w:r>
              <w:t>Ottawa, CA-ON: Gouvernment du Canada, 19 septembre 2003.</w:t>
            </w:r>
            <w:hyperlink r:id="rId394" w:anchor="fichesauve-saverecord1">
              <w:r>
                <w:rPr>
                  <w:color w:val="4F81BD"/>
                </w:rPr>
                <w:t xml:space="preserve"> https://www.btb.termiumplus.gc.ca/tpv2alpha/alpha-fra.html?lang=fra&amp;srchtxt=temporal%20reasoning&amp;i=&amp;index=alt&amp;sg_kp_wet=921138&amp;fchrcrdnm=1#fichesauve-saverecord1</w:t>
              </w:r>
            </w:hyperlink>
            <w:r>
              <w:t>.</w:t>
            </w:r>
          </w:p>
        </w:tc>
      </w:tr>
    </w:tbl>
    <w:p w14:paraId="5CC8DBAF" w14:textId="77777777" w:rsidR="00BF18CF" w:rsidRDefault="00E51347">
      <w:pPr>
        <w:pStyle w:val="Heading3"/>
      </w:pPr>
      <w:bookmarkStart w:id="204" w:name="bookmark=id.4anzqyu" w:colFirst="0" w:colLast="0"/>
      <w:bookmarkStart w:id="205" w:name="_Toc144360845"/>
      <w:bookmarkEnd w:id="204"/>
      <w:r>
        <w:t>E64 Fin d’existence</w:t>
      </w:r>
      <w:bookmarkEnd w:id="205"/>
    </w:p>
    <w:tbl>
      <w:tblPr>
        <w:tblStyle w:val="a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5"/>
        <w:gridCol w:w="8755"/>
      </w:tblGrid>
      <w:tr w:rsidR="00BF18CF" w14:paraId="5EB1EB61" w14:textId="77777777" w:rsidTr="00BF18CF">
        <w:tc>
          <w:tcPr>
            <w:tcW w:w="1935" w:type="dxa"/>
          </w:tcPr>
          <w:p w14:paraId="20A0A02B"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755" w:type="dxa"/>
          </w:tcPr>
          <w:p w14:paraId="4D2D520F" w14:textId="77777777" w:rsidR="00BF18CF" w:rsidRDefault="00E51347">
            <w:r>
              <w:rPr>
                <w:rFonts w:ascii="Consolas" w:eastAsia="Consolas" w:hAnsi="Consolas" w:cs="Consolas"/>
                <w:sz w:val="22"/>
                <w:szCs w:val="22"/>
                <w:shd w:val="clear" w:color="auto" w:fill="EAEEF3"/>
              </w:rPr>
              <w:t>E5_Évènement</w:t>
            </w:r>
          </w:p>
        </w:tc>
      </w:tr>
      <w:tr w:rsidR="00BF18CF" w14:paraId="7C65F268" w14:textId="77777777" w:rsidTr="00BF18CF">
        <w:tc>
          <w:tcPr>
            <w:tcW w:w="1935" w:type="dxa"/>
          </w:tcPr>
          <w:p w14:paraId="6A9FD196" w14:textId="77777777" w:rsidR="00BF18CF" w:rsidRDefault="00E51347">
            <w:pPr>
              <w:pBdr>
                <w:top w:val="nil"/>
                <w:left w:val="nil"/>
                <w:bottom w:val="nil"/>
                <w:right w:val="nil"/>
                <w:between w:val="nil"/>
              </w:pBdr>
              <w:spacing w:before="36" w:after="36"/>
              <w:rPr>
                <w:color w:val="000000"/>
              </w:rPr>
            </w:pPr>
            <w:r>
              <w:rPr>
                <w:b/>
                <w:color w:val="000000"/>
              </w:rPr>
              <w:lastRenderedPageBreak/>
              <w:t>Super-classe de</w:t>
            </w:r>
          </w:p>
        </w:tc>
        <w:tc>
          <w:tcPr>
            <w:tcW w:w="8755" w:type="dxa"/>
          </w:tcPr>
          <w:p w14:paraId="1038502C" w14:textId="77777777" w:rsidR="00BF18CF" w:rsidRDefault="00E51347">
            <w:r>
              <w:rPr>
                <w:rFonts w:ascii="Consolas" w:eastAsia="Consolas" w:hAnsi="Consolas" w:cs="Consolas"/>
                <w:sz w:val="22"/>
                <w:szCs w:val="22"/>
                <w:shd w:val="clear" w:color="auto" w:fill="EAEEF3"/>
              </w:rPr>
              <w:t>E6_Destruction</w:t>
            </w:r>
          </w:p>
          <w:p w14:paraId="5B6851F1" w14:textId="77777777" w:rsidR="00BF18CF" w:rsidRDefault="00E51347">
            <w:r>
              <w:rPr>
                <w:rFonts w:ascii="Consolas" w:eastAsia="Consolas" w:hAnsi="Consolas" w:cs="Consolas"/>
                <w:sz w:val="22"/>
                <w:szCs w:val="22"/>
                <w:shd w:val="clear" w:color="auto" w:fill="EAEEF3"/>
              </w:rPr>
              <w:t>E68_Dissolution</w:t>
            </w:r>
          </w:p>
          <w:p w14:paraId="794780D2" w14:textId="77777777" w:rsidR="00E25267" w:rsidRDefault="00E51347">
            <w:r>
              <w:rPr>
                <w:rFonts w:ascii="Consolas" w:eastAsia="Consolas" w:hAnsi="Consolas" w:cs="Consolas"/>
                <w:sz w:val="22"/>
                <w:szCs w:val="22"/>
                <w:shd w:val="clear" w:color="auto" w:fill="EAEEF3"/>
              </w:rPr>
              <w:t>E69_Mort</w:t>
            </w:r>
            <w:r>
              <w:t xml:space="preserve"> </w:t>
            </w:r>
          </w:p>
          <w:p w14:paraId="4C1C7FF7" w14:textId="722B1167" w:rsidR="00BF18CF" w:rsidRDefault="00E51347">
            <w:r>
              <w:rPr>
                <w:rFonts w:ascii="Consolas" w:eastAsia="Consolas" w:hAnsi="Consolas" w:cs="Consolas"/>
                <w:sz w:val="22"/>
                <w:szCs w:val="22"/>
                <w:shd w:val="clear" w:color="auto" w:fill="EAEEF3"/>
              </w:rPr>
              <w:t>E81_Transformation</w:t>
            </w:r>
          </w:p>
        </w:tc>
      </w:tr>
      <w:tr w:rsidR="00BF18CF" w14:paraId="4E9FCCEA" w14:textId="77777777" w:rsidTr="00BF18CF">
        <w:tc>
          <w:tcPr>
            <w:tcW w:w="1935" w:type="dxa"/>
          </w:tcPr>
          <w:p w14:paraId="6E116B2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55" w:type="dxa"/>
          </w:tcPr>
          <w:p w14:paraId="2D489C3F" w14:textId="77777777" w:rsidR="00BF18CF" w:rsidRDefault="00E51347">
            <w:r>
              <w:t xml:space="preserve">Cette classe comprend les évènements qui mettent fin à l’existence de n’importe quelle instance de </w:t>
            </w:r>
            <w:r>
              <w:rPr>
                <w:rFonts w:ascii="Consolas" w:eastAsia="Consolas" w:hAnsi="Consolas" w:cs="Consolas"/>
                <w:sz w:val="22"/>
                <w:szCs w:val="22"/>
                <w:shd w:val="clear" w:color="auto" w:fill="EAEEF3"/>
              </w:rPr>
              <w:t>E77_Entité_persistante</w:t>
            </w:r>
            <w:r>
              <w:t>.</w:t>
            </w:r>
          </w:p>
          <w:p w14:paraId="559EF813" w14:textId="77777777" w:rsidR="00BF18CF" w:rsidRDefault="00E51347">
            <w:r>
              <w:rPr>
                <w:rFonts w:ascii="Consolas" w:eastAsia="Consolas" w:hAnsi="Consolas" w:cs="Consolas"/>
                <w:sz w:val="22"/>
                <w:szCs w:val="22"/>
                <w:shd w:val="clear" w:color="auto" w:fill="EAEEF3"/>
              </w:rPr>
              <w:t>E64_Fin_d’existence</w:t>
            </w:r>
            <w:r>
              <w:t xml:space="preserve"> peut être utilisée à des fins de raisonnement temporel sur des entités (entités matérielles, groupes de personnes, êtres vivants) qui cessent d’exister; cette classe permet de déterminer le « terminus post quem » ou le « terminus ante quem ». Dans les cas où la substance d’une instance de </w:t>
            </w:r>
            <w:r>
              <w:rPr>
                <w:rFonts w:ascii="Consolas" w:eastAsia="Consolas" w:hAnsi="Consolas" w:cs="Consolas"/>
                <w:sz w:val="22"/>
                <w:szCs w:val="22"/>
                <w:shd w:val="clear" w:color="auto" w:fill="EAEEF3"/>
              </w:rPr>
              <w:t>E77_Entité_persistante</w:t>
            </w:r>
            <w:r>
              <w:t xml:space="preserve"> continue d’exister dans une nouvelle forme, le processus serait documenté grâce à des instances de </w:t>
            </w:r>
            <w:r>
              <w:rPr>
                <w:rFonts w:ascii="Consolas" w:eastAsia="Consolas" w:hAnsi="Consolas" w:cs="Consolas"/>
                <w:sz w:val="22"/>
                <w:szCs w:val="22"/>
                <w:shd w:val="clear" w:color="auto" w:fill="EAEEF3"/>
              </w:rPr>
              <w:t>E81_Transformation</w:t>
            </w:r>
            <w:r>
              <w:t>.</w:t>
            </w:r>
          </w:p>
        </w:tc>
      </w:tr>
      <w:tr w:rsidR="00BF18CF" w14:paraId="3EE7DA31" w14:textId="77777777" w:rsidTr="00BF18CF">
        <w:tc>
          <w:tcPr>
            <w:tcW w:w="1935" w:type="dxa"/>
          </w:tcPr>
          <w:p w14:paraId="638508F1"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55" w:type="dxa"/>
          </w:tcPr>
          <w:p w14:paraId="01B500E3" w14:textId="77777777" w:rsidR="00BF18CF" w:rsidRDefault="00E51347">
            <w:pPr>
              <w:numPr>
                <w:ilvl w:val="0"/>
                <w:numId w:val="19"/>
              </w:numPr>
            </w:pPr>
            <w:r>
              <w:t>La mort de Snoopy, mon chien</w:t>
            </w:r>
          </w:p>
          <w:p w14:paraId="17EFB732" w14:textId="77777777" w:rsidR="00BF18CF" w:rsidRDefault="00E51347">
            <w:pPr>
              <w:numPr>
                <w:ilvl w:val="0"/>
                <w:numId w:val="19"/>
              </w:numPr>
            </w:pPr>
            <w:r>
              <w:t>La fonte du bonhomme de neige</w:t>
            </w:r>
          </w:p>
          <w:p w14:paraId="6253AB84" w14:textId="77777777" w:rsidR="00BF18CF" w:rsidRDefault="00E51347">
            <w:pPr>
              <w:numPr>
                <w:ilvl w:val="0"/>
                <w:numId w:val="19"/>
              </w:numPr>
            </w:pPr>
            <w:r>
              <w:t>L’incendie du Temple d’Artémis à Éphèse par Érostrate en 356 AEC (Trell, 1945)</w:t>
            </w:r>
          </w:p>
        </w:tc>
      </w:tr>
      <w:tr w:rsidR="00BF18CF" w14:paraId="68B1CC4D" w14:textId="77777777" w:rsidTr="00BF18CF">
        <w:tc>
          <w:tcPr>
            <w:tcW w:w="1935" w:type="dxa"/>
          </w:tcPr>
          <w:p w14:paraId="5FAA719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55" w:type="dxa"/>
          </w:tcPr>
          <w:p w14:paraId="28D40432" w14:textId="77777777" w:rsidR="00BF18CF" w:rsidRDefault="00E51347">
            <w:r>
              <w:t>E64(x) ⇒ E5(x)</w:t>
            </w:r>
          </w:p>
        </w:tc>
      </w:tr>
      <w:tr w:rsidR="00BF18CF" w14:paraId="070B406F" w14:textId="77777777" w:rsidTr="00BF18CF">
        <w:tc>
          <w:tcPr>
            <w:tcW w:w="1935" w:type="dxa"/>
          </w:tcPr>
          <w:p w14:paraId="07F7938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55" w:type="dxa"/>
          </w:tcPr>
          <w:p w14:paraId="3FE31E39" w14:textId="77777777" w:rsidR="00BF18CF" w:rsidRDefault="00E51347">
            <w:r>
              <w:rPr>
                <w:rFonts w:ascii="Consolas" w:eastAsia="Consolas" w:hAnsi="Consolas" w:cs="Consolas"/>
                <w:sz w:val="22"/>
                <w:szCs w:val="22"/>
                <w:shd w:val="clear" w:color="auto" w:fill="EAEEF3"/>
              </w:rPr>
              <w:t>P93_a_mis_fin_à_l’existence_de (a_cessé_d’exister_du_fait_de)</w:t>
            </w:r>
            <w:r>
              <w:t xml:space="preserve"> : </w:t>
            </w:r>
            <w:r>
              <w:rPr>
                <w:rFonts w:ascii="Consolas" w:eastAsia="Consolas" w:hAnsi="Consolas" w:cs="Consolas"/>
                <w:sz w:val="22"/>
                <w:szCs w:val="22"/>
                <w:shd w:val="clear" w:color="auto" w:fill="EAEEF3"/>
              </w:rPr>
              <w:t>E77_Entité_persistante</w:t>
            </w:r>
          </w:p>
        </w:tc>
      </w:tr>
      <w:tr w:rsidR="00BF18CF" w14:paraId="069A4E46" w14:textId="77777777" w:rsidTr="00BF18CF">
        <w:tc>
          <w:tcPr>
            <w:tcW w:w="1935" w:type="dxa"/>
          </w:tcPr>
          <w:p w14:paraId="55B39FFD" w14:textId="33094F9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55" w:type="dxa"/>
          </w:tcPr>
          <w:p w14:paraId="670D998E" w14:textId="77777777" w:rsidR="00BF18CF" w:rsidRDefault="00E51347">
            <w:r>
              <w:t>« Entité persistante » est plus près de la définition anglaise qui porte sur le fait de persister plutôt que de perdurer ou d’être de longue durée.</w:t>
            </w:r>
          </w:p>
          <w:p w14:paraId="0FC8C4F7" w14:textId="77777777" w:rsidR="00BF18CF" w:rsidRDefault="00E51347">
            <w:r>
              <w:t>« Entité » est utilisé à la place de « chose », car « chose » n’inclut pas (à l’exception de désignations méprisantes ou hautaines) des personnes/groupes/humains.</w:t>
            </w:r>
          </w:p>
          <w:p w14:paraId="2438EC2F" w14:textId="77777777" w:rsidR="00BF18CF" w:rsidRDefault="00E51347">
            <w:r>
              <w:t>« Physical Thing » est traduit par « chose matérielle » qui comprend « Physical Object » / « Objet matériel »; à des fins de cohérences il convient d’utiliser « Physical Item » / « entité matérielle ».</w:t>
            </w:r>
          </w:p>
          <w:p w14:paraId="36C9803F" w14:textId="77777777" w:rsidR="00BF18CF" w:rsidRDefault="00E51347">
            <w:r>
              <w:t xml:space="preserve">Une erreur s’est glissée dans la version anglophone, il ne s’agit pas de </w:t>
            </w:r>
            <w:r>
              <w:rPr>
                <w:rFonts w:ascii="Consolas" w:eastAsia="Consolas" w:hAnsi="Consolas" w:cs="Consolas"/>
                <w:sz w:val="22"/>
                <w:szCs w:val="22"/>
                <w:shd w:val="clear" w:color="auto" w:fill="EAEEF3"/>
              </w:rPr>
              <w:t>E64_Persistent_Item</w:t>
            </w:r>
            <w:r>
              <w:t xml:space="preserve">, mais bien de </w:t>
            </w:r>
            <w:r>
              <w:rPr>
                <w:rFonts w:ascii="Consolas" w:eastAsia="Consolas" w:hAnsi="Consolas" w:cs="Consolas"/>
                <w:sz w:val="22"/>
                <w:szCs w:val="22"/>
                <w:shd w:val="clear" w:color="auto" w:fill="EAEEF3"/>
              </w:rPr>
              <w:t>E77_Persistent_Item</w:t>
            </w:r>
            <w:r>
              <w:t>.</w:t>
            </w:r>
          </w:p>
          <w:p w14:paraId="6B49BB10" w14:textId="77777777" w:rsidR="00BF18CF" w:rsidRDefault="00E51347">
            <w:r>
              <w:t>Avant J.-C. ou Avant notre ère : Il est préférable d’utiliser avant notre ère; puisqu’il ne s’agit pas d’une citation, mais d’une paraphrase, « BC » a ici été remplacé par « AEC » (avant l’ère commune).</w:t>
            </w:r>
          </w:p>
        </w:tc>
      </w:tr>
      <w:tr w:rsidR="00BF18CF" w:rsidRPr="00103833" w14:paraId="3010EB80" w14:textId="77777777" w:rsidTr="00BF18CF">
        <w:tc>
          <w:tcPr>
            <w:tcW w:w="1935" w:type="dxa"/>
          </w:tcPr>
          <w:p w14:paraId="68B997D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55" w:type="dxa"/>
          </w:tcPr>
          <w:p w14:paraId="3302E6BA" w14:textId="77777777" w:rsidR="00BF18CF" w:rsidRDefault="00E51347">
            <w:r>
              <w:t xml:space="preserve">Termium. « </w:t>
            </w:r>
            <w:proofErr w:type="gramStart"/>
            <w:r>
              <w:t>avant</w:t>
            </w:r>
            <w:proofErr w:type="gramEnd"/>
            <w:r>
              <w:t xml:space="preserve"> Jésus-Christ ». Dans </w:t>
            </w:r>
            <w:r>
              <w:rPr>
                <w:i/>
              </w:rPr>
              <w:t>Termium Plus</w:t>
            </w:r>
            <w:r>
              <w:t>. Ottawa, CA-ON: Gouvernement du Canada, 29 janvier 1997.</w:t>
            </w:r>
            <w:hyperlink r:id="rId395" w:anchor="resultrecs">
              <w:r>
                <w:rPr>
                  <w:color w:val="4F81BD"/>
                </w:rPr>
                <w:t xml:space="preserve"> https://www.btb.termiumplus.gc.ca/tpv2alpha/alpha-fra.html?lang=fra&amp;i=1&amp;srchtxt=avant+J%C3%A9sus-christ&amp;codom2nd_wet=1#resultrecs</w:t>
              </w:r>
            </w:hyperlink>
            <w:r>
              <w:t>.</w:t>
            </w:r>
          </w:p>
          <w:p w14:paraId="115A3C53" w14:textId="77777777" w:rsidR="00BF18CF" w:rsidRDefault="00E51347">
            <w:r w:rsidRPr="00EE61A5">
              <w:rPr>
                <w:lang w:val="en-CA"/>
              </w:rPr>
              <w:t xml:space="preserve">———. « </w:t>
            </w:r>
            <w:proofErr w:type="gramStart"/>
            <w:r w:rsidRPr="00EE61A5">
              <w:rPr>
                <w:lang w:val="en-CA"/>
              </w:rPr>
              <w:t>temporal</w:t>
            </w:r>
            <w:proofErr w:type="gramEnd"/>
            <w:r w:rsidRPr="00EE61A5">
              <w:rPr>
                <w:lang w:val="en-CA"/>
              </w:rPr>
              <w:t xml:space="preserve"> reasoning ». Dans </w:t>
            </w:r>
            <w:r w:rsidRPr="00EE61A5">
              <w:rPr>
                <w:i/>
                <w:lang w:val="en-CA"/>
              </w:rPr>
              <w:t>Termium Plus.</w:t>
            </w:r>
            <w:r w:rsidRPr="00EE61A5">
              <w:rPr>
                <w:lang w:val="en-CA"/>
              </w:rPr>
              <w:t xml:space="preserve"> </w:t>
            </w:r>
            <w:r>
              <w:t>Ottawa, CA-ON: Gouvernment du Canada, 19 septembre 2003.</w:t>
            </w:r>
            <w:hyperlink r:id="rId396" w:anchor="fichesauve-saverecord1">
              <w:r>
                <w:rPr>
                  <w:color w:val="4F81BD"/>
                </w:rPr>
                <w:t xml:space="preserve"> </w:t>
              </w:r>
              <w:r>
                <w:rPr>
                  <w:color w:val="4F81BD"/>
                </w:rPr>
                <w:lastRenderedPageBreak/>
                <w:t>https://www.btb.termiumplus.gc.ca/tpv2alpha/alpha-fra.html?lang=fra&amp;srchtxt=temporal%20reasoning&amp;i=&amp;index=alt&amp;sg_kp_wet=921138&amp;fchrcrdnm=1#fichesauve-saverecord1</w:t>
              </w:r>
            </w:hyperlink>
            <w:r>
              <w:t>.</w:t>
            </w:r>
          </w:p>
          <w:p w14:paraId="4DC8EBF5" w14:textId="77777777" w:rsidR="00BF18CF" w:rsidRPr="00EE61A5" w:rsidRDefault="00E51347">
            <w:pPr>
              <w:rPr>
                <w:lang w:val="en-CA"/>
              </w:rPr>
            </w:pPr>
            <w:r w:rsidRPr="00EE61A5">
              <w:rPr>
                <w:lang w:val="en-CA"/>
              </w:rPr>
              <w:t xml:space="preserve">Wikipédia. « Érostrate ». Dans </w:t>
            </w:r>
            <w:r w:rsidRPr="00EE61A5">
              <w:rPr>
                <w:i/>
                <w:lang w:val="en-CA"/>
              </w:rPr>
              <w:t>Wikipédia.</w:t>
            </w:r>
            <w:r w:rsidRPr="00EE61A5">
              <w:rPr>
                <w:lang w:val="en-CA"/>
              </w:rPr>
              <w:t xml:space="preserve"> San Francisco, US-CA: Wikipédia, 4 août 2020.</w:t>
            </w:r>
            <w:hyperlink r:id="rId397">
              <w:r w:rsidRPr="00EE61A5">
                <w:rPr>
                  <w:color w:val="4F81BD"/>
                  <w:lang w:val="en-CA"/>
                </w:rPr>
                <w:t xml:space="preserve"> https://fr.wikipedia.org/w/index.php?title=%C3%89rostrate&amp;oldid=173548642</w:t>
              </w:r>
            </w:hyperlink>
            <w:r w:rsidRPr="00EE61A5">
              <w:rPr>
                <w:lang w:val="en-CA"/>
              </w:rPr>
              <w:t>.</w:t>
            </w:r>
          </w:p>
        </w:tc>
      </w:tr>
    </w:tbl>
    <w:p w14:paraId="14274AA5" w14:textId="77777777" w:rsidR="00BF18CF" w:rsidRDefault="00E51347">
      <w:pPr>
        <w:pStyle w:val="Heading3"/>
      </w:pPr>
      <w:bookmarkStart w:id="206" w:name="bookmark=id.2pta16n" w:colFirst="0" w:colLast="0"/>
      <w:bookmarkStart w:id="207" w:name="_Toc144360846"/>
      <w:bookmarkEnd w:id="206"/>
      <w:r>
        <w:lastRenderedPageBreak/>
        <w:t>E65 Création</w:t>
      </w:r>
      <w:bookmarkEnd w:id="207"/>
    </w:p>
    <w:tbl>
      <w:tblPr>
        <w:tblStyle w:val="a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0"/>
        <w:gridCol w:w="8870"/>
      </w:tblGrid>
      <w:tr w:rsidR="00BF18CF" w14:paraId="55373AA4" w14:textId="77777777" w:rsidTr="00BF18CF">
        <w:tc>
          <w:tcPr>
            <w:tcW w:w="1820" w:type="dxa"/>
          </w:tcPr>
          <w:p w14:paraId="426757CF"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870" w:type="dxa"/>
          </w:tcPr>
          <w:p w14:paraId="1345735B" w14:textId="77777777" w:rsidR="00E25267"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E7_Activité</w:t>
            </w:r>
          </w:p>
          <w:p w14:paraId="11A07F10" w14:textId="4725E16A" w:rsidR="00BF18CF" w:rsidRDefault="00E51347">
            <w:r>
              <w:rPr>
                <w:rFonts w:ascii="Consolas" w:eastAsia="Consolas" w:hAnsi="Consolas" w:cs="Consolas"/>
                <w:sz w:val="22"/>
                <w:szCs w:val="22"/>
                <w:shd w:val="clear" w:color="auto" w:fill="EAEEF3"/>
              </w:rPr>
              <w:t>E63_Début_d’existence</w:t>
            </w:r>
          </w:p>
        </w:tc>
      </w:tr>
      <w:tr w:rsidR="00BF18CF" w14:paraId="07CA5497" w14:textId="77777777" w:rsidTr="00BF18CF">
        <w:tc>
          <w:tcPr>
            <w:tcW w:w="1820" w:type="dxa"/>
          </w:tcPr>
          <w:p w14:paraId="42D17766"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870" w:type="dxa"/>
          </w:tcPr>
          <w:p w14:paraId="78DE6B61" w14:textId="77777777" w:rsidR="00BF18CF" w:rsidRDefault="00E51347">
            <w:r>
              <w:rPr>
                <w:rFonts w:ascii="Consolas" w:eastAsia="Consolas" w:hAnsi="Consolas" w:cs="Consolas"/>
                <w:sz w:val="22"/>
                <w:szCs w:val="22"/>
                <w:shd w:val="clear" w:color="auto" w:fill="EAEEF3"/>
              </w:rPr>
              <w:t>E83_Création_de_type</w:t>
            </w:r>
          </w:p>
        </w:tc>
      </w:tr>
      <w:tr w:rsidR="00BF18CF" w14:paraId="726A5C01" w14:textId="77777777" w:rsidTr="00BF18CF">
        <w:tc>
          <w:tcPr>
            <w:tcW w:w="1820" w:type="dxa"/>
          </w:tcPr>
          <w:p w14:paraId="781BCB2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70" w:type="dxa"/>
          </w:tcPr>
          <w:p w14:paraId="5D4D1D50" w14:textId="77777777" w:rsidR="00BF18CF" w:rsidRDefault="00E51347">
            <w:r>
              <w:t>Cette classe comprend les évènements qui mènent à la création d’objets conceptuels ou de produits immatériels, tels que les légendes, les poèmes, les textes, la musique, les images, les films, les lois, les types, etc.</w:t>
            </w:r>
          </w:p>
        </w:tc>
      </w:tr>
      <w:tr w:rsidR="00BF18CF" w14:paraId="72067FC0" w14:textId="77777777" w:rsidTr="00BF18CF">
        <w:tc>
          <w:tcPr>
            <w:tcW w:w="1820" w:type="dxa"/>
          </w:tcPr>
          <w:p w14:paraId="7558795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70" w:type="dxa"/>
          </w:tcPr>
          <w:p w14:paraId="5E32E214" w14:textId="77777777" w:rsidR="00BF18CF" w:rsidRDefault="00E51347">
            <w:pPr>
              <w:numPr>
                <w:ilvl w:val="0"/>
                <w:numId w:val="19"/>
              </w:numPr>
            </w:pPr>
            <w:r>
              <w:t>La formulation de la Constitution des États-Unis (Farrand, 1913)</w:t>
            </w:r>
          </w:p>
          <w:p w14:paraId="61180862" w14:textId="77777777" w:rsidR="00BF18CF" w:rsidRDefault="00E51347">
            <w:pPr>
              <w:numPr>
                <w:ilvl w:val="0"/>
                <w:numId w:val="19"/>
              </w:numPr>
            </w:pPr>
            <w:r>
              <w:t>La préparation de la résolution 1441 des Nations Unies (Conseil de sécurité des Nations Unies, 2002)</w:t>
            </w:r>
          </w:p>
        </w:tc>
      </w:tr>
      <w:tr w:rsidR="00BF18CF" w14:paraId="2E255C31" w14:textId="77777777" w:rsidTr="00BF18CF">
        <w:tc>
          <w:tcPr>
            <w:tcW w:w="1820" w:type="dxa"/>
          </w:tcPr>
          <w:p w14:paraId="7E5FD505"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70" w:type="dxa"/>
          </w:tcPr>
          <w:p w14:paraId="3D7C0CCA" w14:textId="77777777" w:rsidR="00BF18CF" w:rsidRDefault="00E51347">
            <w:r>
              <w:t>E65(x) ⇒ E7(x)</w:t>
            </w:r>
          </w:p>
          <w:p w14:paraId="5B03717B" w14:textId="77777777" w:rsidR="00BF18CF" w:rsidRDefault="00E51347">
            <w:r>
              <w:t>E65(x) ⇒ E63(x)</w:t>
            </w:r>
          </w:p>
        </w:tc>
      </w:tr>
      <w:tr w:rsidR="00BF18CF" w14:paraId="52B27943" w14:textId="77777777" w:rsidTr="00BF18CF">
        <w:tc>
          <w:tcPr>
            <w:tcW w:w="1820" w:type="dxa"/>
          </w:tcPr>
          <w:p w14:paraId="6A4E9BD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70" w:type="dxa"/>
          </w:tcPr>
          <w:p w14:paraId="64BD715A" w14:textId="77777777" w:rsidR="00BF18CF" w:rsidRDefault="00E51347">
            <w:r>
              <w:rPr>
                <w:rFonts w:ascii="Consolas" w:eastAsia="Consolas" w:hAnsi="Consolas" w:cs="Consolas"/>
                <w:sz w:val="22"/>
                <w:szCs w:val="22"/>
                <w:shd w:val="clear" w:color="auto" w:fill="EAEEF3"/>
              </w:rPr>
              <w:t>P94_a_créé (a_été_créé_par)</w:t>
            </w:r>
            <w:r>
              <w:t xml:space="preserve"> : </w:t>
            </w:r>
            <w:r>
              <w:rPr>
                <w:rFonts w:ascii="Consolas" w:eastAsia="Consolas" w:hAnsi="Consolas" w:cs="Consolas"/>
                <w:sz w:val="22"/>
                <w:szCs w:val="22"/>
                <w:shd w:val="clear" w:color="auto" w:fill="EAEEF3"/>
              </w:rPr>
              <w:t>E28_Objet_conceptuel</w:t>
            </w:r>
          </w:p>
        </w:tc>
      </w:tr>
      <w:tr w:rsidR="00BF18CF" w14:paraId="03CA1015" w14:textId="77777777" w:rsidTr="00BF18CF">
        <w:tc>
          <w:tcPr>
            <w:tcW w:w="1820" w:type="dxa"/>
          </w:tcPr>
          <w:p w14:paraId="23E2EAF0" w14:textId="7FDF2FD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70" w:type="dxa"/>
          </w:tcPr>
          <w:p w14:paraId="535BCCBB" w14:textId="77777777" w:rsidR="00BF18CF" w:rsidRDefault="00BF18CF">
            <w:pPr>
              <w:pBdr>
                <w:top w:val="nil"/>
                <w:left w:val="nil"/>
                <w:bottom w:val="nil"/>
                <w:right w:val="nil"/>
                <w:between w:val="nil"/>
              </w:pBdr>
              <w:spacing w:before="36" w:after="36"/>
              <w:rPr>
                <w:color w:val="000000"/>
              </w:rPr>
            </w:pPr>
          </w:p>
        </w:tc>
      </w:tr>
      <w:tr w:rsidR="00BF18CF" w14:paraId="7FCCBD6A" w14:textId="77777777" w:rsidTr="00BF18CF">
        <w:tc>
          <w:tcPr>
            <w:tcW w:w="1820" w:type="dxa"/>
          </w:tcPr>
          <w:p w14:paraId="79D7A98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70" w:type="dxa"/>
          </w:tcPr>
          <w:p w14:paraId="619081B4" w14:textId="77777777" w:rsidR="00BF18CF" w:rsidRDefault="00BF18CF">
            <w:pPr>
              <w:pBdr>
                <w:top w:val="nil"/>
                <w:left w:val="nil"/>
                <w:bottom w:val="nil"/>
                <w:right w:val="nil"/>
                <w:between w:val="nil"/>
              </w:pBdr>
              <w:spacing w:before="36" w:after="36"/>
              <w:rPr>
                <w:color w:val="000000"/>
              </w:rPr>
            </w:pPr>
          </w:p>
        </w:tc>
      </w:tr>
    </w:tbl>
    <w:p w14:paraId="6C8B8257" w14:textId="77777777" w:rsidR="00BF18CF" w:rsidRDefault="00E51347">
      <w:pPr>
        <w:pStyle w:val="Heading3"/>
      </w:pPr>
      <w:bookmarkStart w:id="208" w:name="bookmark=id.14ykbeg" w:colFirst="0" w:colLast="0"/>
      <w:bookmarkStart w:id="209" w:name="_Toc144360847"/>
      <w:bookmarkEnd w:id="208"/>
      <w:r>
        <w:t>E66 Formation</w:t>
      </w:r>
      <w:bookmarkEnd w:id="209"/>
    </w:p>
    <w:tbl>
      <w:tblPr>
        <w:tblStyle w:val="a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66"/>
        <w:gridCol w:w="8924"/>
      </w:tblGrid>
      <w:tr w:rsidR="00BF18CF" w14:paraId="695BB075" w14:textId="77777777" w:rsidTr="00BF18CF">
        <w:tc>
          <w:tcPr>
            <w:tcW w:w="1766" w:type="dxa"/>
          </w:tcPr>
          <w:p w14:paraId="3F14471B"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24" w:type="dxa"/>
          </w:tcPr>
          <w:p w14:paraId="125D7181" w14:textId="77777777" w:rsidR="00E25267"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E7_Activité</w:t>
            </w:r>
          </w:p>
          <w:p w14:paraId="07F8A842" w14:textId="6A672759" w:rsidR="00BF18CF" w:rsidRDefault="00E51347">
            <w:r>
              <w:rPr>
                <w:rFonts w:ascii="Consolas" w:eastAsia="Consolas" w:hAnsi="Consolas" w:cs="Consolas"/>
                <w:sz w:val="22"/>
                <w:szCs w:val="22"/>
                <w:shd w:val="clear" w:color="auto" w:fill="EAEEF3"/>
              </w:rPr>
              <w:t>E63_Début_d’existence</w:t>
            </w:r>
          </w:p>
        </w:tc>
      </w:tr>
      <w:tr w:rsidR="00BF18CF" w14:paraId="42D116E5" w14:textId="77777777" w:rsidTr="00BF18CF">
        <w:tc>
          <w:tcPr>
            <w:tcW w:w="1766" w:type="dxa"/>
          </w:tcPr>
          <w:p w14:paraId="7D8D7974"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24" w:type="dxa"/>
          </w:tcPr>
          <w:p w14:paraId="37794822" w14:textId="77777777" w:rsidR="00BF18CF" w:rsidRDefault="00BF18CF">
            <w:pPr>
              <w:pBdr>
                <w:top w:val="nil"/>
                <w:left w:val="nil"/>
                <w:bottom w:val="nil"/>
                <w:right w:val="nil"/>
                <w:between w:val="nil"/>
              </w:pBdr>
              <w:spacing w:before="36" w:after="36"/>
              <w:rPr>
                <w:color w:val="000000"/>
              </w:rPr>
            </w:pPr>
          </w:p>
        </w:tc>
      </w:tr>
      <w:tr w:rsidR="00BF18CF" w14:paraId="14E7B07D" w14:textId="77777777" w:rsidTr="00BF18CF">
        <w:tc>
          <w:tcPr>
            <w:tcW w:w="1766" w:type="dxa"/>
          </w:tcPr>
          <w:p w14:paraId="6A68212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24" w:type="dxa"/>
          </w:tcPr>
          <w:p w14:paraId="37CD1728" w14:textId="77777777" w:rsidR="00BF18CF" w:rsidRDefault="00E51347">
            <w:r>
              <w:t xml:space="preserve">Cette classe comprend les évènements qui entraînent la formation d’un </w:t>
            </w:r>
            <w:r>
              <w:rPr>
                <w:rFonts w:ascii="Consolas" w:eastAsia="Consolas" w:hAnsi="Consolas" w:cs="Consolas"/>
                <w:sz w:val="22"/>
                <w:szCs w:val="22"/>
                <w:shd w:val="clear" w:color="auto" w:fill="EAEEF3"/>
              </w:rPr>
              <w:t>E74_Groupe</w:t>
            </w:r>
            <w:r>
              <w:t xml:space="preserve"> de personnes, formel ou informel, tel qu’un club, une société, une association, une corporation ou une nation.</w:t>
            </w:r>
          </w:p>
          <w:p w14:paraId="51FE3DA2" w14:textId="77777777" w:rsidR="00BF18CF" w:rsidRDefault="00E51347">
            <w:r>
              <w:t xml:space="preserve">La classe </w:t>
            </w:r>
            <w:r>
              <w:rPr>
                <w:rFonts w:ascii="Consolas" w:eastAsia="Consolas" w:hAnsi="Consolas" w:cs="Consolas"/>
                <w:sz w:val="22"/>
                <w:szCs w:val="22"/>
                <w:shd w:val="clear" w:color="auto" w:fill="EAEEF3"/>
              </w:rPr>
              <w:t>E66_Formation</w:t>
            </w:r>
            <w:r>
              <w:t xml:space="preserve"> n’inclut pas le regroupement arbitraire de personnes qui n’agissent pas en tant que collectif.</w:t>
            </w:r>
          </w:p>
          <w:p w14:paraId="218F6378" w14:textId="77777777" w:rsidR="00BF18CF" w:rsidRDefault="00E51347">
            <w:r>
              <w:t xml:space="preserve">La formation d’une instance de </w:t>
            </w:r>
            <w:r>
              <w:rPr>
                <w:rFonts w:ascii="Consolas" w:eastAsia="Consolas" w:hAnsi="Consolas" w:cs="Consolas"/>
                <w:sz w:val="22"/>
                <w:szCs w:val="22"/>
                <w:shd w:val="clear" w:color="auto" w:fill="EAEEF3"/>
              </w:rPr>
              <w:t>E74_Groupe</w:t>
            </w:r>
            <w:r>
              <w:t xml:space="preserve"> ne nécessite pas que le groupe soit composé de membres dès le moment de sa formation. Pour exprimer l’adhésion de </w:t>
            </w:r>
            <w:r>
              <w:lastRenderedPageBreak/>
              <w:t xml:space="preserve">membres au moment de la formation, il convient de décrire l’activité correspondante comme une instance simultanée de </w:t>
            </w:r>
            <w:r>
              <w:rPr>
                <w:rFonts w:ascii="Consolas" w:eastAsia="Consolas" w:hAnsi="Consolas" w:cs="Consolas"/>
                <w:sz w:val="22"/>
                <w:szCs w:val="22"/>
                <w:shd w:val="clear" w:color="auto" w:fill="EAEEF3"/>
              </w:rPr>
              <w:t>E66_Formation</w:t>
            </w:r>
            <w:r>
              <w:t xml:space="preserve"> et de </w:t>
            </w:r>
            <w:r>
              <w:rPr>
                <w:rFonts w:ascii="Consolas" w:eastAsia="Consolas" w:hAnsi="Consolas" w:cs="Consolas"/>
                <w:sz w:val="22"/>
                <w:szCs w:val="22"/>
                <w:shd w:val="clear" w:color="auto" w:fill="EAEEF3"/>
              </w:rPr>
              <w:t>E85_Adhésion</w:t>
            </w:r>
            <w:r>
              <w:t>.</w:t>
            </w:r>
          </w:p>
        </w:tc>
      </w:tr>
      <w:tr w:rsidR="00BF18CF" w14:paraId="17883FAB" w14:textId="77777777" w:rsidTr="00BF18CF">
        <w:tc>
          <w:tcPr>
            <w:tcW w:w="1766" w:type="dxa"/>
          </w:tcPr>
          <w:p w14:paraId="176A603D"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24" w:type="dxa"/>
          </w:tcPr>
          <w:p w14:paraId="66FAB9CF" w14:textId="77777777" w:rsidR="00BF18CF" w:rsidRDefault="00E51347">
            <w:pPr>
              <w:numPr>
                <w:ilvl w:val="0"/>
                <w:numId w:val="19"/>
              </w:numPr>
            </w:pPr>
            <w:r>
              <w:t>La formation du Groupe d’intérêt spécial du CIDOC CRM en 2000</w:t>
            </w:r>
          </w:p>
          <w:p w14:paraId="3BB71623" w14:textId="77777777" w:rsidR="00BF18CF" w:rsidRDefault="00E51347">
            <w:pPr>
              <w:numPr>
                <w:ilvl w:val="0"/>
                <w:numId w:val="19"/>
              </w:numPr>
            </w:pPr>
            <w:r>
              <w:t>La formation de l’Union Soviétique (Pipes, 1964)</w:t>
            </w:r>
          </w:p>
          <w:p w14:paraId="79D911AE" w14:textId="77777777" w:rsidR="00BF18CF" w:rsidRDefault="00E51347">
            <w:pPr>
              <w:numPr>
                <w:ilvl w:val="0"/>
                <w:numId w:val="19"/>
              </w:numPr>
            </w:pPr>
            <w:r>
              <w:t>La conspiration des assassins de Jules César (Irwin, 1935)</w:t>
            </w:r>
          </w:p>
        </w:tc>
      </w:tr>
      <w:tr w:rsidR="00BF18CF" w14:paraId="1BBF71C1" w14:textId="77777777" w:rsidTr="00BF18CF">
        <w:tc>
          <w:tcPr>
            <w:tcW w:w="1766" w:type="dxa"/>
          </w:tcPr>
          <w:p w14:paraId="60FF358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24" w:type="dxa"/>
          </w:tcPr>
          <w:p w14:paraId="39B61F11" w14:textId="77777777" w:rsidR="00BF18CF" w:rsidRDefault="00E51347">
            <w:r>
              <w:t>E66(x) ⇒ E7(x)</w:t>
            </w:r>
          </w:p>
          <w:p w14:paraId="1AD29589" w14:textId="77777777" w:rsidR="00BF18CF" w:rsidRDefault="00E51347">
            <w:r>
              <w:t>E66(x) ⇒ E63(x)</w:t>
            </w:r>
          </w:p>
        </w:tc>
      </w:tr>
      <w:tr w:rsidR="00BF18CF" w14:paraId="435D6A09" w14:textId="77777777" w:rsidTr="00BF18CF">
        <w:tc>
          <w:tcPr>
            <w:tcW w:w="1766" w:type="dxa"/>
          </w:tcPr>
          <w:p w14:paraId="1A7BA97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24" w:type="dxa"/>
          </w:tcPr>
          <w:p w14:paraId="152033F6" w14:textId="77777777" w:rsidR="00BF18CF" w:rsidRDefault="00E51347">
            <w:r>
              <w:rPr>
                <w:rFonts w:ascii="Consolas" w:eastAsia="Consolas" w:hAnsi="Consolas" w:cs="Consolas"/>
                <w:sz w:val="22"/>
                <w:szCs w:val="22"/>
                <w:shd w:val="clear" w:color="auto" w:fill="EAEEF3"/>
              </w:rPr>
              <w:t>P95_a_fondé (a_été_fondé_par)</w:t>
            </w:r>
            <w:r>
              <w:t xml:space="preserve"> : </w:t>
            </w:r>
            <w:r>
              <w:rPr>
                <w:rFonts w:ascii="Consolas" w:eastAsia="Consolas" w:hAnsi="Consolas" w:cs="Consolas"/>
                <w:sz w:val="22"/>
                <w:szCs w:val="22"/>
                <w:shd w:val="clear" w:color="auto" w:fill="EAEEF3"/>
              </w:rPr>
              <w:t>E74_Groupe</w:t>
            </w:r>
          </w:p>
          <w:p w14:paraId="0F762B07" w14:textId="77777777" w:rsidR="00BF18CF" w:rsidRDefault="00E51347">
            <w:r>
              <w:rPr>
                <w:rFonts w:ascii="Consolas" w:eastAsia="Consolas" w:hAnsi="Consolas" w:cs="Consolas"/>
                <w:sz w:val="22"/>
                <w:szCs w:val="22"/>
                <w:shd w:val="clear" w:color="auto" w:fill="EAEEF3"/>
              </w:rPr>
              <w:t>P151_a_été_formé_à_partir_de (a_participé_à)</w:t>
            </w:r>
            <w:r>
              <w:t xml:space="preserve"> : </w:t>
            </w:r>
            <w:r>
              <w:rPr>
                <w:rFonts w:ascii="Consolas" w:eastAsia="Consolas" w:hAnsi="Consolas" w:cs="Consolas"/>
                <w:sz w:val="22"/>
                <w:szCs w:val="22"/>
                <w:shd w:val="clear" w:color="auto" w:fill="EAEEF3"/>
              </w:rPr>
              <w:t>E74_Groupe</w:t>
            </w:r>
          </w:p>
        </w:tc>
      </w:tr>
      <w:tr w:rsidR="00BF18CF" w14:paraId="0B2D0C82" w14:textId="77777777" w:rsidTr="00BF18CF">
        <w:tc>
          <w:tcPr>
            <w:tcW w:w="1766" w:type="dxa"/>
          </w:tcPr>
          <w:p w14:paraId="71B9A17A" w14:textId="05AF93FC"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24" w:type="dxa"/>
          </w:tcPr>
          <w:p w14:paraId="7974A6B9" w14:textId="77777777" w:rsidR="00BF18CF" w:rsidRDefault="00BF18CF">
            <w:pPr>
              <w:pBdr>
                <w:top w:val="nil"/>
                <w:left w:val="nil"/>
                <w:bottom w:val="nil"/>
                <w:right w:val="nil"/>
                <w:between w:val="nil"/>
              </w:pBdr>
              <w:spacing w:before="36" w:after="36"/>
              <w:rPr>
                <w:color w:val="000000"/>
              </w:rPr>
            </w:pPr>
          </w:p>
        </w:tc>
      </w:tr>
      <w:tr w:rsidR="00BF18CF" w14:paraId="11EF2055" w14:textId="77777777" w:rsidTr="00BF18CF">
        <w:tc>
          <w:tcPr>
            <w:tcW w:w="1766" w:type="dxa"/>
          </w:tcPr>
          <w:p w14:paraId="5A45901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24" w:type="dxa"/>
          </w:tcPr>
          <w:p w14:paraId="39B5E3C0" w14:textId="77777777" w:rsidR="00BF18CF" w:rsidRDefault="00BF18CF">
            <w:pPr>
              <w:pBdr>
                <w:top w:val="nil"/>
                <w:left w:val="nil"/>
                <w:bottom w:val="nil"/>
                <w:right w:val="nil"/>
                <w:between w:val="nil"/>
              </w:pBdr>
              <w:spacing w:before="36" w:after="36"/>
              <w:rPr>
                <w:color w:val="000000"/>
              </w:rPr>
            </w:pPr>
          </w:p>
        </w:tc>
      </w:tr>
    </w:tbl>
    <w:p w14:paraId="1DB81FB8" w14:textId="77777777" w:rsidR="00BF18CF" w:rsidRDefault="00E51347">
      <w:pPr>
        <w:pStyle w:val="Heading3"/>
      </w:pPr>
      <w:bookmarkStart w:id="210" w:name="bookmark=id.3oy7u29" w:colFirst="0" w:colLast="0"/>
      <w:bookmarkStart w:id="211" w:name="_Toc144360848"/>
      <w:bookmarkEnd w:id="210"/>
      <w:r>
        <w:t>E67 Naissance</w:t>
      </w:r>
      <w:bookmarkEnd w:id="211"/>
    </w:p>
    <w:tbl>
      <w:tblPr>
        <w:tblStyle w:val="a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74"/>
        <w:gridCol w:w="8916"/>
      </w:tblGrid>
      <w:tr w:rsidR="00BF18CF" w14:paraId="1AA9DEF2" w14:textId="77777777" w:rsidTr="00BF18CF">
        <w:tc>
          <w:tcPr>
            <w:tcW w:w="1774" w:type="dxa"/>
          </w:tcPr>
          <w:p w14:paraId="3BA58A38"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16" w:type="dxa"/>
          </w:tcPr>
          <w:p w14:paraId="58B45EE8" w14:textId="77777777" w:rsidR="00BF18CF" w:rsidRDefault="00E51347">
            <w:r>
              <w:rPr>
                <w:rFonts w:ascii="Consolas" w:eastAsia="Consolas" w:hAnsi="Consolas" w:cs="Consolas"/>
                <w:sz w:val="22"/>
                <w:szCs w:val="22"/>
                <w:shd w:val="clear" w:color="auto" w:fill="EAEEF3"/>
              </w:rPr>
              <w:t>E63_Début_d’existence</w:t>
            </w:r>
          </w:p>
        </w:tc>
      </w:tr>
      <w:tr w:rsidR="00BF18CF" w14:paraId="32FB70CD" w14:textId="77777777" w:rsidTr="00BF18CF">
        <w:tc>
          <w:tcPr>
            <w:tcW w:w="1774" w:type="dxa"/>
          </w:tcPr>
          <w:p w14:paraId="01DABCA4"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16" w:type="dxa"/>
          </w:tcPr>
          <w:p w14:paraId="3F838112" w14:textId="77777777" w:rsidR="00BF18CF" w:rsidRDefault="00BF18CF">
            <w:pPr>
              <w:pBdr>
                <w:top w:val="nil"/>
                <w:left w:val="nil"/>
                <w:bottom w:val="nil"/>
                <w:right w:val="nil"/>
                <w:between w:val="nil"/>
              </w:pBdr>
              <w:spacing w:before="36" w:after="36"/>
              <w:rPr>
                <w:color w:val="000000"/>
              </w:rPr>
            </w:pPr>
          </w:p>
        </w:tc>
      </w:tr>
      <w:tr w:rsidR="00BF18CF" w14:paraId="53224FB7" w14:textId="77777777" w:rsidTr="00BF18CF">
        <w:tc>
          <w:tcPr>
            <w:tcW w:w="1774" w:type="dxa"/>
          </w:tcPr>
          <w:p w14:paraId="73232A1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16" w:type="dxa"/>
          </w:tcPr>
          <w:p w14:paraId="27135282" w14:textId="77777777" w:rsidR="00BF18CF" w:rsidRDefault="00E51347">
            <w:r>
              <w:t xml:space="preserve">Cette classe comprend les naissances des êtres humains. </w:t>
            </w:r>
            <w:r>
              <w:rPr>
                <w:rFonts w:ascii="Consolas" w:eastAsia="Consolas" w:hAnsi="Consolas" w:cs="Consolas"/>
                <w:sz w:val="22"/>
                <w:szCs w:val="22"/>
                <w:shd w:val="clear" w:color="auto" w:fill="EAEEF3"/>
              </w:rPr>
              <w:t>E67_Naissance</w:t>
            </w:r>
            <w:r>
              <w:t xml:space="preserve"> est un évènement biologique axé sur le contexte de la venue au monde. (La classe </w:t>
            </w:r>
            <w:r>
              <w:rPr>
                <w:rFonts w:ascii="Consolas" w:eastAsia="Consolas" w:hAnsi="Consolas" w:cs="Consolas"/>
                <w:sz w:val="22"/>
                <w:szCs w:val="22"/>
                <w:shd w:val="clear" w:color="auto" w:fill="EAEEF3"/>
              </w:rPr>
              <w:t>E63_Début_d’existence</w:t>
            </w:r>
            <w:r>
              <w:t xml:space="preserve"> comprend la venue au monde des personnes, mais aussi de tout être vivant.)</w:t>
            </w:r>
          </w:p>
          <w:p w14:paraId="2B511314" w14:textId="77777777" w:rsidR="00BF18CF" w:rsidRDefault="00E51347">
            <w:r>
              <w:t xml:space="preserve">Les naissances de jumeaux, triplés, etc., font typiquement l’objet d’une seule et même instance de </w:t>
            </w:r>
            <w:r>
              <w:rPr>
                <w:rFonts w:ascii="Consolas" w:eastAsia="Consolas" w:hAnsi="Consolas" w:cs="Consolas"/>
                <w:sz w:val="22"/>
                <w:szCs w:val="22"/>
                <w:shd w:val="clear" w:color="auto" w:fill="EAEEF3"/>
              </w:rPr>
              <w:t>E67_Naissance</w:t>
            </w:r>
            <w:r>
              <w:t>. En outre, dans ce modèle, le père biologique n’est pas considéré comme un participant indispensable à la naissance de l’enfant.</w:t>
            </w:r>
          </w:p>
          <w:p w14:paraId="6055B58A" w14:textId="77777777" w:rsidR="00BF18CF" w:rsidRDefault="00E51347">
            <w:r>
              <w:t xml:space="preserve">L’introduction de </w:t>
            </w:r>
            <w:r>
              <w:rPr>
                <w:rFonts w:ascii="Consolas" w:eastAsia="Consolas" w:hAnsi="Consolas" w:cs="Consolas"/>
                <w:sz w:val="22"/>
                <w:szCs w:val="22"/>
                <w:shd w:val="clear" w:color="auto" w:fill="EAEEF3"/>
              </w:rPr>
              <w:t>E67_Naissance</w:t>
            </w:r>
            <w:r>
              <w:t xml:space="preserve"> comme élément de documentation permet la description de toute une variété de relations familiales au sein d’un même modèle. Des extensions appropriées peuvent donner plus de détails et décrire la complexité de la maternité depuis l’arrivée de la médecine moderne.</w:t>
            </w:r>
          </w:p>
        </w:tc>
      </w:tr>
      <w:tr w:rsidR="00BF18CF" w14:paraId="38EA62B7" w14:textId="77777777" w:rsidTr="00BF18CF">
        <w:tc>
          <w:tcPr>
            <w:tcW w:w="1774" w:type="dxa"/>
          </w:tcPr>
          <w:p w14:paraId="6658FE7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16" w:type="dxa"/>
          </w:tcPr>
          <w:p w14:paraId="7F27E789" w14:textId="77777777" w:rsidR="00BF18CF" w:rsidRDefault="00E51347">
            <w:pPr>
              <w:numPr>
                <w:ilvl w:val="0"/>
                <w:numId w:val="19"/>
              </w:numPr>
            </w:pPr>
            <w:r>
              <w:t>La naissance d’Alexandre le Grand (Stoneman, 2004)</w:t>
            </w:r>
          </w:p>
        </w:tc>
      </w:tr>
      <w:tr w:rsidR="00BF18CF" w14:paraId="1CABDA3F" w14:textId="77777777" w:rsidTr="00BF18CF">
        <w:tc>
          <w:tcPr>
            <w:tcW w:w="1774" w:type="dxa"/>
          </w:tcPr>
          <w:p w14:paraId="12D9C85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16" w:type="dxa"/>
          </w:tcPr>
          <w:p w14:paraId="47E7A4D8" w14:textId="77777777" w:rsidR="00BF18CF" w:rsidRDefault="00E51347">
            <w:r>
              <w:t>E67(x) ⊃ E63(x)</w:t>
            </w:r>
          </w:p>
        </w:tc>
      </w:tr>
      <w:tr w:rsidR="00BF18CF" w14:paraId="1BB536DC" w14:textId="77777777" w:rsidTr="00BF18CF">
        <w:tc>
          <w:tcPr>
            <w:tcW w:w="1774" w:type="dxa"/>
          </w:tcPr>
          <w:p w14:paraId="07E06C5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16" w:type="dxa"/>
          </w:tcPr>
          <w:p w14:paraId="6D3BE1D6" w14:textId="77777777" w:rsidR="00E25267"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P96_de_mère (a_donné_naissance_à)</w:t>
            </w:r>
            <w:r>
              <w:t xml:space="preserve"> : </w:t>
            </w:r>
            <w:r>
              <w:rPr>
                <w:rFonts w:ascii="Consolas" w:eastAsia="Consolas" w:hAnsi="Consolas" w:cs="Consolas"/>
                <w:sz w:val="22"/>
                <w:szCs w:val="22"/>
                <w:shd w:val="clear" w:color="auto" w:fill="EAEEF3"/>
              </w:rPr>
              <w:t>E21_Personne</w:t>
            </w:r>
          </w:p>
          <w:p w14:paraId="00F525BC" w14:textId="77777777" w:rsidR="00E25267"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P97_de_père (a_été_le_père_pour)</w:t>
            </w:r>
            <w:r>
              <w:t xml:space="preserve"> : </w:t>
            </w:r>
            <w:r>
              <w:rPr>
                <w:rFonts w:ascii="Consolas" w:eastAsia="Consolas" w:hAnsi="Consolas" w:cs="Consolas"/>
                <w:sz w:val="22"/>
                <w:szCs w:val="22"/>
                <w:shd w:val="clear" w:color="auto" w:fill="EAEEF3"/>
              </w:rPr>
              <w:t>E21_Personne</w:t>
            </w:r>
          </w:p>
          <w:p w14:paraId="47A83990" w14:textId="2D53BFE3" w:rsidR="00BF18CF" w:rsidRDefault="00E51347">
            <w:r>
              <w:rPr>
                <w:rFonts w:ascii="Consolas" w:eastAsia="Consolas" w:hAnsi="Consolas" w:cs="Consolas"/>
                <w:sz w:val="22"/>
                <w:szCs w:val="22"/>
                <w:shd w:val="clear" w:color="auto" w:fill="EAEEF3"/>
              </w:rPr>
              <w:t>P98_a_donné_vie_à (est_</w:t>
            </w:r>
            <w:proofErr w:type="gramStart"/>
            <w:r>
              <w:rPr>
                <w:rFonts w:ascii="Consolas" w:eastAsia="Consolas" w:hAnsi="Consolas" w:cs="Consolas"/>
                <w:sz w:val="22"/>
                <w:szCs w:val="22"/>
                <w:shd w:val="clear" w:color="auto" w:fill="EAEEF3"/>
              </w:rPr>
              <w:t>né)</w:t>
            </w:r>
            <w:r>
              <w:t xml:space="preserve">  :</w:t>
            </w:r>
            <w:proofErr w:type="gramEnd"/>
            <w:r>
              <w:t xml:space="preserve"> </w:t>
            </w:r>
            <w:r>
              <w:rPr>
                <w:rFonts w:ascii="Consolas" w:eastAsia="Consolas" w:hAnsi="Consolas" w:cs="Consolas"/>
                <w:sz w:val="22"/>
                <w:szCs w:val="22"/>
                <w:shd w:val="clear" w:color="auto" w:fill="EAEEF3"/>
              </w:rPr>
              <w:t>E21_Personne</w:t>
            </w:r>
          </w:p>
        </w:tc>
      </w:tr>
      <w:tr w:rsidR="00BF18CF" w14:paraId="14B8C8B1" w14:textId="77777777" w:rsidTr="00BF18CF">
        <w:tc>
          <w:tcPr>
            <w:tcW w:w="1774" w:type="dxa"/>
          </w:tcPr>
          <w:p w14:paraId="12065ED5" w14:textId="3F8225E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16" w:type="dxa"/>
          </w:tcPr>
          <w:p w14:paraId="1970BABE" w14:textId="77777777" w:rsidR="00BF18CF" w:rsidRDefault="00BF18CF">
            <w:pPr>
              <w:pBdr>
                <w:top w:val="nil"/>
                <w:left w:val="nil"/>
                <w:bottom w:val="nil"/>
                <w:right w:val="nil"/>
                <w:between w:val="nil"/>
              </w:pBdr>
              <w:spacing w:before="36" w:after="36"/>
              <w:rPr>
                <w:color w:val="000000"/>
              </w:rPr>
            </w:pPr>
          </w:p>
        </w:tc>
      </w:tr>
      <w:tr w:rsidR="00BF18CF" w14:paraId="56A78FAD" w14:textId="77777777" w:rsidTr="00BF18CF">
        <w:tc>
          <w:tcPr>
            <w:tcW w:w="1774" w:type="dxa"/>
          </w:tcPr>
          <w:p w14:paraId="0FF7F496"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8916" w:type="dxa"/>
          </w:tcPr>
          <w:p w14:paraId="366EE081" w14:textId="77777777" w:rsidR="00BF18CF" w:rsidRDefault="00BF18CF">
            <w:pPr>
              <w:pBdr>
                <w:top w:val="nil"/>
                <w:left w:val="nil"/>
                <w:bottom w:val="nil"/>
                <w:right w:val="nil"/>
                <w:between w:val="nil"/>
              </w:pBdr>
              <w:spacing w:before="36" w:after="36"/>
              <w:rPr>
                <w:color w:val="000000"/>
              </w:rPr>
            </w:pPr>
          </w:p>
        </w:tc>
      </w:tr>
    </w:tbl>
    <w:p w14:paraId="753FBF61" w14:textId="77777777" w:rsidR="00BF18CF" w:rsidRDefault="00E51347">
      <w:pPr>
        <w:pStyle w:val="Heading3"/>
      </w:pPr>
      <w:bookmarkStart w:id="212" w:name="bookmark=id.243i4a2" w:colFirst="0" w:colLast="0"/>
      <w:bookmarkStart w:id="213" w:name="_Toc144360849"/>
      <w:bookmarkEnd w:id="212"/>
      <w:r>
        <w:t>E68 Dissolution</w:t>
      </w:r>
      <w:bookmarkEnd w:id="213"/>
    </w:p>
    <w:tbl>
      <w:tblPr>
        <w:tblStyle w:val="a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42"/>
        <w:gridCol w:w="8648"/>
      </w:tblGrid>
      <w:tr w:rsidR="00BF18CF" w14:paraId="303AEB31" w14:textId="77777777" w:rsidTr="00BF18CF">
        <w:tc>
          <w:tcPr>
            <w:tcW w:w="2042" w:type="dxa"/>
          </w:tcPr>
          <w:p w14:paraId="299DDCC8"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648" w:type="dxa"/>
          </w:tcPr>
          <w:p w14:paraId="282BB7E7" w14:textId="77777777" w:rsidR="00BF18CF" w:rsidRDefault="00E51347">
            <w:r>
              <w:rPr>
                <w:rFonts w:ascii="Consolas" w:eastAsia="Consolas" w:hAnsi="Consolas" w:cs="Consolas"/>
                <w:sz w:val="22"/>
                <w:szCs w:val="22"/>
                <w:shd w:val="clear" w:color="auto" w:fill="EAEEF3"/>
              </w:rPr>
              <w:t>E64_Fin_d’existence</w:t>
            </w:r>
          </w:p>
        </w:tc>
      </w:tr>
      <w:tr w:rsidR="00BF18CF" w14:paraId="35C5E4E9" w14:textId="77777777" w:rsidTr="00BF18CF">
        <w:tc>
          <w:tcPr>
            <w:tcW w:w="2042" w:type="dxa"/>
          </w:tcPr>
          <w:p w14:paraId="5F5D7B35"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648" w:type="dxa"/>
          </w:tcPr>
          <w:p w14:paraId="204C9A3D" w14:textId="77777777" w:rsidR="00BF18CF" w:rsidRDefault="00BF18CF">
            <w:pPr>
              <w:pBdr>
                <w:top w:val="nil"/>
                <w:left w:val="nil"/>
                <w:bottom w:val="nil"/>
                <w:right w:val="nil"/>
                <w:between w:val="nil"/>
              </w:pBdr>
              <w:spacing w:before="36" w:after="36"/>
              <w:rPr>
                <w:color w:val="000000"/>
              </w:rPr>
            </w:pPr>
          </w:p>
        </w:tc>
      </w:tr>
      <w:tr w:rsidR="00BF18CF" w14:paraId="5580BC16" w14:textId="77777777" w:rsidTr="00BF18CF">
        <w:tc>
          <w:tcPr>
            <w:tcW w:w="2042" w:type="dxa"/>
          </w:tcPr>
          <w:p w14:paraId="03EB94D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648" w:type="dxa"/>
          </w:tcPr>
          <w:p w14:paraId="7FB8C50D" w14:textId="77777777" w:rsidR="00BF18CF" w:rsidRDefault="00E51347">
            <w:r>
              <w:t xml:space="preserve">Cette classe comprend les évènements qui entraînent la fin formelle ou informelle d’une instance de </w:t>
            </w:r>
            <w:r>
              <w:rPr>
                <w:rFonts w:ascii="Consolas" w:eastAsia="Consolas" w:hAnsi="Consolas" w:cs="Consolas"/>
                <w:sz w:val="22"/>
                <w:szCs w:val="22"/>
                <w:shd w:val="clear" w:color="auto" w:fill="EAEEF3"/>
              </w:rPr>
              <w:t>E74_Groupe</w:t>
            </w:r>
            <w:r>
              <w:t>.</w:t>
            </w:r>
          </w:p>
          <w:p w14:paraId="6E6C8D97" w14:textId="77777777" w:rsidR="00BF18CF" w:rsidRDefault="00E51347">
            <w:r>
              <w:t xml:space="preserve">Si la dissolution était intentionnelle, l’évènement doit aussi être documenté comme une instance de </w:t>
            </w:r>
            <w:r>
              <w:rPr>
                <w:rFonts w:ascii="Consolas" w:eastAsia="Consolas" w:hAnsi="Consolas" w:cs="Consolas"/>
                <w:sz w:val="22"/>
                <w:szCs w:val="22"/>
                <w:shd w:val="clear" w:color="auto" w:fill="EAEEF3"/>
              </w:rPr>
              <w:t>E7_Activité</w:t>
            </w:r>
            <w:r>
              <w:t>.</w:t>
            </w:r>
          </w:p>
        </w:tc>
      </w:tr>
      <w:tr w:rsidR="00BF18CF" w14:paraId="1F9E2A8D" w14:textId="77777777" w:rsidTr="00BF18CF">
        <w:tc>
          <w:tcPr>
            <w:tcW w:w="2042" w:type="dxa"/>
          </w:tcPr>
          <w:p w14:paraId="46BC76E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648" w:type="dxa"/>
          </w:tcPr>
          <w:p w14:paraId="472B4142" w14:textId="77777777" w:rsidR="00BF18CF" w:rsidRDefault="00E51347">
            <w:pPr>
              <w:numPr>
                <w:ilvl w:val="0"/>
                <w:numId w:val="19"/>
              </w:numPr>
            </w:pPr>
            <w:r>
              <w:t>La chute de l’Empire romain (Whittington, 1964)</w:t>
            </w:r>
          </w:p>
          <w:p w14:paraId="61734EAD" w14:textId="77777777" w:rsidR="00BF18CF" w:rsidRDefault="00E51347">
            <w:pPr>
              <w:numPr>
                <w:ilvl w:val="0"/>
                <w:numId w:val="19"/>
              </w:numPr>
            </w:pPr>
            <w:r>
              <w:t>La liquidation de Enron Corporation (Atlas, 2001)</w:t>
            </w:r>
          </w:p>
        </w:tc>
      </w:tr>
      <w:tr w:rsidR="00BF18CF" w14:paraId="41E3408D" w14:textId="77777777" w:rsidTr="00BF18CF">
        <w:tc>
          <w:tcPr>
            <w:tcW w:w="2042" w:type="dxa"/>
          </w:tcPr>
          <w:p w14:paraId="11D325B0"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648" w:type="dxa"/>
          </w:tcPr>
          <w:p w14:paraId="6C5988D5" w14:textId="77777777" w:rsidR="00BF18CF" w:rsidRDefault="00E51347">
            <w:r>
              <w:t>E68(x) ⇒ E64(x)</w:t>
            </w:r>
          </w:p>
        </w:tc>
      </w:tr>
      <w:tr w:rsidR="00BF18CF" w14:paraId="41481BE6" w14:textId="77777777" w:rsidTr="00BF18CF">
        <w:tc>
          <w:tcPr>
            <w:tcW w:w="2042" w:type="dxa"/>
          </w:tcPr>
          <w:p w14:paraId="46302DB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648" w:type="dxa"/>
          </w:tcPr>
          <w:p w14:paraId="4156FD81" w14:textId="77777777" w:rsidR="00BF18CF" w:rsidRDefault="00E51347">
            <w:r>
              <w:rPr>
                <w:rFonts w:ascii="Consolas" w:eastAsia="Consolas" w:hAnsi="Consolas" w:cs="Consolas"/>
                <w:sz w:val="22"/>
                <w:szCs w:val="22"/>
                <w:shd w:val="clear" w:color="auto" w:fill="EAEEF3"/>
              </w:rPr>
              <w:t>P99_a_dissous (a_été_dissous_par)</w:t>
            </w:r>
            <w:r>
              <w:t xml:space="preserve"> : </w:t>
            </w:r>
            <w:r>
              <w:rPr>
                <w:rFonts w:ascii="Consolas" w:eastAsia="Consolas" w:hAnsi="Consolas" w:cs="Consolas"/>
                <w:sz w:val="22"/>
                <w:szCs w:val="22"/>
                <w:shd w:val="clear" w:color="auto" w:fill="EAEEF3"/>
              </w:rPr>
              <w:t>E74_Groupe</w:t>
            </w:r>
          </w:p>
        </w:tc>
      </w:tr>
      <w:tr w:rsidR="00BF18CF" w14:paraId="2127DD79" w14:textId="77777777" w:rsidTr="00BF18CF">
        <w:tc>
          <w:tcPr>
            <w:tcW w:w="2042" w:type="dxa"/>
          </w:tcPr>
          <w:p w14:paraId="06631ED3" w14:textId="37BA373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648" w:type="dxa"/>
          </w:tcPr>
          <w:p w14:paraId="23A23715" w14:textId="77777777" w:rsidR="00BF18CF" w:rsidRDefault="00BF18CF">
            <w:pPr>
              <w:pBdr>
                <w:top w:val="nil"/>
                <w:left w:val="nil"/>
                <w:bottom w:val="nil"/>
                <w:right w:val="nil"/>
                <w:between w:val="nil"/>
              </w:pBdr>
              <w:spacing w:before="36" w:after="36"/>
              <w:rPr>
                <w:color w:val="000000"/>
              </w:rPr>
            </w:pPr>
          </w:p>
        </w:tc>
      </w:tr>
      <w:tr w:rsidR="00BF18CF" w14:paraId="4C2DA179" w14:textId="77777777" w:rsidTr="00BF18CF">
        <w:tc>
          <w:tcPr>
            <w:tcW w:w="2042" w:type="dxa"/>
          </w:tcPr>
          <w:p w14:paraId="11683151"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648" w:type="dxa"/>
          </w:tcPr>
          <w:p w14:paraId="6538B967" w14:textId="77777777" w:rsidR="00BF18CF" w:rsidRDefault="00BF18CF">
            <w:pPr>
              <w:pBdr>
                <w:top w:val="nil"/>
                <w:left w:val="nil"/>
                <w:bottom w:val="nil"/>
                <w:right w:val="nil"/>
                <w:between w:val="nil"/>
              </w:pBdr>
              <w:spacing w:before="36" w:after="36"/>
              <w:rPr>
                <w:color w:val="000000"/>
              </w:rPr>
            </w:pPr>
          </w:p>
        </w:tc>
      </w:tr>
    </w:tbl>
    <w:p w14:paraId="0D987EDE" w14:textId="77777777" w:rsidR="00BF18CF" w:rsidRDefault="00E51347">
      <w:pPr>
        <w:pStyle w:val="Heading3"/>
      </w:pPr>
      <w:bookmarkStart w:id="214" w:name="bookmark=id.j8sehv" w:colFirst="0" w:colLast="0"/>
      <w:bookmarkStart w:id="215" w:name="_Toc144360850"/>
      <w:bookmarkEnd w:id="214"/>
      <w:r>
        <w:t>E69 Mort</w:t>
      </w:r>
      <w:bookmarkEnd w:id="215"/>
    </w:p>
    <w:tbl>
      <w:tblPr>
        <w:tblStyle w:val="a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55"/>
        <w:gridCol w:w="8935"/>
      </w:tblGrid>
      <w:tr w:rsidR="00BF18CF" w14:paraId="63D05802" w14:textId="77777777" w:rsidTr="00BF18CF">
        <w:tc>
          <w:tcPr>
            <w:tcW w:w="1755" w:type="dxa"/>
          </w:tcPr>
          <w:p w14:paraId="2E47D14F"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35" w:type="dxa"/>
          </w:tcPr>
          <w:p w14:paraId="14358231" w14:textId="77777777" w:rsidR="00BF18CF" w:rsidRDefault="00E51347">
            <w:r>
              <w:rPr>
                <w:rFonts w:ascii="Consolas" w:eastAsia="Consolas" w:hAnsi="Consolas" w:cs="Consolas"/>
                <w:sz w:val="22"/>
                <w:szCs w:val="22"/>
                <w:shd w:val="clear" w:color="auto" w:fill="EAEEF3"/>
              </w:rPr>
              <w:t>E64_Fin_d’existence</w:t>
            </w:r>
          </w:p>
        </w:tc>
      </w:tr>
      <w:tr w:rsidR="00BF18CF" w14:paraId="256960AE" w14:textId="77777777" w:rsidTr="00BF18CF">
        <w:tc>
          <w:tcPr>
            <w:tcW w:w="1755" w:type="dxa"/>
          </w:tcPr>
          <w:p w14:paraId="4ACD2622"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35" w:type="dxa"/>
          </w:tcPr>
          <w:p w14:paraId="3B3CC549" w14:textId="77777777" w:rsidR="00BF18CF" w:rsidRDefault="00BF18CF">
            <w:pPr>
              <w:pBdr>
                <w:top w:val="nil"/>
                <w:left w:val="nil"/>
                <w:bottom w:val="nil"/>
                <w:right w:val="nil"/>
                <w:between w:val="nil"/>
              </w:pBdr>
              <w:spacing w:before="36" w:after="36"/>
              <w:rPr>
                <w:color w:val="000000"/>
              </w:rPr>
            </w:pPr>
          </w:p>
        </w:tc>
      </w:tr>
      <w:tr w:rsidR="00BF18CF" w14:paraId="1F35A402" w14:textId="77777777" w:rsidTr="00BF18CF">
        <w:tc>
          <w:tcPr>
            <w:tcW w:w="1755" w:type="dxa"/>
          </w:tcPr>
          <w:p w14:paraId="56AEC0E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35" w:type="dxa"/>
          </w:tcPr>
          <w:p w14:paraId="092B9259" w14:textId="77777777" w:rsidR="00BF18CF" w:rsidRDefault="00E51347">
            <w:r>
              <w:t>Cette classe comprend les morts d’êtres humains.</w:t>
            </w:r>
          </w:p>
          <w:p w14:paraId="679A22CB" w14:textId="77777777" w:rsidR="00BF18CF" w:rsidRDefault="00E51347">
            <w:r>
              <w:t xml:space="preserve">Si une personne est </w:t>
            </w:r>
            <w:r>
              <w:rPr>
                <w:i/>
              </w:rPr>
              <w:t>tuée</w:t>
            </w:r>
            <w:r>
              <w:t xml:space="preserve">, la mort devrait être documentée comme une instance à la fois de </w:t>
            </w:r>
            <w:r>
              <w:rPr>
                <w:rFonts w:ascii="Consolas" w:eastAsia="Consolas" w:hAnsi="Consolas" w:cs="Consolas"/>
                <w:sz w:val="22"/>
                <w:szCs w:val="22"/>
                <w:shd w:val="clear" w:color="auto" w:fill="EAEEF3"/>
              </w:rPr>
              <w:t>E69_Mort</w:t>
            </w:r>
            <w:r>
              <w:t xml:space="preserve"> et de </w:t>
            </w:r>
            <w:r>
              <w:rPr>
                <w:rFonts w:ascii="Consolas" w:eastAsia="Consolas" w:hAnsi="Consolas" w:cs="Consolas"/>
                <w:sz w:val="22"/>
                <w:szCs w:val="22"/>
                <w:shd w:val="clear" w:color="auto" w:fill="EAEEF3"/>
              </w:rPr>
              <w:t>E7_Activité</w:t>
            </w:r>
            <w:r>
              <w:t xml:space="preserve">. La mort ou le périssement d’autres êtres vivants devraient être documentés comme une instance de </w:t>
            </w:r>
            <w:r>
              <w:rPr>
                <w:rFonts w:ascii="Consolas" w:eastAsia="Consolas" w:hAnsi="Consolas" w:cs="Consolas"/>
                <w:sz w:val="22"/>
                <w:szCs w:val="22"/>
                <w:shd w:val="clear" w:color="auto" w:fill="EAEEF3"/>
              </w:rPr>
              <w:t>E64_Fin_d’existence</w:t>
            </w:r>
            <w:r>
              <w:t>.</w:t>
            </w:r>
          </w:p>
        </w:tc>
      </w:tr>
      <w:tr w:rsidR="00BF18CF" w14:paraId="032294EF" w14:textId="77777777" w:rsidTr="00BF18CF">
        <w:tc>
          <w:tcPr>
            <w:tcW w:w="1755" w:type="dxa"/>
          </w:tcPr>
          <w:p w14:paraId="67E1A78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35" w:type="dxa"/>
          </w:tcPr>
          <w:p w14:paraId="56E4FF32" w14:textId="77777777" w:rsidR="00BF18CF" w:rsidRDefault="00E51347">
            <w:pPr>
              <w:numPr>
                <w:ilvl w:val="0"/>
                <w:numId w:val="19"/>
              </w:numPr>
            </w:pPr>
            <w:r>
              <w:t>L’assassinat de Jules César (</w:t>
            </w:r>
            <w:r>
              <w:rPr>
                <w:rFonts w:ascii="Consolas" w:eastAsia="Consolas" w:hAnsi="Consolas" w:cs="Consolas"/>
                <w:sz w:val="22"/>
                <w:szCs w:val="22"/>
                <w:shd w:val="clear" w:color="auto" w:fill="EAEEF3"/>
              </w:rPr>
              <w:t>E69_Mort</w:t>
            </w:r>
            <w:r>
              <w:t xml:space="preserve">, </w:t>
            </w:r>
            <w:r>
              <w:rPr>
                <w:rFonts w:ascii="Consolas" w:eastAsia="Consolas" w:hAnsi="Consolas" w:cs="Consolas"/>
                <w:sz w:val="22"/>
                <w:szCs w:val="22"/>
                <w:shd w:val="clear" w:color="auto" w:fill="EAEEF3"/>
              </w:rPr>
              <w:t>E7_Activité</w:t>
            </w:r>
            <w:r>
              <w:t>) (Irwin, 1935)</w:t>
            </w:r>
          </w:p>
          <w:p w14:paraId="2A1F057F" w14:textId="77777777" w:rsidR="00BF18CF" w:rsidRDefault="00E51347">
            <w:pPr>
              <w:numPr>
                <w:ilvl w:val="0"/>
                <w:numId w:val="19"/>
              </w:numPr>
            </w:pPr>
            <w:r>
              <w:t>La mort du sénateur Paul Wellstone (Monast, 2003)</w:t>
            </w:r>
          </w:p>
        </w:tc>
      </w:tr>
      <w:tr w:rsidR="00BF18CF" w14:paraId="1332802E" w14:textId="77777777" w:rsidTr="00BF18CF">
        <w:tc>
          <w:tcPr>
            <w:tcW w:w="1755" w:type="dxa"/>
          </w:tcPr>
          <w:p w14:paraId="60B8465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35" w:type="dxa"/>
          </w:tcPr>
          <w:p w14:paraId="186FC703" w14:textId="77777777" w:rsidR="00BF18CF" w:rsidRDefault="00E51347">
            <w:r>
              <w:t>E69(x) ⇒ E64(x)</w:t>
            </w:r>
          </w:p>
        </w:tc>
      </w:tr>
      <w:tr w:rsidR="00BF18CF" w14:paraId="0886D2FA" w14:textId="77777777" w:rsidTr="00BF18CF">
        <w:tc>
          <w:tcPr>
            <w:tcW w:w="1755" w:type="dxa"/>
          </w:tcPr>
          <w:p w14:paraId="136C202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35" w:type="dxa"/>
          </w:tcPr>
          <w:p w14:paraId="36196D67" w14:textId="77777777" w:rsidR="00BF18CF" w:rsidRDefault="00E51347">
            <w:r>
              <w:rPr>
                <w:rFonts w:ascii="Consolas" w:eastAsia="Consolas" w:hAnsi="Consolas" w:cs="Consolas"/>
                <w:sz w:val="22"/>
                <w:szCs w:val="22"/>
                <w:shd w:val="clear" w:color="auto" w:fill="EAEEF3"/>
              </w:rPr>
              <w:t>P100_a_été_la_mort_de (est_mort_par)</w:t>
            </w:r>
            <w:r>
              <w:t xml:space="preserve"> : </w:t>
            </w:r>
            <w:r>
              <w:rPr>
                <w:rFonts w:ascii="Consolas" w:eastAsia="Consolas" w:hAnsi="Consolas" w:cs="Consolas"/>
                <w:sz w:val="22"/>
                <w:szCs w:val="22"/>
                <w:shd w:val="clear" w:color="auto" w:fill="EAEEF3"/>
              </w:rPr>
              <w:t>E21_Personne</w:t>
            </w:r>
          </w:p>
        </w:tc>
      </w:tr>
      <w:tr w:rsidR="00BF18CF" w14:paraId="2C8FF54F" w14:textId="77777777" w:rsidTr="00BF18CF">
        <w:tc>
          <w:tcPr>
            <w:tcW w:w="1755" w:type="dxa"/>
          </w:tcPr>
          <w:p w14:paraId="37586A08" w14:textId="6D0F221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35" w:type="dxa"/>
          </w:tcPr>
          <w:p w14:paraId="55E88AFF" w14:textId="77777777" w:rsidR="00BF18CF" w:rsidRDefault="00E51347">
            <w:r>
              <w:t xml:space="preserve">Puisque la classe </w:t>
            </w:r>
            <w:r>
              <w:rPr>
                <w:rFonts w:ascii="Consolas" w:eastAsia="Consolas" w:hAnsi="Consolas" w:cs="Consolas"/>
                <w:sz w:val="22"/>
                <w:szCs w:val="22"/>
                <w:shd w:val="clear" w:color="auto" w:fill="EAEEF3"/>
              </w:rPr>
              <w:t>E69_Mort</w:t>
            </w:r>
            <w:r>
              <w:t xml:space="preserve"> comprend des morts naturelles et non naturelles d’humains, ce terme a été choisi plutôt que « décès ».</w:t>
            </w:r>
          </w:p>
          <w:p w14:paraId="55294D86" w14:textId="77777777" w:rsidR="00BF18CF" w:rsidRDefault="00E51347">
            <w:r>
              <w:t xml:space="preserve">Le terme « périssement » est peu commun, mais existe et a un sens équivalent à « </w:t>
            </w:r>
            <w:r>
              <w:rPr>
                <w:i/>
              </w:rPr>
              <w:t>perishing</w:t>
            </w:r>
            <w:r>
              <w:t xml:space="preserve"> », de sorte qu’il a été privilégié ici.</w:t>
            </w:r>
          </w:p>
        </w:tc>
      </w:tr>
      <w:tr w:rsidR="00BF18CF" w14:paraId="0F554E83" w14:textId="77777777" w:rsidTr="00BF18CF">
        <w:tc>
          <w:tcPr>
            <w:tcW w:w="1755" w:type="dxa"/>
          </w:tcPr>
          <w:p w14:paraId="29C2933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35" w:type="dxa"/>
          </w:tcPr>
          <w:p w14:paraId="2895A12F" w14:textId="77777777" w:rsidR="00BF18CF" w:rsidRDefault="00E51347">
            <w:r>
              <w:t xml:space="preserve">Centre National de Ressources Textuelles et Lexicales (CNRTL). « Périssement ». Dans </w:t>
            </w:r>
            <w:r>
              <w:rPr>
                <w:i/>
              </w:rPr>
              <w:t>Portail lexical du CNRTL</w:t>
            </w:r>
            <w:r>
              <w:t xml:space="preserve">. Nancy, FR-GES: Centre National de Ressources </w:t>
            </w:r>
            <w:r>
              <w:lastRenderedPageBreak/>
              <w:t>Textuelles et Lexicales (CNRTL), 2012.</w:t>
            </w:r>
            <w:hyperlink r:id="rId398">
              <w:r>
                <w:rPr>
                  <w:color w:val="4F81BD"/>
                </w:rPr>
                <w:t xml:space="preserve"> https://www.cnrtl.fr/definition/p%C3%A9rissement</w:t>
              </w:r>
            </w:hyperlink>
            <w:r>
              <w:t>.</w:t>
            </w:r>
          </w:p>
        </w:tc>
      </w:tr>
    </w:tbl>
    <w:p w14:paraId="56B1A12D" w14:textId="77777777" w:rsidR="00BF18CF" w:rsidRDefault="00E51347">
      <w:pPr>
        <w:pStyle w:val="Heading3"/>
      </w:pPr>
      <w:bookmarkStart w:id="216" w:name="bookmark=id.338fx5o" w:colFirst="0" w:colLast="0"/>
      <w:bookmarkStart w:id="217" w:name="_Toc144360851"/>
      <w:bookmarkEnd w:id="216"/>
      <w:r>
        <w:lastRenderedPageBreak/>
        <w:t>E70 Chose</w:t>
      </w:r>
      <w:bookmarkEnd w:id="217"/>
    </w:p>
    <w:tbl>
      <w:tblPr>
        <w:tblStyle w:val="a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38"/>
        <w:gridCol w:w="8952"/>
      </w:tblGrid>
      <w:tr w:rsidR="00BF18CF" w14:paraId="6CF4803D" w14:textId="77777777" w:rsidTr="00BF18CF">
        <w:tc>
          <w:tcPr>
            <w:tcW w:w="1738" w:type="dxa"/>
          </w:tcPr>
          <w:p w14:paraId="77810DEA"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52" w:type="dxa"/>
          </w:tcPr>
          <w:p w14:paraId="2CFFD0A8" w14:textId="77777777" w:rsidR="00BF18CF" w:rsidRDefault="00E51347">
            <w:r>
              <w:rPr>
                <w:rFonts w:ascii="Consolas" w:eastAsia="Consolas" w:hAnsi="Consolas" w:cs="Consolas"/>
                <w:sz w:val="22"/>
                <w:szCs w:val="22"/>
                <w:shd w:val="clear" w:color="auto" w:fill="EAEEF3"/>
              </w:rPr>
              <w:t>E77_Entité_persistante</w:t>
            </w:r>
          </w:p>
        </w:tc>
      </w:tr>
      <w:tr w:rsidR="00BF18CF" w14:paraId="5E5C0230" w14:textId="77777777" w:rsidTr="00BF18CF">
        <w:tc>
          <w:tcPr>
            <w:tcW w:w="1738" w:type="dxa"/>
          </w:tcPr>
          <w:p w14:paraId="7AE8A1BD"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52" w:type="dxa"/>
          </w:tcPr>
          <w:p w14:paraId="4991B9FC" w14:textId="77777777" w:rsidR="00BF18CF" w:rsidRDefault="00E51347">
            <w:r>
              <w:rPr>
                <w:rFonts w:ascii="Consolas" w:eastAsia="Consolas" w:hAnsi="Consolas" w:cs="Consolas"/>
                <w:sz w:val="22"/>
                <w:szCs w:val="22"/>
                <w:shd w:val="clear" w:color="auto" w:fill="EAEEF3"/>
              </w:rPr>
              <w:t>E71_Chose_élaborée_par_l’humain</w:t>
            </w:r>
          </w:p>
          <w:p w14:paraId="7698C8CB" w14:textId="77777777" w:rsidR="00BF18CF" w:rsidRDefault="00E51347">
            <w:r>
              <w:rPr>
                <w:rFonts w:ascii="Consolas" w:eastAsia="Consolas" w:hAnsi="Consolas" w:cs="Consolas"/>
                <w:sz w:val="22"/>
                <w:szCs w:val="22"/>
                <w:shd w:val="clear" w:color="auto" w:fill="EAEEF3"/>
              </w:rPr>
              <w:t>E72_Objet_juridique</w:t>
            </w:r>
          </w:p>
        </w:tc>
      </w:tr>
      <w:tr w:rsidR="00BF18CF" w14:paraId="59189B1D" w14:textId="77777777" w:rsidTr="00BF18CF">
        <w:tc>
          <w:tcPr>
            <w:tcW w:w="1738" w:type="dxa"/>
          </w:tcPr>
          <w:p w14:paraId="0ACCE1C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52" w:type="dxa"/>
          </w:tcPr>
          <w:p w14:paraId="70FD5551" w14:textId="77777777" w:rsidR="00BF18CF" w:rsidRDefault="00E51347">
            <w:r>
              <w:t xml:space="preserve">Cette classe générale comprend les instances distinctes et identifiables de </w:t>
            </w:r>
            <w:r>
              <w:rPr>
                <w:rFonts w:ascii="Consolas" w:eastAsia="Consolas" w:hAnsi="Consolas" w:cs="Consolas"/>
                <w:sz w:val="22"/>
                <w:szCs w:val="22"/>
                <w:shd w:val="clear" w:color="auto" w:fill="EAEEF3"/>
              </w:rPr>
              <w:t>E77_Entité_persistante</w:t>
            </w:r>
            <w:r>
              <w:t xml:space="preserve"> qui sont documentées comme des éléments uniques, qui sont constituées de matière ou qui dépendent de la matière qui les constitue et qui sont caractérisées par une certaine stabilité.</w:t>
            </w:r>
          </w:p>
          <w:p w14:paraId="41BF0B12" w14:textId="77777777" w:rsidR="00BF18CF" w:rsidRDefault="00E51347">
            <w:r>
              <w:t xml:space="preserve">Elles peuvent être des produits de l’intellect ou des choses physiques. Elles peuvent, par exemple, prendre une forme matérielle physique et solide, être un encodage électronique ou être un concept ou </w:t>
            </w:r>
            <w:proofErr w:type="gramStart"/>
            <w:r>
              <w:t>une structure logiques</w:t>
            </w:r>
            <w:proofErr w:type="gramEnd"/>
            <w:r>
              <w:t>.</w:t>
            </w:r>
          </w:p>
        </w:tc>
      </w:tr>
      <w:tr w:rsidR="00BF18CF" w14:paraId="5C01C61F" w14:textId="77777777" w:rsidTr="00BF18CF">
        <w:tc>
          <w:tcPr>
            <w:tcW w:w="1738" w:type="dxa"/>
          </w:tcPr>
          <w:p w14:paraId="20037EC1"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52" w:type="dxa"/>
          </w:tcPr>
          <w:p w14:paraId="41227613" w14:textId="77777777" w:rsidR="00BF18CF" w:rsidRDefault="00E51347">
            <w:pPr>
              <w:numPr>
                <w:ilvl w:val="0"/>
                <w:numId w:val="19"/>
              </w:numPr>
            </w:pPr>
            <w:r>
              <w:t>Ma collection de photographies (</w:t>
            </w:r>
            <w:r>
              <w:rPr>
                <w:rFonts w:ascii="Consolas" w:eastAsia="Consolas" w:hAnsi="Consolas" w:cs="Consolas"/>
                <w:sz w:val="22"/>
                <w:szCs w:val="22"/>
                <w:shd w:val="clear" w:color="auto" w:fill="EAEEF3"/>
              </w:rPr>
              <w:t>E78_Collection</w:t>
            </w:r>
            <w:r>
              <w:t>) (fictif)</w:t>
            </w:r>
          </w:p>
          <w:p w14:paraId="62188713" w14:textId="77777777" w:rsidR="00BF18CF" w:rsidRDefault="00E51347">
            <w:pPr>
              <w:numPr>
                <w:ilvl w:val="0"/>
                <w:numId w:val="19"/>
              </w:numPr>
            </w:pPr>
            <w:r>
              <w:t>La bouteille de lait dans mon réfrigérateur (</w:t>
            </w:r>
            <w:r>
              <w:rPr>
                <w:rFonts w:ascii="Consolas" w:eastAsia="Consolas" w:hAnsi="Consolas" w:cs="Consolas"/>
                <w:sz w:val="22"/>
                <w:szCs w:val="22"/>
                <w:shd w:val="clear" w:color="auto" w:fill="EAEEF3"/>
              </w:rPr>
              <w:t>E22_Objet_élaboré_par_l’humain</w:t>
            </w:r>
            <w:r>
              <w:t>) (fictif)</w:t>
            </w:r>
          </w:p>
          <w:p w14:paraId="6202CB60" w14:textId="77777777" w:rsidR="00BF18CF" w:rsidRDefault="00E51347">
            <w:pPr>
              <w:numPr>
                <w:ilvl w:val="0"/>
                <w:numId w:val="19"/>
              </w:numPr>
            </w:pPr>
            <w:r>
              <w:t>Le plan Riss A1 du Straßburger Münster (cathédrale Notre-Dame de Strasbourg) (</w:t>
            </w:r>
            <w:r>
              <w:rPr>
                <w:rFonts w:ascii="Consolas" w:eastAsia="Consolas" w:hAnsi="Consolas" w:cs="Consolas"/>
                <w:sz w:val="22"/>
                <w:szCs w:val="22"/>
                <w:shd w:val="clear" w:color="auto" w:fill="EAEEF3"/>
              </w:rPr>
              <w:t>E29_Conceptualisation_ou_procédure</w:t>
            </w:r>
            <w:r>
              <w:t>) (Liess, R., 1985)</w:t>
            </w:r>
          </w:p>
          <w:p w14:paraId="20411C29" w14:textId="77777777" w:rsidR="00BF18CF" w:rsidRDefault="00E51347">
            <w:pPr>
              <w:numPr>
                <w:ilvl w:val="0"/>
                <w:numId w:val="19"/>
              </w:numPr>
            </w:pPr>
            <w:r>
              <w:t>La chose sur le bureau d’Otto Hahn (</w:t>
            </w:r>
            <w:r>
              <w:rPr>
                <w:rFonts w:ascii="Consolas" w:eastAsia="Consolas" w:hAnsi="Consolas" w:cs="Consolas"/>
                <w:sz w:val="22"/>
                <w:szCs w:val="22"/>
                <w:shd w:val="clear" w:color="auto" w:fill="EAEEF3"/>
              </w:rPr>
              <w:t>E19_Objet_matériel)</w:t>
            </w:r>
          </w:p>
          <w:p w14:paraId="7CE21527" w14:textId="77777777" w:rsidR="00BF18CF" w:rsidRDefault="00E51347">
            <w:pPr>
              <w:numPr>
                <w:ilvl w:val="0"/>
                <w:numId w:val="19"/>
              </w:numPr>
            </w:pPr>
            <w:r>
              <w:t>La forme du panneau « non-</w:t>
            </w:r>
            <w:proofErr w:type="gramStart"/>
            <w:r>
              <w:t>fumeur»</w:t>
            </w:r>
            <w:proofErr w:type="gramEnd"/>
            <w:r>
              <w:t xml:space="preserve"> </w:t>
            </w:r>
            <w:r>
              <w:rPr>
                <w:rFonts w:ascii="Consolas" w:eastAsia="Consolas" w:hAnsi="Consolas" w:cs="Consolas"/>
                <w:sz w:val="22"/>
                <w:szCs w:val="22"/>
                <w:shd w:val="clear" w:color="auto" w:fill="EAEEF3"/>
              </w:rPr>
              <w:t>(E36_Entité_visuelle)</w:t>
            </w:r>
          </w:p>
          <w:p w14:paraId="08526538" w14:textId="77777777" w:rsidR="00BF18CF" w:rsidRDefault="00E51347">
            <w:pPr>
              <w:numPr>
                <w:ilvl w:val="0"/>
                <w:numId w:val="19"/>
              </w:numPr>
            </w:pPr>
            <w:r>
              <w:t xml:space="preserve">Les grottes de Diros, [n.d.t. péninsule du] Magne, Grèce </w:t>
            </w:r>
            <w:r>
              <w:rPr>
                <w:rFonts w:ascii="Consolas" w:eastAsia="Consolas" w:hAnsi="Consolas" w:cs="Consolas"/>
                <w:sz w:val="22"/>
                <w:szCs w:val="22"/>
                <w:shd w:val="clear" w:color="auto" w:fill="EAEEF3"/>
              </w:rPr>
              <w:t>(E27_Site)</w:t>
            </w:r>
            <w:r>
              <w:t xml:space="preserve"> (Psimenos, 2005)</w:t>
            </w:r>
          </w:p>
        </w:tc>
      </w:tr>
      <w:tr w:rsidR="00BF18CF" w14:paraId="6D74F066" w14:textId="77777777" w:rsidTr="00BF18CF">
        <w:tc>
          <w:tcPr>
            <w:tcW w:w="1738" w:type="dxa"/>
          </w:tcPr>
          <w:p w14:paraId="4B1A769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52" w:type="dxa"/>
          </w:tcPr>
          <w:p w14:paraId="51455FB1" w14:textId="77777777" w:rsidR="00BF18CF" w:rsidRDefault="00E51347">
            <w:r>
              <w:t>E70(x) ⇒ E77(x)</w:t>
            </w:r>
          </w:p>
        </w:tc>
      </w:tr>
      <w:tr w:rsidR="00BF18CF" w14:paraId="0307DD20" w14:textId="77777777" w:rsidTr="00BF18CF">
        <w:tc>
          <w:tcPr>
            <w:tcW w:w="1738" w:type="dxa"/>
          </w:tcPr>
          <w:p w14:paraId="3A3776D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52" w:type="dxa"/>
          </w:tcPr>
          <w:p w14:paraId="7CD7AEDC" w14:textId="77777777" w:rsidR="00BF18CF" w:rsidRDefault="00E51347">
            <w:r>
              <w:rPr>
                <w:rFonts w:ascii="Consolas" w:eastAsia="Consolas" w:hAnsi="Consolas" w:cs="Consolas"/>
                <w:sz w:val="22"/>
                <w:szCs w:val="22"/>
                <w:shd w:val="clear" w:color="auto" w:fill="EAEEF3"/>
              </w:rPr>
              <w:t>P43_a_pour_dimension (est_la_dimension_de)</w:t>
            </w:r>
            <w:r>
              <w:t xml:space="preserve"> : </w:t>
            </w:r>
            <w:r>
              <w:rPr>
                <w:rFonts w:ascii="Consolas" w:eastAsia="Consolas" w:hAnsi="Consolas" w:cs="Consolas"/>
                <w:sz w:val="22"/>
                <w:szCs w:val="22"/>
                <w:shd w:val="clear" w:color="auto" w:fill="EAEEF3"/>
              </w:rPr>
              <w:t>E54_Dimension</w:t>
            </w:r>
          </w:p>
          <w:p w14:paraId="795C1F0F" w14:textId="77777777" w:rsidR="00BF18CF" w:rsidRDefault="00E51347">
            <w:r>
              <w:rPr>
                <w:rFonts w:ascii="Consolas" w:eastAsia="Consolas" w:hAnsi="Consolas" w:cs="Consolas"/>
                <w:sz w:val="22"/>
                <w:szCs w:val="22"/>
                <w:shd w:val="clear" w:color="auto" w:fill="EAEEF3"/>
              </w:rPr>
              <w:t>P101_a_eu pour_usage_général (a_été_l'usage général_de)</w:t>
            </w:r>
            <w:r>
              <w:t xml:space="preserve"> : </w:t>
            </w:r>
            <w:r>
              <w:rPr>
                <w:rFonts w:ascii="Consolas" w:eastAsia="Consolas" w:hAnsi="Consolas" w:cs="Consolas"/>
                <w:sz w:val="22"/>
                <w:szCs w:val="22"/>
                <w:shd w:val="clear" w:color="auto" w:fill="EAEEF3"/>
              </w:rPr>
              <w:t>E55_Type</w:t>
            </w:r>
          </w:p>
          <w:p w14:paraId="5E208D71" w14:textId="77777777" w:rsidR="00BF18CF" w:rsidRDefault="00E51347">
            <w:r>
              <w:rPr>
                <w:rFonts w:ascii="Consolas" w:eastAsia="Consolas" w:hAnsi="Consolas" w:cs="Consolas"/>
                <w:sz w:val="22"/>
                <w:szCs w:val="22"/>
                <w:shd w:val="clear" w:color="auto" w:fill="EAEEF3"/>
              </w:rPr>
              <w:t>P130_présente_les_caractéristiques_de (a_les_caractéristiques_également_présentes_sur)</w:t>
            </w:r>
            <w:r>
              <w:t xml:space="preserve"> : </w:t>
            </w:r>
            <w:r>
              <w:rPr>
                <w:rFonts w:ascii="Consolas" w:eastAsia="Consolas" w:hAnsi="Consolas" w:cs="Consolas"/>
                <w:sz w:val="22"/>
                <w:szCs w:val="22"/>
                <w:shd w:val="clear" w:color="auto" w:fill="EAEEF3"/>
              </w:rPr>
              <w:t>E70_Chose</w:t>
            </w:r>
          </w:p>
          <w:p w14:paraId="21DEFFCB" w14:textId="77777777" w:rsidR="00BF18CF" w:rsidRDefault="00E51347">
            <w:r>
              <w:t>(</w:t>
            </w:r>
            <w:r>
              <w:rPr>
                <w:rFonts w:ascii="Consolas" w:eastAsia="Consolas" w:hAnsi="Consolas" w:cs="Consolas"/>
                <w:sz w:val="22"/>
                <w:szCs w:val="22"/>
                <w:shd w:val="clear" w:color="auto" w:fill="EAEEF3"/>
              </w:rPr>
              <w:t>P130.1_sorte_de_similarité</w:t>
            </w:r>
            <w:r>
              <w:t xml:space="preserve"> : </w:t>
            </w:r>
            <w:r>
              <w:rPr>
                <w:rFonts w:ascii="Consolas" w:eastAsia="Consolas" w:hAnsi="Consolas" w:cs="Consolas"/>
                <w:sz w:val="22"/>
                <w:szCs w:val="22"/>
                <w:shd w:val="clear" w:color="auto" w:fill="EAEEF3"/>
              </w:rPr>
              <w:t>E55_Type</w:t>
            </w:r>
            <w:r>
              <w:t>)</w:t>
            </w:r>
          </w:p>
        </w:tc>
      </w:tr>
      <w:tr w:rsidR="00BF18CF" w14:paraId="56101E82" w14:textId="77777777" w:rsidTr="00BF18CF">
        <w:tc>
          <w:tcPr>
            <w:tcW w:w="1738" w:type="dxa"/>
          </w:tcPr>
          <w:p w14:paraId="5FBAC7F3" w14:textId="34E284F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52" w:type="dxa"/>
          </w:tcPr>
          <w:p w14:paraId="1B959F61" w14:textId="77777777" w:rsidR="00BF18CF" w:rsidRDefault="00BF18CF">
            <w:pPr>
              <w:pBdr>
                <w:top w:val="nil"/>
                <w:left w:val="nil"/>
                <w:bottom w:val="nil"/>
                <w:right w:val="nil"/>
                <w:between w:val="nil"/>
              </w:pBdr>
              <w:spacing w:before="36" w:after="36"/>
              <w:rPr>
                <w:color w:val="000000"/>
              </w:rPr>
            </w:pPr>
          </w:p>
        </w:tc>
      </w:tr>
      <w:tr w:rsidR="00BF18CF" w14:paraId="279DF583" w14:textId="77777777" w:rsidTr="00BF18CF">
        <w:tc>
          <w:tcPr>
            <w:tcW w:w="1738" w:type="dxa"/>
          </w:tcPr>
          <w:p w14:paraId="436F4C00"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52" w:type="dxa"/>
          </w:tcPr>
          <w:p w14:paraId="1FC36F9F" w14:textId="77777777" w:rsidR="00BF18CF" w:rsidRDefault="00BF18CF">
            <w:pPr>
              <w:pBdr>
                <w:top w:val="nil"/>
                <w:left w:val="nil"/>
                <w:bottom w:val="nil"/>
                <w:right w:val="nil"/>
                <w:between w:val="nil"/>
              </w:pBdr>
              <w:spacing w:before="36" w:after="36"/>
              <w:rPr>
                <w:color w:val="000000"/>
              </w:rPr>
            </w:pPr>
          </w:p>
        </w:tc>
      </w:tr>
    </w:tbl>
    <w:p w14:paraId="71E078C1" w14:textId="77777777" w:rsidR="00BF18CF" w:rsidRDefault="00E51347">
      <w:pPr>
        <w:pStyle w:val="Heading3"/>
      </w:pPr>
      <w:bookmarkStart w:id="218" w:name="bookmark=id.1idq7dh" w:colFirst="0" w:colLast="0"/>
      <w:bookmarkStart w:id="219" w:name="_Toc144360852"/>
      <w:bookmarkEnd w:id="218"/>
      <w:r>
        <w:t>E71 Chose élaborée par l’humain</w:t>
      </w:r>
      <w:bookmarkEnd w:id="219"/>
    </w:p>
    <w:tbl>
      <w:tblPr>
        <w:tblStyle w:val="a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9"/>
        <w:gridCol w:w="8941"/>
      </w:tblGrid>
      <w:tr w:rsidR="00BF18CF" w14:paraId="05D71FB0" w14:textId="77777777" w:rsidTr="00BF18CF">
        <w:tc>
          <w:tcPr>
            <w:tcW w:w="1749" w:type="dxa"/>
          </w:tcPr>
          <w:p w14:paraId="4B857FF8"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1" w:type="dxa"/>
          </w:tcPr>
          <w:p w14:paraId="5B8B30AC" w14:textId="77777777" w:rsidR="00BF18CF" w:rsidRDefault="00E51347">
            <w:r>
              <w:rPr>
                <w:rFonts w:ascii="Consolas" w:eastAsia="Consolas" w:hAnsi="Consolas" w:cs="Consolas"/>
                <w:sz w:val="22"/>
                <w:szCs w:val="22"/>
                <w:shd w:val="clear" w:color="auto" w:fill="EAEEF3"/>
              </w:rPr>
              <w:t>E70_Chose</w:t>
            </w:r>
          </w:p>
        </w:tc>
      </w:tr>
      <w:tr w:rsidR="00BF18CF" w14:paraId="37267E1B" w14:textId="77777777" w:rsidTr="00BF18CF">
        <w:tc>
          <w:tcPr>
            <w:tcW w:w="1749" w:type="dxa"/>
          </w:tcPr>
          <w:p w14:paraId="28E75750" w14:textId="77777777" w:rsidR="00BF18CF" w:rsidRDefault="00E51347">
            <w:pPr>
              <w:pBdr>
                <w:top w:val="nil"/>
                <w:left w:val="nil"/>
                <w:bottom w:val="nil"/>
                <w:right w:val="nil"/>
                <w:between w:val="nil"/>
              </w:pBdr>
              <w:spacing w:before="36" w:after="36"/>
              <w:rPr>
                <w:color w:val="000000"/>
              </w:rPr>
            </w:pPr>
            <w:r>
              <w:rPr>
                <w:b/>
                <w:color w:val="000000"/>
              </w:rPr>
              <w:lastRenderedPageBreak/>
              <w:t>Super-classe de</w:t>
            </w:r>
          </w:p>
        </w:tc>
        <w:tc>
          <w:tcPr>
            <w:tcW w:w="8941" w:type="dxa"/>
          </w:tcPr>
          <w:p w14:paraId="4E0D70A1" w14:textId="77777777" w:rsidR="00BF18CF" w:rsidRDefault="00E51347">
            <w:r>
              <w:rPr>
                <w:rFonts w:ascii="Consolas" w:eastAsia="Consolas" w:hAnsi="Consolas" w:cs="Consolas"/>
                <w:sz w:val="22"/>
                <w:szCs w:val="22"/>
                <w:shd w:val="clear" w:color="auto" w:fill="EAEEF3"/>
              </w:rPr>
              <w:t>E24_Chose_matérielle_élaborée_par_l’humain</w:t>
            </w:r>
          </w:p>
          <w:p w14:paraId="74A69EC9" w14:textId="77777777" w:rsidR="00BF18CF" w:rsidRDefault="00E51347">
            <w:r>
              <w:rPr>
                <w:rFonts w:ascii="Consolas" w:eastAsia="Consolas" w:hAnsi="Consolas" w:cs="Consolas"/>
                <w:sz w:val="22"/>
                <w:szCs w:val="22"/>
                <w:shd w:val="clear" w:color="auto" w:fill="EAEEF3"/>
              </w:rPr>
              <w:t>E28_Objet_conceptuel</w:t>
            </w:r>
          </w:p>
        </w:tc>
      </w:tr>
      <w:tr w:rsidR="00BF18CF" w14:paraId="4C51152E" w14:textId="77777777" w:rsidTr="00BF18CF">
        <w:tc>
          <w:tcPr>
            <w:tcW w:w="1749" w:type="dxa"/>
          </w:tcPr>
          <w:p w14:paraId="5AC099A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1" w:type="dxa"/>
          </w:tcPr>
          <w:p w14:paraId="29D3F004" w14:textId="77777777" w:rsidR="00BF18CF" w:rsidRDefault="00E51347">
            <w:r>
              <w:t>Cette classe comprend les entités élaborées par l’humain distinctes et identifiables qui sont documentées comme des éléments uniques.</w:t>
            </w:r>
          </w:p>
          <w:p w14:paraId="42AB9A73" w14:textId="77777777" w:rsidR="00BF18CF" w:rsidRDefault="00E51347">
            <w:r>
              <w:t>Ces entités sont soit des produits de l’intellect ou des choses physiques élaborées par l’humain et sont caractérisées par une certaine stabilité. Elles peuvent, par exemple, prendre une forme matérielle physique et solide, être un encodage électronique ou être des concepts ou structures logiques.</w:t>
            </w:r>
          </w:p>
        </w:tc>
      </w:tr>
      <w:tr w:rsidR="00BF18CF" w14:paraId="58AF02A1" w14:textId="77777777" w:rsidTr="00BF18CF">
        <w:tc>
          <w:tcPr>
            <w:tcW w:w="1749" w:type="dxa"/>
          </w:tcPr>
          <w:p w14:paraId="5DA652A9"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1" w:type="dxa"/>
          </w:tcPr>
          <w:p w14:paraId="50BE0C23" w14:textId="77777777" w:rsidR="00BF18CF" w:rsidRDefault="00E51347">
            <w:pPr>
              <w:numPr>
                <w:ilvl w:val="0"/>
                <w:numId w:val="19"/>
              </w:numPr>
            </w:pPr>
            <w:r>
              <w:t>La cinquième symphonie de Beethoven (</w:t>
            </w:r>
            <w:r>
              <w:rPr>
                <w:rFonts w:ascii="Consolas" w:eastAsia="Consolas" w:hAnsi="Consolas" w:cs="Consolas"/>
                <w:sz w:val="22"/>
                <w:szCs w:val="22"/>
                <w:shd w:val="clear" w:color="auto" w:fill="EAEEF3"/>
              </w:rPr>
              <w:t>E73_Objet_informationnel</w:t>
            </w:r>
            <w:r>
              <w:t>) (Lockwood, 2015)</w:t>
            </w:r>
          </w:p>
          <w:p w14:paraId="25E48664" w14:textId="77777777" w:rsidR="00BF18CF" w:rsidRDefault="00E51347">
            <w:pPr>
              <w:numPr>
                <w:ilvl w:val="0"/>
                <w:numId w:val="19"/>
              </w:numPr>
            </w:pPr>
            <w:r>
              <w:t>Le David de Michel-Ange (Paoletti, 2015)</w:t>
            </w:r>
          </w:p>
          <w:p w14:paraId="4B045E7A" w14:textId="77777777" w:rsidR="00BF18CF" w:rsidRDefault="00E51347">
            <w:pPr>
              <w:numPr>
                <w:ilvl w:val="0"/>
                <w:numId w:val="19"/>
              </w:numPr>
            </w:pPr>
            <w:r>
              <w:t>La théorie de la relativité générale d’Einstein (</w:t>
            </w:r>
            <w:r>
              <w:rPr>
                <w:rFonts w:ascii="Consolas" w:eastAsia="Consolas" w:hAnsi="Consolas" w:cs="Consolas"/>
                <w:sz w:val="22"/>
                <w:szCs w:val="22"/>
                <w:shd w:val="clear" w:color="auto" w:fill="EAEEF3"/>
              </w:rPr>
              <w:t>E73_Objet_informationnel</w:t>
            </w:r>
            <w:r>
              <w:t>) (Hartle, 2003)</w:t>
            </w:r>
          </w:p>
          <w:p w14:paraId="01A95859" w14:textId="77777777" w:rsidR="00BF18CF" w:rsidRDefault="00E51347">
            <w:pPr>
              <w:numPr>
                <w:ilvl w:val="0"/>
                <w:numId w:val="19"/>
              </w:numPr>
            </w:pPr>
            <w:r>
              <w:t>Le taxon ‘Fringilla coelebs Linnaeus,1758’ (</w:t>
            </w:r>
            <w:r>
              <w:rPr>
                <w:rFonts w:ascii="Consolas" w:eastAsia="Consolas" w:hAnsi="Consolas" w:cs="Consolas"/>
                <w:sz w:val="22"/>
                <w:szCs w:val="22"/>
                <w:shd w:val="clear" w:color="auto" w:fill="EAEEF3"/>
              </w:rPr>
              <w:t>E55_Type</w:t>
            </w:r>
            <w:r>
              <w:t>) (Sinkevicius and Narusevicius, 2002)</w:t>
            </w:r>
          </w:p>
        </w:tc>
      </w:tr>
      <w:tr w:rsidR="00BF18CF" w14:paraId="229E3B17" w14:textId="77777777" w:rsidTr="00BF18CF">
        <w:tc>
          <w:tcPr>
            <w:tcW w:w="1749" w:type="dxa"/>
          </w:tcPr>
          <w:p w14:paraId="4D04D27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1" w:type="dxa"/>
          </w:tcPr>
          <w:p w14:paraId="4D0A63A9" w14:textId="77777777" w:rsidR="00BF18CF" w:rsidRDefault="00E51347">
            <w:r>
              <w:t>E71(x) ⇒ E70(x)</w:t>
            </w:r>
          </w:p>
        </w:tc>
      </w:tr>
      <w:tr w:rsidR="00BF18CF" w14:paraId="2AFD4704" w14:textId="77777777" w:rsidTr="00BF18CF">
        <w:tc>
          <w:tcPr>
            <w:tcW w:w="1749" w:type="dxa"/>
          </w:tcPr>
          <w:p w14:paraId="2B4D9C0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1" w:type="dxa"/>
          </w:tcPr>
          <w:p w14:paraId="5B6774A2" w14:textId="77777777" w:rsidR="00BF18CF" w:rsidRDefault="00E51347">
            <w:r>
              <w:rPr>
                <w:rFonts w:ascii="Consolas" w:eastAsia="Consolas" w:hAnsi="Consolas" w:cs="Consolas"/>
                <w:sz w:val="22"/>
                <w:szCs w:val="22"/>
                <w:shd w:val="clear" w:color="auto" w:fill="EAEEF3"/>
              </w:rPr>
              <w:t>P102_a_pour_titre (est_le_titre_de)</w:t>
            </w:r>
            <w:r>
              <w:t xml:space="preserve"> : </w:t>
            </w:r>
            <w:r>
              <w:rPr>
                <w:rFonts w:ascii="Consolas" w:eastAsia="Consolas" w:hAnsi="Consolas" w:cs="Consolas"/>
                <w:sz w:val="22"/>
                <w:szCs w:val="22"/>
                <w:shd w:val="clear" w:color="auto" w:fill="EAEEF3"/>
              </w:rPr>
              <w:t>E35_Titre</w:t>
            </w:r>
          </w:p>
          <w:p w14:paraId="2AF25E9E" w14:textId="77777777" w:rsidR="00BF18CF" w:rsidRDefault="00E51347">
            <w:r>
              <w:t>(</w:t>
            </w:r>
            <w:r>
              <w:rPr>
                <w:rFonts w:ascii="Consolas" w:eastAsia="Consolas" w:hAnsi="Consolas" w:cs="Consolas"/>
                <w:sz w:val="22"/>
                <w:szCs w:val="22"/>
                <w:shd w:val="clear" w:color="auto" w:fill="EAEEF3"/>
              </w:rPr>
              <w:t>P102.1_a_pour_type</w:t>
            </w:r>
            <w:r>
              <w:t xml:space="preserve"> : </w:t>
            </w:r>
            <w:r>
              <w:rPr>
                <w:rFonts w:ascii="Consolas" w:eastAsia="Consolas" w:hAnsi="Consolas" w:cs="Consolas"/>
                <w:sz w:val="22"/>
                <w:szCs w:val="22"/>
                <w:shd w:val="clear" w:color="auto" w:fill="EAEEF3"/>
              </w:rPr>
              <w:t>E55_Type</w:t>
            </w:r>
            <w:r>
              <w:t>)</w:t>
            </w:r>
          </w:p>
          <w:p w14:paraId="2F249F3A" w14:textId="77777777" w:rsidR="00BF18CF" w:rsidRDefault="00E51347">
            <w:r>
              <w:rPr>
                <w:rFonts w:ascii="Consolas" w:eastAsia="Consolas" w:hAnsi="Consolas" w:cs="Consolas"/>
                <w:sz w:val="22"/>
                <w:szCs w:val="22"/>
                <w:shd w:val="clear" w:color="auto" w:fill="EAEEF3"/>
              </w:rPr>
              <w:t>P103_a_eu_pour_raison_d'être (a_été_la_raison_d'être_de)</w:t>
            </w:r>
            <w:r>
              <w:t xml:space="preserve"> : </w:t>
            </w:r>
            <w:r>
              <w:rPr>
                <w:rFonts w:ascii="Consolas" w:eastAsia="Consolas" w:hAnsi="Consolas" w:cs="Consolas"/>
                <w:sz w:val="22"/>
                <w:szCs w:val="22"/>
                <w:shd w:val="clear" w:color="auto" w:fill="EAEEF3"/>
              </w:rPr>
              <w:t>E55_Type</w:t>
            </w:r>
          </w:p>
        </w:tc>
      </w:tr>
      <w:tr w:rsidR="00BF18CF" w14:paraId="059BF680" w14:textId="77777777" w:rsidTr="00BF18CF">
        <w:tc>
          <w:tcPr>
            <w:tcW w:w="1749" w:type="dxa"/>
          </w:tcPr>
          <w:p w14:paraId="519A4137" w14:textId="0A429E3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1" w:type="dxa"/>
          </w:tcPr>
          <w:p w14:paraId="25C4AFE0" w14:textId="77777777" w:rsidR="00BF18CF" w:rsidRDefault="00BF18CF">
            <w:pPr>
              <w:pBdr>
                <w:top w:val="nil"/>
                <w:left w:val="nil"/>
                <w:bottom w:val="nil"/>
                <w:right w:val="nil"/>
                <w:between w:val="nil"/>
              </w:pBdr>
              <w:spacing w:before="36" w:after="36"/>
              <w:rPr>
                <w:color w:val="000000"/>
              </w:rPr>
            </w:pPr>
          </w:p>
        </w:tc>
      </w:tr>
      <w:tr w:rsidR="00BF18CF" w14:paraId="1874E5CB" w14:textId="77777777" w:rsidTr="00BF18CF">
        <w:tc>
          <w:tcPr>
            <w:tcW w:w="1749" w:type="dxa"/>
          </w:tcPr>
          <w:p w14:paraId="4B4C42F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1" w:type="dxa"/>
          </w:tcPr>
          <w:p w14:paraId="47B22652" w14:textId="77777777" w:rsidR="00BF18CF" w:rsidRDefault="00BF18CF">
            <w:pPr>
              <w:pBdr>
                <w:top w:val="nil"/>
                <w:left w:val="nil"/>
                <w:bottom w:val="nil"/>
                <w:right w:val="nil"/>
                <w:between w:val="nil"/>
              </w:pBdr>
              <w:spacing w:before="36" w:after="36"/>
              <w:rPr>
                <w:color w:val="000000"/>
              </w:rPr>
            </w:pPr>
          </w:p>
        </w:tc>
      </w:tr>
    </w:tbl>
    <w:p w14:paraId="57A05398" w14:textId="77777777" w:rsidR="00BF18CF" w:rsidRDefault="00E51347">
      <w:pPr>
        <w:pStyle w:val="Heading3"/>
      </w:pPr>
      <w:bookmarkStart w:id="220" w:name="bookmark=id.42ddq1a" w:colFirst="0" w:colLast="0"/>
      <w:bookmarkStart w:id="221" w:name="_Toc144360853"/>
      <w:bookmarkEnd w:id="220"/>
      <w:r>
        <w:t>E72 Objet juridique</w:t>
      </w:r>
      <w:bookmarkEnd w:id="221"/>
    </w:p>
    <w:tbl>
      <w:tblPr>
        <w:tblStyle w:val="a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67"/>
        <w:gridCol w:w="8923"/>
      </w:tblGrid>
      <w:tr w:rsidR="00BF18CF" w14:paraId="2A606DD7" w14:textId="77777777" w:rsidTr="00BF18CF">
        <w:tc>
          <w:tcPr>
            <w:tcW w:w="1767" w:type="dxa"/>
          </w:tcPr>
          <w:p w14:paraId="3CB3C68F"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23" w:type="dxa"/>
          </w:tcPr>
          <w:p w14:paraId="57D53BB5" w14:textId="77777777" w:rsidR="00BF18CF" w:rsidRDefault="00E51347">
            <w:r>
              <w:rPr>
                <w:rFonts w:ascii="Consolas" w:eastAsia="Consolas" w:hAnsi="Consolas" w:cs="Consolas"/>
                <w:sz w:val="22"/>
                <w:szCs w:val="22"/>
                <w:shd w:val="clear" w:color="auto" w:fill="EAEEF3"/>
              </w:rPr>
              <w:t>E70_Chose</w:t>
            </w:r>
          </w:p>
        </w:tc>
      </w:tr>
      <w:tr w:rsidR="00BF18CF" w14:paraId="7219BEC5" w14:textId="77777777" w:rsidTr="00BF18CF">
        <w:tc>
          <w:tcPr>
            <w:tcW w:w="1767" w:type="dxa"/>
          </w:tcPr>
          <w:p w14:paraId="506297D6"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23" w:type="dxa"/>
          </w:tcPr>
          <w:p w14:paraId="7167D890" w14:textId="77777777" w:rsidR="00BF18CF" w:rsidRDefault="00E51347">
            <w:r>
              <w:rPr>
                <w:rFonts w:ascii="Consolas" w:eastAsia="Consolas" w:hAnsi="Consolas" w:cs="Consolas"/>
                <w:sz w:val="22"/>
                <w:szCs w:val="22"/>
                <w:shd w:val="clear" w:color="auto" w:fill="EAEEF3"/>
              </w:rPr>
              <w:t>E18_Chose_matérielle</w:t>
            </w:r>
          </w:p>
          <w:p w14:paraId="37EBF4C3" w14:textId="77777777" w:rsidR="00BF18CF" w:rsidRDefault="00E51347">
            <w:r>
              <w:rPr>
                <w:rFonts w:ascii="Consolas" w:eastAsia="Consolas" w:hAnsi="Consolas" w:cs="Consolas"/>
                <w:sz w:val="22"/>
                <w:szCs w:val="22"/>
                <w:shd w:val="clear" w:color="auto" w:fill="EAEEF3"/>
              </w:rPr>
              <w:t>E90_Objet_symbolique</w:t>
            </w:r>
          </w:p>
        </w:tc>
      </w:tr>
      <w:tr w:rsidR="00BF18CF" w14:paraId="44FA2463" w14:textId="77777777" w:rsidTr="00BF18CF">
        <w:tc>
          <w:tcPr>
            <w:tcW w:w="1767" w:type="dxa"/>
          </w:tcPr>
          <w:p w14:paraId="60B874E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23" w:type="dxa"/>
          </w:tcPr>
          <w:p w14:paraId="1F6A1DD6" w14:textId="77777777" w:rsidR="00BF18CF" w:rsidRDefault="00E51347">
            <w:r>
              <w:t xml:space="preserve">Cette classe comprend les entités matérielles ou immatérielles auxquelles des instances de </w:t>
            </w:r>
            <w:r>
              <w:rPr>
                <w:rFonts w:ascii="Consolas" w:eastAsia="Consolas" w:hAnsi="Consolas" w:cs="Consolas"/>
                <w:sz w:val="22"/>
                <w:szCs w:val="22"/>
                <w:shd w:val="clear" w:color="auto" w:fill="EAEEF3"/>
              </w:rPr>
              <w:t>E30_Droit</w:t>
            </w:r>
            <w:r>
              <w:t>, telles que le droit de propriété ou d'utilisation, peuvent être appliquées.</w:t>
            </w:r>
          </w:p>
          <w:p w14:paraId="450752A4" w14:textId="77777777" w:rsidR="00BF18CF" w:rsidRDefault="00E51347">
            <w:r>
              <w:t xml:space="preserve">Ceci est vrai pour toutes les instances de </w:t>
            </w:r>
            <w:r>
              <w:rPr>
                <w:rFonts w:ascii="Consolas" w:eastAsia="Consolas" w:hAnsi="Consolas" w:cs="Consolas"/>
                <w:sz w:val="22"/>
                <w:szCs w:val="22"/>
                <w:shd w:val="clear" w:color="auto" w:fill="EAEEF3"/>
              </w:rPr>
              <w:t>E18_Chose_matérielle</w:t>
            </w:r>
            <w:r>
              <w:t xml:space="preserve">. Dans le cas des instances de </w:t>
            </w:r>
            <w:r>
              <w:rPr>
                <w:rFonts w:ascii="Consolas" w:eastAsia="Consolas" w:hAnsi="Consolas" w:cs="Consolas"/>
                <w:sz w:val="22"/>
                <w:szCs w:val="22"/>
                <w:shd w:val="clear" w:color="auto" w:fill="EAEEF3"/>
              </w:rPr>
              <w:t>E28_Objet_conceptuel</w:t>
            </w:r>
            <w:r>
              <w:t xml:space="preserve">, cependant, leur identité ou la méthode de leur utilisation peuvent se révéler trop ambigus pour établir de manière fiable des instances de </w:t>
            </w:r>
            <w:r>
              <w:rPr>
                <w:rFonts w:ascii="Consolas" w:eastAsia="Consolas" w:hAnsi="Consolas" w:cs="Consolas"/>
                <w:sz w:val="22"/>
                <w:szCs w:val="22"/>
                <w:shd w:val="clear" w:color="auto" w:fill="EAEEF3"/>
              </w:rPr>
              <w:t>E30_Droit</w:t>
            </w:r>
            <w:r>
              <w:t>, comme dans le cas des taxons et des inspirations. La propriété d'entreprises est actuellement considérée comme étant hors du champ d'application du CIDOC CRM.</w:t>
            </w:r>
          </w:p>
        </w:tc>
      </w:tr>
      <w:tr w:rsidR="00BF18CF" w14:paraId="3431EA54" w14:textId="77777777" w:rsidTr="00BF18CF">
        <w:tc>
          <w:tcPr>
            <w:tcW w:w="1767" w:type="dxa"/>
          </w:tcPr>
          <w:p w14:paraId="4B52B664"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23" w:type="dxa"/>
          </w:tcPr>
          <w:p w14:paraId="3F2BFEA8" w14:textId="77777777" w:rsidR="00BF18CF" w:rsidRDefault="00E51347">
            <w:pPr>
              <w:numPr>
                <w:ilvl w:val="0"/>
                <w:numId w:val="19"/>
              </w:numPr>
            </w:pPr>
            <w:r>
              <w:t>Le diamant Cullinan (</w:t>
            </w:r>
            <w:r>
              <w:rPr>
                <w:rFonts w:ascii="Consolas" w:eastAsia="Consolas" w:hAnsi="Consolas" w:cs="Consolas"/>
                <w:sz w:val="22"/>
                <w:szCs w:val="22"/>
                <w:shd w:val="clear" w:color="auto" w:fill="EAEEF3"/>
              </w:rPr>
              <w:t>E19_Objet_matériel</w:t>
            </w:r>
            <w:r>
              <w:t>) (Scarratt et Shor, 2006)</w:t>
            </w:r>
          </w:p>
          <w:p w14:paraId="15D55531" w14:textId="77777777" w:rsidR="00BF18CF" w:rsidRDefault="00E51347">
            <w:pPr>
              <w:numPr>
                <w:ilvl w:val="0"/>
                <w:numId w:val="19"/>
              </w:numPr>
            </w:pPr>
            <w:r>
              <w:t xml:space="preserve">Définition du Modèle conceptuel de référence </w:t>
            </w:r>
            <w:proofErr w:type="gramStart"/>
            <w:r>
              <w:t>de  CIDOC</w:t>
            </w:r>
            <w:proofErr w:type="gramEnd"/>
            <w:r>
              <w:t>, Version 5.0.4 (</w:t>
            </w:r>
            <w:r>
              <w:rPr>
                <w:rFonts w:ascii="Consolas" w:eastAsia="Consolas" w:hAnsi="Consolas" w:cs="Consolas"/>
                <w:sz w:val="22"/>
                <w:szCs w:val="22"/>
                <w:shd w:val="clear" w:color="auto" w:fill="EAEEF3"/>
              </w:rPr>
              <w:t>E73_Objet_informationnel</w:t>
            </w:r>
            <w:r>
              <w:t>) (ISO 21127 : 2004)</w:t>
            </w:r>
          </w:p>
        </w:tc>
      </w:tr>
      <w:tr w:rsidR="00BF18CF" w14:paraId="18832BCB" w14:textId="77777777" w:rsidTr="00BF18CF">
        <w:tc>
          <w:tcPr>
            <w:tcW w:w="1767" w:type="dxa"/>
          </w:tcPr>
          <w:p w14:paraId="79F774D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23" w:type="dxa"/>
          </w:tcPr>
          <w:p w14:paraId="2549BA77" w14:textId="77777777" w:rsidR="00BF18CF" w:rsidRDefault="00E51347">
            <w:r>
              <w:t>E72(x) ⇒ E70(x)</w:t>
            </w:r>
          </w:p>
        </w:tc>
      </w:tr>
      <w:tr w:rsidR="00BF18CF" w14:paraId="737E9F77" w14:textId="77777777" w:rsidTr="00BF18CF">
        <w:tc>
          <w:tcPr>
            <w:tcW w:w="1767" w:type="dxa"/>
          </w:tcPr>
          <w:p w14:paraId="7B33C5F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23" w:type="dxa"/>
          </w:tcPr>
          <w:p w14:paraId="0C3D7510" w14:textId="77777777" w:rsidR="00BF18CF" w:rsidRDefault="00E51347">
            <w:r>
              <w:rPr>
                <w:rFonts w:ascii="Consolas" w:eastAsia="Consolas" w:hAnsi="Consolas" w:cs="Consolas"/>
                <w:sz w:val="22"/>
                <w:szCs w:val="22"/>
                <w:shd w:val="clear" w:color="auto" w:fill="EAEEF3"/>
              </w:rPr>
              <w:t>P104_est_soumis_à (s’applique_à)</w:t>
            </w:r>
            <w:r>
              <w:t xml:space="preserve"> : </w:t>
            </w:r>
            <w:r>
              <w:rPr>
                <w:rFonts w:ascii="Consolas" w:eastAsia="Consolas" w:hAnsi="Consolas" w:cs="Consolas"/>
                <w:sz w:val="22"/>
                <w:szCs w:val="22"/>
                <w:shd w:val="clear" w:color="auto" w:fill="EAEEF3"/>
              </w:rPr>
              <w:t>E30_Droit</w:t>
            </w:r>
          </w:p>
          <w:p w14:paraId="2CC09771" w14:textId="77777777" w:rsidR="00BF18CF" w:rsidRDefault="00E51347">
            <w:r>
              <w:rPr>
                <w:rFonts w:ascii="Consolas" w:eastAsia="Consolas" w:hAnsi="Consolas" w:cs="Consolas"/>
                <w:sz w:val="22"/>
                <w:szCs w:val="22"/>
                <w:shd w:val="clear" w:color="auto" w:fill="EAEEF3"/>
              </w:rPr>
              <w:t>P105_droit_détenu_par (détient_le_droit_sur)</w:t>
            </w:r>
            <w:r>
              <w:t xml:space="preserve"> : </w:t>
            </w:r>
            <w:r>
              <w:rPr>
                <w:rFonts w:ascii="Consolas" w:eastAsia="Consolas" w:hAnsi="Consolas" w:cs="Consolas"/>
                <w:sz w:val="22"/>
                <w:szCs w:val="22"/>
                <w:shd w:val="clear" w:color="auto" w:fill="EAEEF3"/>
              </w:rPr>
              <w:t>E39_Actant</w:t>
            </w:r>
          </w:p>
        </w:tc>
      </w:tr>
      <w:tr w:rsidR="00BF18CF" w14:paraId="0A08F2F7" w14:textId="77777777" w:rsidTr="00BF18CF">
        <w:tc>
          <w:tcPr>
            <w:tcW w:w="1767" w:type="dxa"/>
          </w:tcPr>
          <w:p w14:paraId="5BB89B21" w14:textId="3FFD9426"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23" w:type="dxa"/>
          </w:tcPr>
          <w:p w14:paraId="5424276A" w14:textId="77777777" w:rsidR="00BF18CF" w:rsidRDefault="00BF18CF">
            <w:pPr>
              <w:pBdr>
                <w:top w:val="nil"/>
                <w:left w:val="nil"/>
                <w:bottom w:val="nil"/>
                <w:right w:val="nil"/>
                <w:between w:val="nil"/>
              </w:pBdr>
              <w:spacing w:before="36" w:after="36"/>
              <w:rPr>
                <w:color w:val="000000"/>
              </w:rPr>
            </w:pPr>
          </w:p>
        </w:tc>
      </w:tr>
      <w:tr w:rsidR="00BF18CF" w14:paraId="56A6D7C4" w14:textId="77777777" w:rsidTr="00BF18CF">
        <w:tc>
          <w:tcPr>
            <w:tcW w:w="1767" w:type="dxa"/>
          </w:tcPr>
          <w:p w14:paraId="145D9EF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23" w:type="dxa"/>
          </w:tcPr>
          <w:p w14:paraId="66A803CE" w14:textId="77777777" w:rsidR="00BF18CF" w:rsidRDefault="00BF18CF">
            <w:pPr>
              <w:pBdr>
                <w:top w:val="nil"/>
                <w:left w:val="nil"/>
                <w:bottom w:val="nil"/>
                <w:right w:val="nil"/>
                <w:between w:val="nil"/>
              </w:pBdr>
              <w:spacing w:before="36" w:after="36"/>
              <w:rPr>
                <w:color w:val="000000"/>
              </w:rPr>
            </w:pPr>
          </w:p>
        </w:tc>
      </w:tr>
    </w:tbl>
    <w:p w14:paraId="59B0638D" w14:textId="77777777" w:rsidR="00BF18CF" w:rsidRDefault="00E51347">
      <w:pPr>
        <w:pStyle w:val="Heading3"/>
      </w:pPr>
      <w:bookmarkStart w:id="222" w:name="bookmark=id.2hio093" w:colFirst="0" w:colLast="0"/>
      <w:bookmarkStart w:id="223" w:name="_Toc144360854"/>
      <w:bookmarkEnd w:id="222"/>
      <w:r>
        <w:t>E73 Objet informationnel</w:t>
      </w:r>
      <w:bookmarkEnd w:id="223"/>
    </w:p>
    <w:tbl>
      <w:tblPr>
        <w:tblStyle w:val="a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62"/>
        <w:gridCol w:w="8928"/>
      </w:tblGrid>
      <w:tr w:rsidR="00BF18CF" w14:paraId="36077E10" w14:textId="77777777" w:rsidTr="00BF18CF">
        <w:tc>
          <w:tcPr>
            <w:tcW w:w="1762" w:type="dxa"/>
          </w:tcPr>
          <w:p w14:paraId="5EE800E5"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28" w:type="dxa"/>
          </w:tcPr>
          <w:p w14:paraId="057747E2" w14:textId="77777777" w:rsidR="00BF18CF" w:rsidRDefault="00E51347">
            <w:r>
              <w:rPr>
                <w:rFonts w:ascii="Consolas" w:eastAsia="Consolas" w:hAnsi="Consolas" w:cs="Consolas"/>
                <w:sz w:val="22"/>
                <w:szCs w:val="22"/>
                <w:shd w:val="clear" w:color="auto" w:fill="EAEEF3"/>
              </w:rPr>
              <w:t>E89_Objet_propositionnel</w:t>
            </w:r>
          </w:p>
          <w:p w14:paraId="4C0D51CA" w14:textId="77777777" w:rsidR="00BF18CF" w:rsidRDefault="00E51347">
            <w:r>
              <w:rPr>
                <w:rFonts w:ascii="Consolas" w:eastAsia="Consolas" w:hAnsi="Consolas" w:cs="Consolas"/>
                <w:sz w:val="22"/>
                <w:szCs w:val="22"/>
                <w:shd w:val="clear" w:color="auto" w:fill="EAEEF3"/>
              </w:rPr>
              <w:t>E90_Objet_symbolique</w:t>
            </w:r>
          </w:p>
        </w:tc>
      </w:tr>
      <w:tr w:rsidR="00BF18CF" w14:paraId="7BC92C9E" w14:textId="77777777" w:rsidTr="00BF18CF">
        <w:tc>
          <w:tcPr>
            <w:tcW w:w="1762" w:type="dxa"/>
          </w:tcPr>
          <w:p w14:paraId="587BF0D2"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28" w:type="dxa"/>
          </w:tcPr>
          <w:p w14:paraId="25D28D4B" w14:textId="77777777" w:rsidR="00BF18CF" w:rsidRDefault="00E51347">
            <w:r>
              <w:rPr>
                <w:rFonts w:ascii="Consolas" w:eastAsia="Consolas" w:hAnsi="Consolas" w:cs="Consolas"/>
                <w:sz w:val="22"/>
                <w:szCs w:val="22"/>
                <w:shd w:val="clear" w:color="auto" w:fill="EAEEF3"/>
              </w:rPr>
              <w:t>E29_Conceptualisation_ou_procédure</w:t>
            </w:r>
          </w:p>
          <w:p w14:paraId="19834A65" w14:textId="77777777" w:rsidR="00BF18CF" w:rsidRDefault="00E51347">
            <w:r>
              <w:rPr>
                <w:rFonts w:ascii="Consolas" w:eastAsia="Consolas" w:hAnsi="Consolas" w:cs="Consolas"/>
                <w:sz w:val="22"/>
                <w:szCs w:val="22"/>
                <w:shd w:val="clear" w:color="auto" w:fill="EAEEF3"/>
              </w:rPr>
              <w:t>E31_Document</w:t>
            </w:r>
          </w:p>
          <w:p w14:paraId="5CC9B77E" w14:textId="77777777" w:rsidR="00BF18CF" w:rsidRDefault="00E51347">
            <w:r>
              <w:rPr>
                <w:rFonts w:ascii="Consolas" w:eastAsia="Consolas" w:hAnsi="Consolas" w:cs="Consolas"/>
                <w:sz w:val="22"/>
                <w:szCs w:val="22"/>
                <w:shd w:val="clear" w:color="auto" w:fill="EAEEF3"/>
              </w:rPr>
              <w:t>E33_Objet_linguistique</w:t>
            </w:r>
          </w:p>
          <w:p w14:paraId="41913C75" w14:textId="77777777" w:rsidR="00BF18CF" w:rsidRDefault="00E51347">
            <w:r>
              <w:rPr>
                <w:rFonts w:ascii="Consolas" w:eastAsia="Consolas" w:hAnsi="Consolas" w:cs="Consolas"/>
                <w:sz w:val="22"/>
                <w:szCs w:val="22"/>
                <w:shd w:val="clear" w:color="auto" w:fill="EAEEF3"/>
              </w:rPr>
              <w:t>E36_Entité_visuelle</w:t>
            </w:r>
          </w:p>
        </w:tc>
      </w:tr>
      <w:tr w:rsidR="00BF18CF" w14:paraId="7CDA13A9" w14:textId="77777777" w:rsidTr="00BF18CF">
        <w:tc>
          <w:tcPr>
            <w:tcW w:w="1762" w:type="dxa"/>
          </w:tcPr>
          <w:p w14:paraId="6FC19A9D"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28" w:type="dxa"/>
          </w:tcPr>
          <w:p w14:paraId="7155648E" w14:textId="77777777" w:rsidR="00BF18CF" w:rsidRDefault="00E51347">
            <w:r>
              <w:t xml:space="preserve">Cette classe comprend des entités immatérielles identifiables, telles que des poèmes, des blagues, des jeux de données, des images, des textes, </w:t>
            </w:r>
            <w:proofErr w:type="gramStart"/>
            <w:r>
              <w:t>des objets multimédia</w:t>
            </w:r>
            <w:proofErr w:type="gramEnd"/>
            <w:r>
              <w:t xml:space="preserve">, des prescriptions procédurales, des codes de programmation informatiques, des algorithmes ou des formules mathématiques, qui possèdent de manière objective une structure reconnaissable et qui sont documentées comme des éléments uniques. La structure d’encodage connue sous le nom de « graphe nommé » appartient aussi à cette classe, de sorte que chaque « graphe nommé » est une instance de </w:t>
            </w:r>
            <w:r>
              <w:rPr>
                <w:rFonts w:ascii="Consolas" w:eastAsia="Consolas" w:hAnsi="Consolas" w:cs="Consolas"/>
                <w:sz w:val="22"/>
                <w:szCs w:val="22"/>
                <w:shd w:val="clear" w:color="auto" w:fill="EAEEF3"/>
              </w:rPr>
              <w:t>E73_Objet_informationnel</w:t>
            </w:r>
            <w:r>
              <w:t>.</w:t>
            </w:r>
          </w:p>
          <w:p w14:paraId="73FF8E99" w14:textId="77777777" w:rsidR="00BF18CF" w:rsidRDefault="00E51347">
            <w:r>
              <w:t xml:space="preserve">Une instance de </w:t>
            </w:r>
            <w:r>
              <w:rPr>
                <w:rFonts w:ascii="Consolas" w:eastAsia="Consolas" w:hAnsi="Consolas" w:cs="Consolas"/>
                <w:sz w:val="22"/>
                <w:szCs w:val="22"/>
                <w:shd w:val="clear" w:color="auto" w:fill="EAEEF3"/>
              </w:rPr>
              <w:t>E73_Objet_informationnel</w:t>
            </w:r>
            <w:r>
              <w:t xml:space="preserve"> ne dépend pas d’un support physique, elle peut inclure la mémoire humaine, et peut exister sur un ou plusieurs supports simultanément.</w:t>
            </w:r>
          </w:p>
          <w:p w14:paraId="2E0E7CE4" w14:textId="77777777" w:rsidR="00BF18CF" w:rsidRDefault="00E51347">
            <w:r>
              <w:t xml:space="preserve">Les instances de </w:t>
            </w:r>
            <w:r>
              <w:rPr>
                <w:rFonts w:ascii="Consolas" w:eastAsia="Consolas" w:hAnsi="Consolas" w:cs="Consolas"/>
                <w:sz w:val="22"/>
                <w:szCs w:val="22"/>
                <w:shd w:val="clear" w:color="auto" w:fill="EAEEF3"/>
              </w:rPr>
              <w:t>E73_Objet_informationnel</w:t>
            </w:r>
            <w:r>
              <w:t xml:space="preserve"> de nature linguistique devraient être déclarées comme des instances de la sous-classe </w:t>
            </w:r>
            <w:r>
              <w:rPr>
                <w:rFonts w:ascii="Consolas" w:eastAsia="Consolas" w:hAnsi="Consolas" w:cs="Consolas"/>
                <w:sz w:val="22"/>
                <w:szCs w:val="22"/>
                <w:shd w:val="clear" w:color="auto" w:fill="EAEEF3"/>
              </w:rPr>
              <w:t>E33_Objet_linguistique</w:t>
            </w:r>
            <w:r>
              <w:t xml:space="preserve">. Les instances de </w:t>
            </w:r>
            <w:r>
              <w:rPr>
                <w:rFonts w:ascii="Consolas" w:eastAsia="Consolas" w:hAnsi="Consolas" w:cs="Consolas"/>
                <w:sz w:val="22"/>
                <w:szCs w:val="22"/>
                <w:shd w:val="clear" w:color="auto" w:fill="EAEEF3"/>
              </w:rPr>
              <w:t>E73_Objet_informationnel</w:t>
            </w:r>
            <w:r>
              <w:t xml:space="preserve"> de nature documentaire devraient être déclarées comme des instances de la sous-classe </w:t>
            </w:r>
            <w:r>
              <w:rPr>
                <w:rFonts w:ascii="Consolas" w:eastAsia="Consolas" w:hAnsi="Consolas" w:cs="Consolas"/>
                <w:sz w:val="22"/>
                <w:szCs w:val="22"/>
                <w:shd w:val="clear" w:color="auto" w:fill="EAEEF3"/>
              </w:rPr>
              <w:t>E31_Document</w:t>
            </w:r>
            <w:r>
              <w:t xml:space="preserve">. Les entités conceptuelles telles que les types et classes ou les idées sans expression reproductible ne sont pas des instances de </w:t>
            </w:r>
            <w:r>
              <w:rPr>
                <w:rFonts w:ascii="Consolas" w:eastAsia="Consolas" w:hAnsi="Consolas" w:cs="Consolas"/>
                <w:sz w:val="22"/>
                <w:szCs w:val="22"/>
                <w:shd w:val="clear" w:color="auto" w:fill="EAEEF3"/>
              </w:rPr>
              <w:t>E73_Objet_informationnel</w:t>
            </w:r>
            <w:r>
              <w:t>.</w:t>
            </w:r>
          </w:p>
        </w:tc>
      </w:tr>
      <w:tr w:rsidR="00BF18CF" w14:paraId="66B7DB2B" w14:textId="77777777" w:rsidTr="00BF18CF">
        <w:tc>
          <w:tcPr>
            <w:tcW w:w="1762" w:type="dxa"/>
          </w:tcPr>
          <w:p w14:paraId="55313C9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28" w:type="dxa"/>
          </w:tcPr>
          <w:p w14:paraId="5CEF6DE9" w14:textId="77777777" w:rsidR="00BF18CF" w:rsidRDefault="00E51347">
            <w:pPr>
              <w:numPr>
                <w:ilvl w:val="0"/>
                <w:numId w:val="19"/>
              </w:numPr>
            </w:pPr>
            <w:r>
              <w:t>L’image BM000038850.JPG du Clayton Herbarium de Londres (</w:t>
            </w:r>
            <w:r>
              <w:rPr>
                <w:rFonts w:ascii="Consolas" w:eastAsia="Consolas" w:hAnsi="Consolas" w:cs="Consolas"/>
                <w:sz w:val="22"/>
                <w:szCs w:val="22"/>
                <w:shd w:val="clear" w:color="auto" w:fill="EAEEF3"/>
              </w:rPr>
              <w:t>E31_Document</w:t>
            </w:r>
            <w:r>
              <w:t>)</w:t>
            </w:r>
          </w:p>
          <w:p w14:paraId="68586ECA" w14:textId="77777777" w:rsidR="00BF18CF" w:rsidRDefault="00E51347">
            <w:pPr>
              <w:numPr>
                <w:ilvl w:val="0"/>
                <w:numId w:val="19"/>
              </w:numPr>
            </w:pPr>
            <w:r>
              <w:t xml:space="preserve">Le poème </w:t>
            </w:r>
            <w:r>
              <w:rPr>
                <w:i/>
              </w:rPr>
              <w:t>Le Corbeau</w:t>
            </w:r>
            <w:r>
              <w:t xml:space="preserve"> (</w:t>
            </w:r>
            <w:r>
              <w:rPr>
                <w:i/>
              </w:rPr>
              <w:t>The Raven</w:t>
            </w:r>
            <w:r>
              <w:t>) d’E. A. Poe (Poe, 1869)</w:t>
            </w:r>
          </w:p>
          <w:p w14:paraId="239F31D9" w14:textId="77777777" w:rsidR="00BF18CF" w:rsidRDefault="00E51347">
            <w:pPr>
              <w:numPr>
                <w:ilvl w:val="0"/>
                <w:numId w:val="19"/>
              </w:numPr>
            </w:pPr>
            <w:r>
              <w:lastRenderedPageBreak/>
              <w:t xml:space="preserve">Le film </w:t>
            </w:r>
            <w:r>
              <w:rPr>
                <w:i/>
              </w:rPr>
              <w:t>Les sept Samouraïs</w:t>
            </w:r>
            <w:r>
              <w:t xml:space="preserve"> (</w:t>
            </w:r>
            <w:r>
              <w:rPr>
                <w:rFonts w:ascii="MS Mincho" w:eastAsia="MS Mincho" w:hAnsi="MS Mincho" w:cs="MS Mincho"/>
                <w:i/>
              </w:rPr>
              <w:t>七人の侍</w:t>
            </w:r>
            <w:r>
              <w:t>) par Akira Kurosawa (Mellen, 2002)</w:t>
            </w:r>
          </w:p>
          <w:p w14:paraId="2D480BFA" w14:textId="77777777" w:rsidR="00BF18CF" w:rsidRDefault="00E51347">
            <w:pPr>
              <w:numPr>
                <w:ilvl w:val="0"/>
                <w:numId w:val="19"/>
              </w:numPr>
            </w:pPr>
            <w:r>
              <w:t>Les équations de Maxwell (Huray, 2010)</w:t>
            </w:r>
          </w:p>
          <w:p w14:paraId="40004DDD" w14:textId="77777777" w:rsidR="00BF18CF" w:rsidRDefault="00E51347">
            <w:pPr>
              <w:numPr>
                <w:ilvl w:val="0"/>
                <w:numId w:val="19"/>
              </w:numPr>
            </w:pPr>
            <w:r>
              <w:t>Le AAT du Getty publié en données ouvertes et liées, accédé le 2014-10-01</w:t>
            </w:r>
          </w:p>
        </w:tc>
      </w:tr>
      <w:tr w:rsidR="00BF18CF" w14:paraId="1C6D8AB6" w14:textId="77777777" w:rsidTr="00BF18CF">
        <w:tc>
          <w:tcPr>
            <w:tcW w:w="1762" w:type="dxa"/>
          </w:tcPr>
          <w:p w14:paraId="365FF031"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28" w:type="dxa"/>
          </w:tcPr>
          <w:p w14:paraId="198E4D0A" w14:textId="77777777" w:rsidR="00BF18CF" w:rsidRDefault="00E51347">
            <w:pPr>
              <w:numPr>
                <w:ilvl w:val="0"/>
                <w:numId w:val="19"/>
              </w:numPr>
            </w:pPr>
            <w:r>
              <w:t>E73(x) ⇒ E89(x)</w:t>
            </w:r>
          </w:p>
          <w:p w14:paraId="032E25D2" w14:textId="77777777" w:rsidR="00BF18CF" w:rsidRDefault="00E51347">
            <w:pPr>
              <w:numPr>
                <w:ilvl w:val="0"/>
                <w:numId w:val="19"/>
              </w:numPr>
            </w:pPr>
            <w:r>
              <w:t>E73(x) ⇒ E90(x)</w:t>
            </w:r>
          </w:p>
        </w:tc>
      </w:tr>
      <w:tr w:rsidR="00BF18CF" w14:paraId="54F162DC" w14:textId="77777777" w:rsidTr="00BF18CF">
        <w:tc>
          <w:tcPr>
            <w:tcW w:w="1762" w:type="dxa"/>
          </w:tcPr>
          <w:p w14:paraId="316F1C0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28" w:type="dxa"/>
          </w:tcPr>
          <w:p w14:paraId="0E93BE1F" w14:textId="77777777" w:rsidR="00BF18CF" w:rsidRDefault="00E51347">
            <w:r>
              <w:rPr>
                <w:rFonts w:ascii="Consolas" w:eastAsia="Consolas" w:hAnsi="Consolas" w:cs="Consolas"/>
                <w:sz w:val="22"/>
                <w:szCs w:val="22"/>
                <w:shd w:val="clear" w:color="auto" w:fill="EAEEF3"/>
              </w:rPr>
              <w:t>P165_inclut (est_inclut_dans)</w:t>
            </w:r>
            <w:r>
              <w:t xml:space="preserve">: </w:t>
            </w:r>
            <w:r>
              <w:rPr>
                <w:rFonts w:ascii="Consolas" w:eastAsia="Consolas" w:hAnsi="Consolas" w:cs="Consolas"/>
                <w:sz w:val="22"/>
                <w:szCs w:val="22"/>
                <w:shd w:val="clear" w:color="auto" w:fill="EAEEF3"/>
              </w:rPr>
              <w:t>E90_Objet_symbolique</w:t>
            </w:r>
          </w:p>
        </w:tc>
      </w:tr>
      <w:tr w:rsidR="00BF18CF" w14:paraId="3813F872" w14:textId="77777777" w:rsidTr="00BF18CF">
        <w:tc>
          <w:tcPr>
            <w:tcW w:w="1762" w:type="dxa"/>
          </w:tcPr>
          <w:p w14:paraId="4B6A6338" w14:textId="124E79B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28" w:type="dxa"/>
          </w:tcPr>
          <w:p w14:paraId="4B6D3841" w14:textId="77777777" w:rsidR="00BF18CF" w:rsidRDefault="00BF18CF">
            <w:pPr>
              <w:pBdr>
                <w:top w:val="nil"/>
                <w:left w:val="nil"/>
                <w:bottom w:val="nil"/>
                <w:right w:val="nil"/>
                <w:between w:val="nil"/>
              </w:pBdr>
              <w:spacing w:before="36" w:after="36"/>
              <w:rPr>
                <w:color w:val="000000"/>
              </w:rPr>
            </w:pPr>
          </w:p>
        </w:tc>
      </w:tr>
      <w:tr w:rsidR="00BF18CF" w14:paraId="5A052145" w14:textId="77777777" w:rsidTr="00BF18CF">
        <w:tc>
          <w:tcPr>
            <w:tcW w:w="1762" w:type="dxa"/>
          </w:tcPr>
          <w:p w14:paraId="712EF74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28" w:type="dxa"/>
          </w:tcPr>
          <w:p w14:paraId="31D1D5D5" w14:textId="77777777" w:rsidR="00BF18CF" w:rsidRDefault="00BF18CF">
            <w:pPr>
              <w:pBdr>
                <w:top w:val="nil"/>
                <w:left w:val="nil"/>
                <w:bottom w:val="nil"/>
                <w:right w:val="nil"/>
                <w:between w:val="nil"/>
              </w:pBdr>
              <w:spacing w:before="36" w:after="36"/>
              <w:rPr>
                <w:color w:val="000000"/>
              </w:rPr>
            </w:pPr>
          </w:p>
        </w:tc>
      </w:tr>
    </w:tbl>
    <w:p w14:paraId="11DA4C8E" w14:textId="77777777" w:rsidR="00BF18CF" w:rsidRDefault="00E51347">
      <w:pPr>
        <w:pStyle w:val="Heading3"/>
      </w:pPr>
      <w:bookmarkStart w:id="224" w:name="bookmark=id.wnyagw" w:colFirst="0" w:colLast="0"/>
      <w:bookmarkStart w:id="225" w:name="_Toc144360855"/>
      <w:bookmarkEnd w:id="224"/>
      <w:r>
        <w:t>E74 Groupe</w:t>
      </w:r>
      <w:bookmarkEnd w:id="225"/>
    </w:p>
    <w:tbl>
      <w:tblPr>
        <w:tblStyle w:val="a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53"/>
        <w:gridCol w:w="8937"/>
      </w:tblGrid>
      <w:tr w:rsidR="00BF18CF" w14:paraId="1E718437" w14:textId="77777777" w:rsidTr="00BF18CF">
        <w:tc>
          <w:tcPr>
            <w:tcW w:w="1753" w:type="dxa"/>
          </w:tcPr>
          <w:p w14:paraId="7EB79A0E"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37" w:type="dxa"/>
          </w:tcPr>
          <w:p w14:paraId="649E0D4F" w14:textId="77777777" w:rsidR="00BF18CF" w:rsidRDefault="00E51347">
            <w:r>
              <w:rPr>
                <w:rFonts w:ascii="Consolas" w:eastAsia="Consolas" w:hAnsi="Consolas" w:cs="Consolas"/>
                <w:sz w:val="22"/>
                <w:szCs w:val="22"/>
                <w:shd w:val="clear" w:color="auto" w:fill="EAEEF3"/>
              </w:rPr>
              <w:t>E39_Actant</w:t>
            </w:r>
          </w:p>
        </w:tc>
      </w:tr>
      <w:tr w:rsidR="00BF18CF" w14:paraId="13B5A37C" w14:textId="77777777" w:rsidTr="00BF18CF">
        <w:tc>
          <w:tcPr>
            <w:tcW w:w="1753" w:type="dxa"/>
          </w:tcPr>
          <w:p w14:paraId="03E9F6C5"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37" w:type="dxa"/>
          </w:tcPr>
          <w:p w14:paraId="41AC8D4D" w14:textId="77777777" w:rsidR="00BF18CF" w:rsidRDefault="00BF18CF">
            <w:pPr>
              <w:pBdr>
                <w:top w:val="nil"/>
                <w:left w:val="nil"/>
                <w:bottom w:val="nil"/>
                <w:right w:val="nil"/>
                <w:between w:val="nil"/>
              </w:pBdr>
              <w:spacing w:before="36" w:after="36"/>
              <w:rPr>
                <w:color w:val="000000"/>
              </w:rPr>
            </w:pPr>
          </w:p>
        </w:tc>
      </w:tr>
      <w:tr w:rsidR="00BF18CF" w14:paraId="0C94243E" w14:textId="77777777" w:rsidTr="00BF18CF">
        <w:tc>
          <w:tcPr>
            <w:tcW w:w="1753" w:type="dxa"/>
          </w:tcPr>
          <w:p w14:paraId="3A4D7DB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37" w:type="dxa"/>
          </w:tcPr>
          <w:p w14:paraId="49DD0C74" w14:textId="77777777" w:rsidR="00BF18CF" w:rsidRDefault="00E51347">
            <w:r>
              <w:t xml:space="preserve">Cette classe comprend les réunions ou organisations d’individus humains ou de groupes qui agissent collectivement et de manière similaire en raison d’une relation commune qui les unit. De manière générale, cette classe comprend aussi les positions officielles considérées dans certains contextes comme relevant d’un seul actant, indépendamment du détenteur actuel du titre au moment où il est enregistré (par exemple, le président d’un pays). Il est possible, dans de tels cas, que le groupe n’ait jamais plus d’un seul membre. Un pseudonyme partagé (c.-à-d. un nom qui semble référer à un individu, mais qui en fait est un rôle endossé par deux personnes ou plus) est un cas particulier relevant de </w:t>
            </w:r>
            <w:r>
              <w:rPr>
                <w:rFonts w:ascii="Consolas" w:eastAsia="Consolas" w:hAnsi="Consolas" w:cs="Consolas"/>
                <w:sz w:val="22"/>
                <w:szCs w:val="22"/>
                <w:shd w:val="clear" w:color="auto" w:fill="EAEEF3"/>
              </w:rPr>
              <w:t>E74_Groupe</w:t>
            </w:r>
            <w:r>
              <w:t>.</w:t>
            </w:r>
          </w:p>
          <w:p w14:paraId="4033ADB6" w14:textId="77777777" w:rsidR="00BF18CF" w:rsidRDefault="00E51347">
            <w:r>
              <w:t xml:space="preserve">Un rassemblement de personnes devient une instance de </w:t>
            </w:r>
            <w:r>
              <w:rPr>
                <w:rFonts w:ascii="Consolas" w:eastAsia="Consolas" w:hAnsi="Consolas" w:cs="Consolas"/>
                <w:sz w:val="22"/>
                <w:szCs w:val="22"/>
                <w:shd w:val="clear" w:color="auto" w:fill="EAEEF3"/>
              </w:rPr>
              <w:t>E74_Groupe</w:t>
            </w:r>
            <w:r>
              <w:t xml:space="preserve"> lorsqu’il démontre des caractéristiques généralement associées à un ensemble d’idées ou de croyances communes, ou d’actions effectuées de manière commune. De telles caractéristiques peuvent prendre plusieurs formes : communications; création d’artéfacts communs; mission commune comme l’étude, la dévotion, les affaires, les sports, etc.</w:t>
            </w:r>
          </w:p>
          <w:p w14:paraId="199BE45B" w14:textId="77777777" w:rsidR="00BF18CF" w:rsidRDefault="00E51347">
            <w:r>
              <w:t xml:space="preserve">La nationalité peut être modélisée comme l’appartenance d’une instance de </w:t>
            </w:r>
            <w:r>
              <w:rPr>
                <w:rFonts w:ascii="Consolas" w:eastAsia="Consolas" w:hAnsi="Consolas" w:cs="Consolas"/>
                <w:sz w:val="22"/>
                <w:szCs w:val="22"/>
                <w:shd w:val="clear" w:color="auto" w:fill="EAEEF3"/>
              </w:rPr>
              <w:t>E74_Groupe</w:t>
            </w:r>
            <w:r>
              <w:t xml:space="preserve"> (cf. le balisage HumanML). Les couples mariés et autres concepts familiaux sont des exemples particuliers de </w:t>
            </w:r>
            <w:r>
              <w:rPr>
                <w:rFonts w:ascii="Consolas" w:eastAsia="Consolas" w:hAnsi="Consolas" w:cs="Consolas"/>
                <w:sz w:val="22"/>
                <w:szCs w:val="22"/>
                <w:shd w:val="clear" w:color="auto" w:fill="EAEEF3"/>
              </w:rPr>
              <w:t>E74_Groupe</w:t>
            </w:r>
            <w:r>
              <w:t>.</w:t>
            </w:r>
          </w:p>
        </w:tc>
      </w:tr>
      <w:tr w:rsidR="00BF18CF" w14:paraId="513BEAA1" w14:textId="77777777" w:rsidTr="00BF18CF">
        <w:tc>
          <w:tcPr>
            <w:tcW w:w="1753" w:type="dxa"/>
          </w:tcPr>
          <w:p w14:paraId="2A3F264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37" w:type="dxa"/>
          </w:tcPr>
          <w:p w14:paraId="53AD58A0" w14:textId="77777777" w:rsidR="00BF18CF" w:rsidRDefault="00E51347">
            <w:pPr>
              <w:numPr>
                <w:ilvl w:val="0"/>
                <w:numId w:val="19"/>
              </w:numPr>
            </w:pPr>
            <w:r>
              <w:t>Les impressionnistes (Wilson, 1983)</w:t>
            </w:r>
          </w:p>
          <w:p w14:paraId="3C2DC73E" w14:textId="77777777" w:rsidR="00BF18CF" w:rsidRDefault="00E51347">
            <w:pPr>
              <w:numPr>
                <w:ilvl w:val="0"/>
                <w:numId w:val="19"/>
              </w:numPr>
            </w:pPr>
            <w:r>
              <w:t>Les Navajo (Correll, 1972)</w:t>
            </w:r>
          </w:p>
          <w:p w14:paraId="43417C8D" w14:textId="77777777" w:rsidR="00BF18CF" w:rsidRDefault="00E51347">
            <w:pPr>
              <w:numPr>
                <w:ilvl w:val="0"/>
                <w:numId w:val="19"/>
              </w:numPr>
            </w:pPr>
            <w:r>
              <w:t>Les Grecs (Williams, 1993)</w:t>
            </w:r>
          </w:p>
          <w:p w14:paraId="4253FDB2" w14:textId="77777777" w:rsidR="00BF18CF" w:rsidRDefault="00E51347">
            <w:pPr>
              <w:numPr>
                <w:ilvl w:val="0"/>
                <w:numId w:val="19"/>
              </w:numPr>
            </w:pPr>
            <w:r>
              <w:t>Les manifestants en faveur de la paix qui se sont mobilisés à New York le 15 février 2003</w:t>
            </w:r>
          </w:p>
          <w:p w14:paraId="2B3872A7" w14:textId="77777777" w:rsidR="00BF18CF" w:rsidRPr="00EE61A5" w:rsidRDefault="00E51347">
            <w:pPr>
              <w:numPr>
                <w:ilvl w:val="0"/>
                <w:numId w:val="19"/>
              </w:numPr>
              <w:rPr>
                <w:lang w:val="en-CA"/>
              </w:rPr>
            </w:pPr>
            <w:proofErr w:type="gramStart"/>
            <w:r w:rsidRPr="00EE61A5">
              <w:rPr>
                <w:lang w:val="en-CA"/>
              </w:rPr>
              <w:lastRenderedPageBreak/>
              <w:t>Exxon-Mobil</w:t>
            </w:r>
            <w:proofErr w:type="gramEnd"/>
            <w:r w:rsidRPr="00EE61A5">
              <w:rPr>
                <w:lang w:val="en-CA"/>
              </w:rPr>
              <w:t xml:space="preserve"> (« </w:t>
            </w:r>
            <w:r w:rsidRPr="00EE61A5">
              <w:rPr>
                <w:i/>
                <w:lang w:val="en-CA"/>
              </w:rPr>
              <w:t>Exxon</w:t>
            </w:r>
            <w:r w:rsidRPr="00EE61A5">
              <w:rPr>
                <w:lang w:val="en-CA"/>
              </w:rPr>
              <w:t xml:space="preserve"> Mobil Corp », </w:t>
            </w:r>
            <w:r w:rsidRPr="00EE61A5">
              <w:rPr>
                <w:i/>
                <w:lang w:val="en-CA"/>
              </w:rPr>
              <w:t>Mergent's dividend achievers</w:t>
            </w:r>
            <w:r w:rsidRPr="00EE61A5">
              <w:rPr>
                <w:lang w:val="en-CA"/>
              </w:rPr>
              <w:t>, vol. 3, no. 3, 2006, pp. 97-97)</w:t>
            </w:r>
          </w:p>
          <w:p w14:paraId="2F93341B" w14:textId="77777777" w:rsidR="00BF18CF" w:rsidRDefault="00E51347">
            <w:pPr>
              <w:numPr>
                <w:ilvl w:val="0"/>
                <w:numId w:val="19"/>
              </w:numPr>
            </w:pPr>
            <w:r>
              <w:t>Le Roi Salomon et ses épouses (Thieberger, 1947)</w:t>
            </w:r>
          </w:p>
          <w:p w14:paraId="3D42B591" w14:textId="77777777" w:rsidR="00BF18CF" w:rsidRDefault="00E51347">
            <w:pPr>
              <w:numPr>
                <w:ilvl w:val="0"/>
                <w:numId w:val="19"/>
              </w:numPr>
            </w:pPr>
            <w:r>
              <w:t>Le Président de la confédération suisse</w:t>
            </w:r>
          </w:p>
          <w:p w14:paraId="433C59A3" w14:textId="77777777" w:rsidR="00BF18CF" w:rsidRDefault="00E51347">
            <w:pPr>
              <w:numPr>
                <w:ilvl w:val="0"/>
                <w:numId w:val="19"/>
              </w:numPr>
            </w:pPr>
            <w:r>
              <w:t>Nicolas Bourbaki (Aczel, 2007)</w:t>
            </w:r>
          </w:p>
          <w:p w14:paraId="7D479382" w14:textId="77777777" w:rsidR="00BF18CF" w:rsidRDefault="00E51347">
            <w:pPr>
              <w:numPr>
                <w:ilvl w:val="0"/>
                <w:numId w:val="19"/>
              </w:numPr>
            </w:pPr>
            <w:r>
              <w:t>Betty Crocker (Crocker, 2012)</w:t>
            </w:r>
          </w:p>
          <w:p w14:paraId="3DF2E580" w14:textId="77777777" w:rsidR="00BF18CF" w:rsidRDefault="00E51347">
            <w:pPr>
              <w:numPr>
                <w:ilvl w:val="0"/>
                <w:numId w:val="19"/>
              </w:numPr>
            </w:pPr>
            <w:r>
              <w:t>Ellery Queen (Wheat, 2005)</w:t>
            </w:r>
          </w:p>
          <w:p w14:paraId="2A5B4255" w14:textId="77777777" w:rsidR="00BF18CF" w:rsidRDefault="00E51347">
            <w:pPr>
              <w:numPr>
                <w:ilvl w:val="0"/>
                <w:numId w:val="19"/>
              </w:numPr>
            </w:pPr>
            <w:r>
              <w:t>Greenpeace</w:t>
            </w:r>
          </w:p>
          <w:p w14:paraId="0A0C80C3" w14:textId="77777777" w:rsidR="00BF18CF" w:rsidRDefault="00E51347">
            <w:pPr>
              <w:numPr>
                <w:ilvl w:val="0"/>
                <w:numId w:val="19"/>
              </w:numPr>
            </w:pPr>
            <w:r>
              <w:t>Paveprime Ltd</w:t>
            </w:r>
          </w:p>
          <w:p w14:paraId="1CB47011" w14:textId="77777777" w:rsidR="00BF18CF" w:rsidRDefault="00E51347">
            <w:pPr>
              <w:numPr>
                <w:ilvl w:val="0"/>
                <w:numId w:val="19"/>
              </w:numPr>
            </w:pPr>
            <w:r>
              <w:t>Le Nationalmuseet i København / Le Musée national du Danemark</w:t>
            </w:r>
          </w:p>
        </w:tc>
      </w:tr>
      <w:tr w:rsidR="00BF18CF" w14:paraId="3D3F6448" w14:textId="77777777" w:rsidTr="00BF18CF">
        <w:tc>
          <w:tcPr>
            <w:tcW w:w="1753" w:type="dxa"/>
          </w:tcPr>
          <w:p w14:paraId="02A51402"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37" w:type="dxa"/>
          </w:tcPr>
          <w:p w14:paraId="11FD4B53" w14:textId="77777777" w:rsidR="00BF18CF" w:rsidRDefault="00E51347">
            <w:r>
              <w:t>E74(x) ⊃ E39(x)</w:t>
            </w:r>
          </w:p>
        </w:tc>
      </w:tr>
      <w:tr w:rsidR="00BF18CF" w14:paraId="6B2AD1A3" w14:textId="77777777" w:rsidTr="00BF18CF">
        <w:tc>
          <w:tcPr>
            <w:tcW w:w="1753" w:type="dxa"/>
          </w:tcPr>
          <w:p w14:paraId="43F6E05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37" w:type="dxa"/>
          </w:tcPr>
          <w:p w14:paraId="71086C2C" w14:textId="77777777" w:rsidR="00BF18CF" w:rsidRDefault="00E51347">
            <w:r>
              <w:rPr>
                <w:rFonts w:ascii="Consolas" w:eastAsia="Consolas" w:hAnsi="Consolas" w:cs="Consolas"/>
                <w:sz w:val="22"/>
                <w:szCs w:val="22"/>
                <w:shd w:val="clear" w:color="auto" w:fill="EAEEF3"/>
              </w:rPr>
              <w:t>P107_a_pour_membre_actuel_ou_antérieur (est_le_membre_actuel_ou_antérieur_de)</w:t>
            </w:r>
            <w:r>
              <w:t xml:space="preserve"> : </w:t>
            </w:r>
            <w:r>
              <w:rPr>
                <w:rFonts w:ascii="Consolas" w:eastAsia="Consolas" w:hAnsi="Consolas" w:cs="Consolas"/>
                <w:sz w:val="22"/>
                <w:szCs w:val="22"/>
                <w:shd w:val="clear" w:color="auto" w:fill="EAEEF3"/>
              </w:rPr>
              <w:t>E39_Actant</w:t>
            </w:r>
            <w:r>
              <w:t xml:space="preserve"> </w:t>
            </w:r>
            <w:r>
              <w:rPr>
                <w:rFonts w:ascii="Consolas" w:eastAsia="Consolas" w:hAnsi="Consolas" w:cs="Consolas"/>
                <w:sz w:val="22"/>
                <w:szCs w:val="22"/>
                <w:shd w:val="clear" w:color="auto" w:fill="EAEEF3"/>
              </w:rPr>
              <w:t>(P107.1_sorte_de_membre</w:t>
            </w:r>
            <w:r>
              <w:t xml:space="preserve"> : </w:t>
            </w:r>
            <w:r>
              <w:rPr>
                <w:rFonts w:ascii="Consolas" w:eastAsia="Consolas" w:hAnsi="Consolas" w:cs="Consolas"/>
                <w:sz w:val="22"/>
                <w:szCs w:val="22"/>
                <w:shd w:val="clear" w:color="auto" w:fill="EAEEF3"/>
              </w:rPr>
              <w:t>E55_Type)</w:t>
            </w:r>
          </w:p>
        </w:tc>
      </w:tr>
      <w:tr w:rsidR="00BF18CF" w14:paraId="057F8369" w14:textId="77777777" w:rsidTr="00BF18CF">
        <w:tc>
          <w:tcPr>
            <w:tcW w:w="1753" w:type="dxa"/>
          </w:tcPr>
          <w:p w14:paraId="64B94B94" w14:textId="71879986"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37" w:type="dxa"/>
          </w:tcPr>
          <w:p w14:paraId="3395663A" w14:textId="77777777" w:rsidR="00BF18CF" w:rsidRDefault="00BF18CF">
            <w:pPr>
              <w:pBdr>
                <w:top w:val="nil"/>
                <w:left w:val="nil"/>
                <w:bottom w:val="nil"/>
                <w:right w:val="nil"/>
                <w:between w:val="nil"/>
              </w:pBdr>
              <w:spacing w:before="36" w:after="36"/>
              <w:rPr>
                <w:color w:val="000000"/>
              </w:rPr>
            </w:pPr>
          </w:p>
        </w:tc>
      </w:tr>
      <w:tr w:rsidR="00BF18CF" w14:paraId="629E55F5" w14:textId="77777777" w:rsidTr="00BF18CF">
        <w:tc>
          <w:tcPr>
            <w:tcW w:w="1753" w:type="dxa"/>
          </w:tcPr>
          <w:p w14:paraId="07E0F970"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37" w:type="dxa"/>
          </w:tcPr>
          <w:p w14:paraId="5CCDEA32" w14:textId="77777777" w:rsidR="00BF18CF" w:rsidRDefault="00BF18CF">
            <w:pPr>
              <w:pBdr>
                <w:top w:val="nil"/>
                <w:left w:val="nil"/>
                <w:bottom w:val="nil"/>
                <w:right w:val="nil"/>
                <w:between w:val="nil"/>
              </w:pBdr>
              <w:spacing w:before="36" w:after="36"/>
              <w:rPr>
                <w:color w:val="000000"/>
              </w:rPr>
            </w:pPr>
          </w:p>
        </w:tc>
      </w:tr>
    </w:tbl>
    <w:p w14:paraId="6F547104" w14:textId="77777777" w:rsidR="00BF18CF" w:rsidRDefault="00E51347">
      <w:pPr>
        <w:pStyle w:val="Heading3"/>
      </w:pPr>
      <w:bookmarkStart w:id="226" w:name="bookmark=id.3gnlt4p" w:colFirst="0" w:colLast="0"/>
      <w:bookmarkStart w:id="227" w:name="_Toc144360856"/>
      <w:bookmarkEnd w:id="226"/>
      <w:r>
        <w:t>E77 Entité persistante</w:t>
      </w:r>
      <w:bookmarkEnd w:id="227"/>
    </w:p>
    <w:tbl>
      <w:tblPr>
        <w:tblStyle w:val="a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4"/>
        <w:gridCol w:w="8906"/>
      </w:tblGrid>
      <w:tr w:rsidR="00BF18CF" w14:paraId="4C87A275" w14:textId="77777777" w:rsidTr="00BF18CF">
        <w:tc>
          <w:tcPr>
            <w:tcW w:w="1784" w:type="dxa"/>
          </w:tcPr>
          <w:p w14:paraId="15809E91"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6" w:type="dxa"/>
          </w:tcPr>
          <w:p w14:paraId="024FDAC0" w14:textId="77777777" w:rsidR="00BF18CF" w:rsidRDefault="00E51347">
            <w:r>
              <w:rPr>
                <w:rFonts w:ascii="Consolas" w:eastAsia="Consolas" w:hAnsi="Consolas" w:cs="Consolas"/>
                <w:sz w:val="22"/>
                <w:szCs w:val="22"/>
                <w:shd w:val="clear" w:color="auto" w:fill="EAEEF3"/>
              </w:rPr>
              <w:t>E1_Entité_CRM</w:t>
            </w:r>
          </w:p>
        </w:tc>
      </w:tr>
      <w:tr w:rsidR="00BF18CF" w14:paraId="5C29FD4F" w14:textId="77777777" w:rsidTr="00BF18CF">
        <w:tc>
          <w:tcPr>
            <w:tcW w:w="1784" w:type="dxa"/>
          </w:tcPr>
          <w:p w14:paraId="0A7050E1"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6" w:type="dxa"/>
          </w:tcPr>
          <w:p w14:paraId="11DB8136" w14:textId="77777777" w:rsidR="00BF18CF" w:rsidRDefault="00E51347">
            <w:r>
              <w:rPr>
                <w:rFonts w:ascii="Consolas" w:eastAsia="Consolas" w:hAnsi="Consolas" w:cs="Consolas"/>
                <w:sz w:val="22"/>
                <w:szCs w:val="22"/>
                <w:shd w:val="clear" w:color="auto" w:fill="EAEEF3"/>
              </w:rPr>
              <w:t>E39_Actant</w:t>
            </w:r>
          </w:p>
          <w:p w14:paraId="2CF8B44F" w14:textId="77777777" w:rsidR="00BF18CF" w:rsidRDefault="00E51347">
            <w:r>
              <w:rPr>
                <w:rFonts w:ascii="Consolas" w:eastAsia="Consolas" w:hAnsi="Consolas" w:cs="Consolas"/>
                <w:sz w:val="22"/>
                <w:szCs w:val="22"/>
                <w:shd w:val="clear" w:color="auto" w:fill="EAEEF3"/>
              </w:rPr>
              <w:t>E70_Chose</w:t>
            </w:r>
          </w:p>
        </w:tc>
      </w:tr>
      <w:tr w:rsidR="00BF18CF" w14:paraId="3F54B9D5" w14:textId="77777777" w:rsidTr="00BF18CF">
        <w:tc>
          <w:tcPr>
            <w:tcW w:w="1784" w:type="dxa"/>
          </w:tcPr>
          <w:p w14:paraId="51E7ABE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6" w:type="dxa"/>
          </w:tcPr>
          <w:p w14:paraId="3FBA551F" w14:textId="77777777" w:rsidR="00BF18CF" w:rsidRDefault="00E51347">
            <w:r>
              <w:t>Cette classe comprend les entités qui possèdent des caractéristiques structurelles persistantes liées à leur identité et à leur intégrité, parfois désignées par le terme « endurants » en philosophie. Les entités persistantes peuvent être matérielles, comme des êtres humains, des animaux ou des choses, ou conceptuelles, comme des idées, des concepts, des produits de l’imagination ou même des noms.</w:t>
            </w:r>
          </w:p>
          <w:p w14:paraId="6A605370" w14:textId="77777777" w:rsidR="00BF18CF" w:rsidRDefault="00E51347">
            <w:r>
              <w:t xml:space="preserve">Les instances de </w:t>
            </w:r>
            <w:r>
              <w:rPr>
                <w:rFonts w:ascii="Consolas" w:eastAsia="Consolas" w:hAnsi="Consolas" w:cs="Consolas"/>
                <w:sz w:val="22"/>
                <w:szCs w:val="22"/>
                <w:shd w:val="clear" w:color="auto" w:fill="EAEEF3"/>
              </w:rPr>
              <w:t>E77_Entité_persistante</w:t>
            </w:r>
            <w:r>
              <w:t xml:space="preserve"> peuvent être présentes ou faire partie d’interactions au cours de différentes périodes ou évènements. Elles peuvent être identifiées à maintes reprises à divers moments de leur existence par leurs caractéristiques structurelles. Ces dernières n’ont pas besoin d’être exactement les mêmes tout au long de l’existence d’une instance de </w:t>
            </w:r>
            <w:r>
              <w:rPr>
                <w:rFonts w:ascii="Consolas" w:eastAsia="Consolas" w:hAnsi="Consolas" w:cs="Consolas"/>
                <w:sz w:val="22"/>
                <w:szCs w:val="22"/>
                <w:shd w:val="clear" w:color="auto" w:fill="EAEEF3"/>
              </w:rPr>
              <w:t>E77_Entité_persistante</w:t>
            </w:r>
            <w:r>
              <w:t xml:space="preserve">. Souvent, les instances de </w:t>
            </w:r>
            <w:r>
              <w:rPr>
                <w:rFonts w:ascii="Consolas" w:eastAsia="Consolas" w:hAnsi="Consolas" w:cs="Consolas"/>
                <w:sz w:val="22"/>
                <w:szCs w:val="22"/>
                <w:shd w:val="clear" w:color="auto" w:fill="EAEEF3"/>
              </w:rPr>
              <w:t>E77_Entité_persistante</w:t>
            </w:r>
            <w:r>
              <w:t xml:space="preserve"> subissent des changements progressifs, tout en conservant certaines similarités avec leurs états précédents, ou bien [n.d.t. certaines caractéristiques] disparaissent complètement tandis que de nouvelles émergent. Par exemple, les traits d’une personne, à compter du jour de sa naissance, changeront graduellement et de nouvelles caractéristiques apparaîtront, comme une cicatrice. Même l’ADN des cellules de différents corps peut développer </w:t>
            </w:r>
            <w:r>
              <w:lastRenderedPageBreak/>
              <w:t xml:space="preserve">des anomalies et des mutations. Cependant, les caractéristiques pertinentes sont généralement suffisamment semblables pour qu’il soit possible de reconnaître une instance au cours d’une longue </w:t>
            </w:r>
            <w:proofErr w:type="gramStart"/>
            <w:r>
              <w:t>période de temps</w:t>
            </w:r>
            <w:proofErr w:type="gramEnd"/>
            <w:r>
              <w:t>.</w:t>
            </w:r>
          </w:p>
          <w:p w14:paraId="0C6DCCFA" w14:textId="77777777" w:rsidR="00BF18CF" w:rsidRDefault="00E51347">
            <w:r>
              <w:t xml:space="preserve">Les critères les plus spécifiques déterminant l’identité des instances des sous-classes de </w:t>
            </w:r>
            <w:r>
              <w:rPr>
                <w:rFonts w:ascii="Consolas" w:eastAsia="Consolas" w:hAnsi="Consolas" w:cs="Consolas"/>
                <w:sz w:val="22"/>
                <w:szCs w:val="22"/>
                <w:shd w:val="clear" w:color="auto" w:fill="EAEEF3"/>
              </w:rPr>
              <w:t>E77_Entité_persistante</w:t>
            </w:r>
            <w:r>
              <w:t xml:space="preserve"> peuvent considérablement varier et sont décrits ou désignés dans les notes d’application correspondantes. Le choix du critère exact à utiliser [n.d.t. pour déterminer la sous-classe la plus appropriée] dépend de la correspondance entre, d’une part, le comportement observé dans la réalité [n.d.t. et documenté] et, d’autre part, les raisonnements que souhaite y appliquer </w:t>
            </w:r>
            <w:proofErr w:type="gramStart"/>
            <w:r>
              <w:t>l’utilisateur..</w:t>
            </w:r>
            <w:proofErr w:type="gramEnd"/>
          </w:p>
          <w:p w14:paraId="6B5D4BC3" w14:textId="77777777" w:rsidR="00BF18CF" w:rsidRDefault="00E51347">
            <w:r>
              <w:t>Par exemple, on peut considérer qu’un édifice n’existe plus s’il est démantelé et que les matériaux sont réutilisés dans une configuration différente. D’un autre côté, les êtres humains traversent des changements profonds et radicaux pendant leur vie, lesquels affectent à la fois leur aspect et leur composition matérielle; ils conservent cependant leur identité en raison d’autres critères, comme le fait d’être physiquement distincts d’autres êtres humains. De la même façon, des objets inanimés peuvent être sujets à des échanges de parties ou de matière. Au contraire, l’identité d’une version précise d’un texte scientifique relève de l’arrangement exact et signifiant de ses symboles.</w:t>
            </w:r>
          </w:p>
          <w:p w14:paraId="753079D6" w14:textId="77777777" w:rsidR="00BF18CF" w:rsidRDefault="00E51347">
            <w:r>
              <w:t xml:space="preserve">Les principales classes d’objets qui sortent du champ d’application de la classe </w:t>
            </w:r>
            <w:r>
              <w:rPr>
                <w:rFonts w:ascii="Consolas" w:eastAsia="Consolas" w:hAnsi="Consolas" w:cs="Consolas"/>
                <w:sz w:val="22"/>
                <w:szCs w:val="22"/>
                <w:shd w:val="clear" w:color="auto" w:fill="EAEEF3"/>
              </w:rPr>
              <w:t>E77_Entité_persistante</w:t>
            </w:r>
            <w:r>
              <w:t xml:space="preserve"> sont les objets temporels, comme les périodes, les évènements et les actions, ainsi que les propriétés descriptives.</w:t>
            </w:r>
          </w:p>
          <w:p w14:paraId="5FBF0CA3" w14:textId="77777777" w:rsidR="00BF18CF" w:rsidRDefault="00E51347">
            <w:r>
              <w:t xml:space="preserve">Une instance de </w:t>
            </w:r>
            <w:r>
              <w:rPr>
                <w:rFonts w:ascii="Consolas" w:eastAsia="Consolas" w:hAnsi="Consolas" w:cs="Consolas"/>
                <w:sz w:val="22"/>
                <w:szCs w:val="22"/>
                <w:shd w:val="clear" w:color="auto" w:fill="EAEEF3"/>
              </w:rPr>
              <w:t>E77_Entité_persistante</w:t>
            </w:r>
            <w:r>
              <w:t xml:space="preserve"> peut exister sans que soient actuellement connues les caractéristiques qui la définissent. Il existe certains cas où ces caractéristiques ne peuvent pas être identifiées en raison de l’état des connaissances à un moment précis.</w:t>
            </w:r>
          </w:p>
        </w:tc>
      </w:tr>
      <w:tr w:rsidR="00BF18CF" w14:paraId="11D5F7EC" w14:textId="77777777" w:rsidTr="00BF18CF">
        <w:tc>
          <w:tcPr>
            <w:tcW w:w="1784" w:type="dxa"/>
          </w:tcPr>
          <w:p w14:paraId="3069FA72"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06" w:type="dxa"/>
          </w:tcPr>
          <w:p w14:paraId="6CB9A7A0" w14:textId="77777777" w:rsidR="00BF18CF" w:rsidRDefault="00E51347">
            <w:pPr>
              <w:numPr>
                <w:ilvl w:val="0"/>
                <w:numId w:val="19"/>
              </w:numPr>
            </w:pPr>
            <w:r>
              <w:t>Léonard de Vinci (Strano, 1953)</w:t>
            </w:r>
          </w:p>
          <w:p w14:paraId="29609884" w14:textId="77777777" w:rsidR="00BF18CF" w:rsidRDefault="00E51347">
            <w:pPr>
              <w:numPr>
                <w:ilvl w:val="0"/>
                <w:numId w:val="19"/>
              </w:numPr>
            </w:pPr>
            <w:r>
              <w:t>Le site de Stonehenge (Richards, 2005)</w:t>
            </w:r>
          </w:p>
          <w:p w14:paraId="79C7CF4D" w14:textId="77777777" w:rsidR="00BF18CF" w:rsidRDefault="00E51347">
            <w:pPr>
              <w:numPr>
                <w:ilvl w:val="0"/>
                <w:numId w:val="19"/>
              </w:numPr>
            </w:pPr>
            <w:r>
              <w:t>Le trou dans la couche d’ozone (Hufford and Horwitz, 2005)</w:t>
            </w:r>
          </w:p>
          <w:p w14:paraId="0168A487" w14:textId="77777777" w:rsidR="00BF18CF" w:rsidRDefault="00E51347">
            <w:pPr>
              <w:numPr>
                <w:ilvl w:val="0"/>
                <w:numId w:val="19"/>
              </w:numPr>
            </w:pPr>
            <w:r>
              <w:t>Le premier principe de la thermodynamique (Craig and Gislason, 2002)</w:t>
            </w:r>
          </w:p>
          <w:p w14:paraId="267C83B8" w14:textId="77777777" w:rsidR="00BF18CF" w:rsidRDefault="00E51347">
            <w:pPr>
              <w:numPr>
                <w:ilvl w:val="0"/>
                <w:numId w:val="19"/>
              </w:numPr>
            </w:pPr>
            <w:r>
              <w:t>Le triangle des Bermudes (Dolan, 2005)</w:t>
            </w:r>
          </w:p>
        </w:tc>
      </w:tr>
      <w:tr w:rsidR="00BF18CF" w14:paraId="38E4545D" w14:textId="77777777" w:rsidTr="00BF18CF">
        <w:tc>
          <w:tcPr>
            <w:tcW w:w="1784" w:type="dxa"/>
          </w:tcPr>
          <w:p w14:paraId="5894E20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6" w:type="dxa"/>
          </w:tcPr>
          <w:p w14:paraId="62B0EF97" w14:textId="77777777" w:rsidR="00BF18CF" w:rsidRDefault="00E51347">
            <w:r>
              <w:t>E77(x) ⇒ E1(x)</w:t>
            </w:r>
          </w:p>
        </w:tc>
      </w:tr>
      <w:tr w:rsidR="00BF18CF" w14:paraId="5693B21F" w14:textId="77777777" w:rsidTr="00BF18CF">
        <w:tc>
          <w:tcPr>
            <w:tcW w:w="1784" w:type="dxa"/>
          </w:tcPr>
          <w:p w14:paraId="2A854BD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6" w:type="dxa"/>
          </w:tcPr>
          <w:p w14:paraId="56BAC7E6" w14:textId="77777777" w:rsidR="00BF18CF" w:rsidRDefault="00BF18CF">
            <w:pPr>
              <w:pBdr>
                <w:top w:val="nil"/>
                <w:left w:val="nil"/>
                <w:bottom w:val="nil"/>
                <w:right w:val="nil"/>
                <w:between w:val="nil"/>
              </w:pBdr>
              <w:spacing w:before="36" w:after="36"/>
              <w:rPr>
                <w:color w:val="000000"/>
              </w:rPr>
            </w:pPr>
          </w:p>
        </w:tc>
      </w:tr>
      <w:tr w:rsidR="00BF18CF" w14:paraId="38F00C73" w14:textId="77777777" w:rsidTr="00BF18CF">
        <w:tc>
          <w:tcPr>
            <w:tcW w:w="1784" w:type="dxa"/>
          </w:tcPr>
          <w:p w14:paraId="7B253ADB" w14:textId="466BCB47"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6" w:type="dxa"/>
          </w:tcPr>
          <w:p w14:paraId="5E4FDD77" w14:textId="77777777" w:rsidR="00BF18CF" w:rsidRDefault="00BF18CF">
            <w:pPr>
              <w:pBdr>
                <w:top w:val="nil"/>
                <w:left w:val="nil"/>
                <w:bottom w:val="nil"/>
                <w:right w:val="nil"/>
                <w:between w:val="nil"/>
              </w:pBdr>
              <w:spacing w:before="36" w:after="36"/>
              <w:rPr>
                <w:color w:val="000000"/>
              </w:rPr>
            </w:pPr>
          </w:p>
        </w:tc>
      </w:tr>
      <w:tr w:rsidR="00BF18CF" w14:paraId="3C965B2E" w14:textId="77777777" w:rsidTr="00BF18CF">
        <w:tc>
          <w:tcPr>
            <w:tcW w:w="1784" w:type="dxa"/>
          </w:tcPr>
          <w:p w14:paraId="6C1A790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6" w:type="dxa"/>
          </w:tcPr>
          <w:p w14:paraId="4EA21F44" w14:textId="77777777" w:rsidR="00BF18CF" w:rsidRDefault="00BF18CF">
            <w:pPr>
              <w:pBdr>
                <w:top w:val="nil"/>
                <w:left w:val="nil"/>
                <w:bottom w:val="nil"/>
                <w:right w:val="nil"/>
                <w:between w:val="nil"/>
              </w:pBdr>
              <w:spacing w:before="36" w:after="36"/>
              <w:rPr>
                <w:color w:val="000000"/>
              </w:rPr>
            </w:pPr>
          </w:p>
        </w:tc>
      </w:tr>
    </w:tbl>
    <w:p w14:paraId="6F34C7A1" w14:textId="77777777" w:rsidR="00BF18CF" w:rsidRDefault="00E51347">
      <w:pPr>
        <w:pStyle w:val="Heading3"/>
      </w:pPr>
      <w:bookmarkStart w:id="228" w:name="bookmark=id.1vsw3ci" w:colFirst="0" w:colLast="0"/>
      <w:bookmarkStart w:id="229" w:name="_Toc144360857"/>
      <w:bookmarkEnd w:id="228"/>
      <w:r>
        <w:t>E78 Collection</w:t>
      </w:r>
      <w:bookmarkEnd w:id="229"/>
    </w:p>
    <w:tbl>
      <w:tblPr>
        <w:tblStyle w:val="a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02"/>
        <w:gridCol w:w="8988"/>
      </w:tblGrid>
      <w:tr w:rsidR="00BF18CF" w14:paraId="45788735" w14:textId="77777777" w:rsidTr="00BF18CF">
        <w:tc>
          <w:tcPr>
            <w:tcW w:w="1702" w:type="dxa"/>
          </w:tcPr>
          <w:p w14:paraId="56DB561C"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88" w:type="dxa"/>
          </w:tcPr>
          <w:p w14:paraId="37835C4B" w14:textId="77777777" w:rsidR="00BF18CF" w:rsidRDefault="00E51347">
            <w:r>
              <w:rPr>
                <w:rFonts w:ascii="Consolas" w:eastAsia="Consolas" w:hAnsi="Consolas" w:cs="Consolas"/>
                <w:sz w:val="22"/>
                <w:szCs w:val="22"/>
                <w:shd w:val="clear" w:color="auto" w:fill="EAEEF3"/>
              </w:rPr>
              <w:t>E24_Chose_matérielle_élaborée_par_l’humain</w:t>
            </w:r>
          </w:p>
        </w:tc>
      </w:tr>
      <w:tr w:rsidR="00BF18CF" w14:paraId="2078362F" w14:textId="77777777" w:rsidTr="00BF18CF">
        <w:tc>
          <w:tcPr>
            <w:tcW w:w="1702" w:type="dxa"/>
          </w:tcPr>
          <w:p w14:paraId="3BE7CD8D" w14:textId="77777777" w:rsidR="00BF18CF" w:rsidRDefault="00E51347">
            <w:pPr>
              <w:pBdr>
                <w:top w:val="nil"/>
                <w:left w:val="nil"/>
                <w:bottom w:val="nil"/>
                <w:right w:val="nil"/>
                <w:between w:val="nil"/>
              </w:pBdr>
              <w:spacing w:before="36" w:after="36"/>
              <w:rPr>
                <w:color w:val="000000"/>
              </w:rPr>
            </w:pPr>
            <w:r>
              <w:rPr>
                <w:b/>
                <w:color w:val="000000"/>
              </w:rPr>
              <w:lastRenderedPageBreak/>
              <w:t>Super-classe de</w:t>
            </w:r>
          </w:p>
        </w:tc>
        <w:tc>
          <w:tcPr>
            <w:tcW w:w="8988" w:type="dxa"/>
          </w:tcPr>
          <w:p w14:paraId="46C57722" w14:textId="77777777" w:rsidR="00BF18CF" w:rsidRDefault="00BF18CF">
            <w:pPr>
              <w:pBdr>
                <w:top w:val="nil"/>
                <w:left w:val="nil"/>
                <w:bottom w:val="nil"/>
                <w:right w:val="nil"/>
                <w:between w:val="nil"/>
              </w:pBdr>
              <w:spacing w:before="36" w:after="36"/>
              <w:rPr>
                <w:color w:val="000000"/>
              </w:rPr>
            </w:pPr>
          </w:p>
        </w:tc>
      </w:tr>
      <w:tr w:rsidR="00BF18CF" w14:paraId="34793483" w14:textId="77777777" w:rsidTr="00BF18CF">
        <w:tc>
          <w:tcPr>
            <w:tcW w:w="1702" w:type="dxa"/>
          </w:tcPr>
          <w:p w14:paraId="3EC372F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88" w:type="dxa"/>
          </w:tcPr>
          <w:p w14:paraId="6B1DD839" w14:textId="77777777" w:rsidR="00BF18CF" w:rsidRDefault="00E51347">
            <w:r>
              <w:t xml:space="preserve">Cette classe comprend les agrégations d’instances de </w:t>
            </w:r>
            <w:r>
              <w:rPr>
                <w:rFonts w:ascii="Consolas" w:eastAsia="Consolas" w:hAnsi="Consolas" w:cs="Consolas"/>
                <w:sz w:val="22"/>
                <w:szCs w:val="22"/>
                <w:shd w:val="clear" w:color="auto" w:fill="EAEEF3"/>
              </w:rPr>
              <w:t>E18_Chose_matérielle</w:t>
            </w:r>
            <w:r>
              <w:t xml:space="preserve"> qui sont réunies et entretenues (c.-à-d., en termes muséologiques, la gestion et la conservation des collections) par une ou plusieurs instances de </w:t>
            </w:r>
            <w:r>
              <w:rPr>
                <w:rFonts w:ascii="Consolas" w:eastAsia="Consolas" w:hAnsi="Consolas" w:cs="Consolas"/>
                <w:sz w:val="22"/>
                <w:szCs w:val="22"/>
                <w:shd w:val="clear" w:color="auto" w:fill="EAEEF3"/>
              </w:rPr>
              <w:t>E39_Actant</w:t>
            </w:r>
            <w:r>
              <w:t xml:space="preserve"> pendant une certaine durée, dans un but et pour </w:t>
            </w:r>
            <w:proofErr w:type="gramStart"/>
            <w:r>
              <w:t>une audience spécifiques</w:t>
            </w:r>
            <w:proofErr w:type="gramEnd"/>
            <w:r>
              <w:t xml:space="preserve">, ainsi que selon un plan spécifique de développement de collection. Des instances typiques de </w:t>
            </w:r>
            <w:r>
              <w:rPr>
                <w:rFonts w:ascii="Consolas" w:eastAsia="Consolas" w:hAnsi="Consolas" w:cs="Consolas"/>
                <w:sz w:val="22"/>
                <w:szCs w:val="22"/>
                <w:shd w:val="clear" w:color="auto" w:fill="EAEEF3"/>
              </w:rPr>
              <w:t>E78_Collection</w:t>
            </w:r>
            <w:r>
              <w:t xml:space="preserve"> sont les collections muséales, les archives et les collections de bibliothèques, numériques ou non. Une collection d’une bibliothèque numérique est considérée comme une instance de </w:t>
            </w:r>
            <w:r>
              <w:rPr>
                <w:rFonts w:ascii="Consolas" w:eastAsia="Consolas" w:hAnsi="Consolas" w:cs="Consolas"/>
                <w:sz w:val="22"/>
                <w:szCs w:val="22"/>
                <w:shd w:val="clear" w:color="auto" w:fill="EAEEF3"/>
              </w:rPr>
              <w:t>E18_Chose_matérielle</w:t>
            </w:r>
            <w:r>
              <w:t>, car elle requiert des supports physiques pour les contenus numériques.</w:t>
            </w:r>
          </w:p>
          <w:p w14:paraId="72FCFDE3" w14:textId="77777777" w:rsidR="00BF18CF" w:rsidRDefault="00E51347">
            <w:r>
              <w:t xml:space="preserve">Des éléments peuvent être ajoutés ou enlevés d’une instance de </w:t>
            </w:r>
            <w:r>
              <w:rPr>
                <w:rFonts w:ascii="Consolas" w:eastAsia="Consolas" w:hAnsi="Consolas" w:cs="Consolas"/>
                <w:sz w:val="22"/>
                <w:szCs w:val="22"/>
                <w:shd w:val="clear" w:color="auto" w:fill="EAEEF3"/>
              </w:rPr>
              <w:t>E78_Collection</w:t>
            </w:r>
            <w:r>
              <w:t xml:space="preserve"> selon le plan mis en place.</w:t>
            </w:r>
          </w:p>
          <w:p w14:paraId="6EA4DEFB" w14:textId="77777777" w:rsidR="00BF18CF" w:rsidRDefault="00E51347">
            <w:r>
              <w:t xml:space="preserve">Cette classe ne doit pas être confondue avec la classe </w:t>
            </w:r>
            <w:r>
              <w:rPr>
                <w:rFonts w:ascii="Consolas" w:eastAsia="Consolas" w:hAnsi="Consolas" w:cs="Consolas"/>
                <w:sz w:val="22"/>
                <w:szCs w:val="22"/>
                <w:shd w:val="clear" w:color="auto" w:fill="EAEEF3"/>
              </w:rPr>
              <w:t>E39_Actant</w:t>
            </w:r>
            <w:r>
              <w:t xml:space="preserve">, dont l’instance peut parfois porter le nom de l’instance de </w:t>
            </w:r>
            <w:r>
              <w:rPr>
                <w:rFonts w:ascii="Consolas" w:eastAsia="Consolas" w:hAnsi="Consolas" w:cs="Consolas"/>
                <w:sz w:val="22"/>
                <w:szCs w:val="22"/>
                <w:shd w:val="clear" w:color="auto" w:fill="EAEEF3"/>
              </w:rPr>
              <w:t>E78_Collection</w:t>
            </w:r>
            <w:r>
              <w:t xml:space="preserve"> qu’elle gère (p. ex. dans la phrase « La Collection Wallace a décidé… »).</w:t>
            </w:r>
          </w:p>
          <w:p w14:paraId="460B2437" w14:textId="77777777" w:rsidR="00BF18CF" w:rsidRDefault="00E51347">
            <w:r>
              <w:t xml:space="preserve">Des ensembles d’objets dans le sens plus général – comme une tombe remplie de présents, un dossier de timbres ou un jeu d'échecs incluant les pièces – doivent être documentés comme des instances de </w:t>
            </w:r>
            <w:r>
              <w:rPr>
                <w:rFonts w:ascii="Consolas" w:eastAsia="Consolas" w:hAnsi="Consolas" w:cs="Consolas"/>
                <w:sz w:val="22"/>
                <w:szCs w:val="22"/>
                <w:shd w:val="clear" w:color="auto" w:fill="EAEEF3"/>
              </w:rPr>
              <w:t>E19_Objet_matériel</w:t>
            </w:r>
            <w:r>
              <w:t xml:space="preserve">, et non comme des instances de </w:t>
            </w:r>
            <w:r>
              <w:rPr>
                <w:rFonts w:ascii="Consolas" w:eastAsia="Consolas" w:hAnsi="Consolas" w:cs="Consolas"/>
                <w:sz w:val="22"/>
                <w:szCs w:val="22"/>
                <w:shd w:val="clear" w:color="auto" w:fill="EAEEF3"/>
              </w:rPr>
              <w:t>E78_Collection</w:t>
            </w:r>
            <w:r>
              <w:t>. Cela est dû au fait que ces ensembles d’objets forment des touts en raison du lien physique qui unit leurs éléments ou en raison de leur fonction à être utilisés ensemble.</w:t>
            </w:r>
          </w:p>
        </w:tc>
      </w:tr>
      <w:tr w:rsidR="00BF18CF" w14:paraId="20C6E18B" w14:textId="77777777" w:rsidTr="00BF18CF">
        <w:tc>
          <w:tcPr>
            <w:tcW w:w="1702" w:type="dxa"/>
          </w:tcPr>
          <w:p w14:paraId="28E059F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88" w:type="dxa"/>
          </w:tcPr>
          <w:p w14:paraId="41E7FA13" w14:textId="77777777" w:rsidR="00BF18CF" w:rsidRDefault="00E51347">
            <w:pPr>
              <w:numPr>
                <w:ilvl w:val="0"/>
                <w:numId w:val="19"/>
              </w:numPr>
            </w:pPr>
            <w:r>
              <w:t>L’herbier John Clayton</w:t>
            </w:r>
          </w:p>
          <w:p w14:paraId="7B717E38" w14:textId="77777777" w:rsidR="00BF18CF" w:rsidRDefault="00E51347">
            <w:pPr>
              <w:numPr>
                <w:ilvl w:val="0"/>
                <w:numId w:val="19"/>
              </w:numPr>
            </w:pPr>
            <w:r>
              <w:t>La Wallace Collection (Ingamells, 1990)</w:t>
            </w:r>
          </w:p>
          <w:p w14:paraId="4C0429F2" w14:textId="77777777" w:rsidR="00BF18CF" w:rsidRDefault="00E51347">
            <w:pPr>
              <w:numPr>
                <w:ilvl w:val="0"/>
                <w:numId w:val="19"/>
              </w:numPr>
            </w:pPr>
            <w:r>
              <w:t>L’herbier d'algues rouges coralliennes de Mikael Heggelund au Muséum d’Histoire Naturelle et d’Archéologie de Trondheim, en Norvège</w:t>
            </w:r>
          </w:p>
          <w:p w14:paraId="56CA0FA4" w14:textId="77777777" w:rsidR="00BF18CF" w:rsidRDefault="00E51347">
            <w:pPr>
              <w:numPr>
                <w:ilvl w:val="0"/>
                <w:numId w:val="19"/>
              </w:numPr>
            </w:pPr>
            <w:r>
              <w:t>La collection numérique du Centre de numérisation de Munich (</w:t>
            </w:r>
            <w:r>
              <w:rPr>
                <w:i/>
              </w:rPr>
              <w:t>Munich DigitiZation Center</w:t>
            </w:r>
            <w:r>
              <w:t xml:space="preserve"> ou MDZ) accessible via la page https://www.digitale-sammlungen.de/ au mois de janvier 2018.</w:t>
            </w:r>
          </w:p>
        </w:tc>
      </w:tr>
      <w:tr w:rsidR="00BF18CF" w14:paraId="070CE8BC" w14:textId="77777777" w:rsidTr="00BF18CF">
        <w:tc>
          <w:tcPr>
            <w:tcW w:w="1702" w:type="dxa"/>
          </w:tcPr>
          <w:p w14:paraId="08C7589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88" w:type="dxa"/>
          </w:tcPr>
          <w:p w14:paraId="629EF43E" w14:textId="77777777" w:rsidR="00BF18CF" w:rsidRDefault="00E51347">
            <w:r>
              <w:t>E78(x) ⇒ E24(x)</w:t>
            </w:r>
          </w:p>
        </w:tc>
      </w:tr>
      <w:tr w:rsidR="00BF18CF" w14:paraId="07642504" w14:textId="77777777" w:rsidTr="00BF18CF">
        <w:tc>
          <w:tcPr>
            <w:tcW w:w="1702" w:type="dxa"/>
          </w:tcPr>
          <w:p w14:paraId="1549319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88" w:type="dxa"/>
          </w:tcPr>
          <w:p w14:paraId="340037A9" w14:textId="77777777" w:rsidR="00BF18CF" w:rsidRDefault="00E51347">
            <w:r>
              <w:rPr>
                <w:rFonts w:ascii="Consolas" w:eastAsia="Consolas" w:hAnsi="Consolas" w:cs="Consolas"/>
                <w:sz w:val="22"/>
                <w:szCs w:val="22"/>
                <w:shd w:val="clear" w:color="auto" w:fill="EAEEF3"/>
              </w:rPr>
              <w:t>P109_a_pour_responsable_actuel_ou_antérieur_de_la_collection (est_responsable_actuel_ou_antérieur_de_la_collection)</w:t>
            </w:r>
            <w:r>
              <w:t xml:space="preserve"> : </w:t>
            </w:r>
            <w:r>
              <w:rPr>
                <w:rFonts w:ascii="Consolas" w:eastAsia="Consolas" w:hAnsi="Consolas" w:cs="Consolas"/>
                <w:sz w:val="22"/>
                <w:szCs w:val="22"/>
                <w:shd w:val="clear" w:color="auto" w:fill="EAEEF3"/>
              </w:rPr>
              <w:t>E39_Actant</w:t>
            </w:r>
          </w:p>
        </w:tc>
      </w:tr>
      <w:tr w:rsidR="00BF18CF" w14:paraId="26336C0E" w14:textId="77777777" w:rsidTr="00BF18CF">
        <w:tc>
          <w:tcPr>
            <w:tcW w:w="1702" w:type="dxa"/>
          </w:tcPr>
          <w:p w14:paraId="27ECBD08" w14:textId="450495C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88" w:type="dxa"/>
          </w:tcPr>
          <w:p w14:paraId="401CA6AF" w14:textId="77777777" w:rsidR="00BF18CF" w:rsidRDefault="00E51347">
            <w:r>
              <w:t xml:space="preserve">Les rédacteurs de la version originale du CIDOC CRM ont délibérément évité l’utilisation du terme anglais « collection » pour cette classe car il portait à confusion avec des ensembles qui n’ont pas été constitués de manière choisie et réfléchie. Toutefois, en français, le terme « collection » est plus précis et porte déjà ce sens de regroupement d’objets constitués selon une réflexion et </w:t>
            </w:r>
            <w:proofErr w:type="gramStart"/>
            <w:r>
              <w:t>un choix délibérés</w:t>
            </w:r>
            <w:proofErr w:type="gramEnd"/>
            <w:r>
              <w:t>, souvent de nature muséologique ou archivistique. Il a donc été décidé de traduire « curated holding » par « collection ».</w:t>
            </w:r>
          </w:p>
        </w:tc>
      </w:tr>
      <w:tr w:rsidR="00BF18CF" w14:paraId="4FFB6F76" w14:textId="77777777" w:rsidTr="00BF18CF">
        <w:tc>
          <w:tcPr>
            <w:tcW w:w="1702" w:type="dxa"/>
          </w:tcPr>
          <w:p w14:paraId="1DC51ED1"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88" w:type="dxa"/>
          </w:tcPr>
          <w:p w14:paraId="2E3C0793" w14:textId="77777777" w:rsidR="00BF18CF" w:rsidRDefault="00BF18CF">
            <w:pPr>
              <w:pBdr>
                <w:top w:val="nil"/>
                <w:left w:val="nil"/>
                <w:bottom w:val="nil"/>
                <w:right w:val="nil"/>
                <w:between w:val="nil"/>
              </w:pBdr>
              <w:spacing w:before="36" w:after="36"/>
              <w:rPr>
                <w:color w:val="000000"/>
              </w:rPr>
            </w:pPr>
          </w:p>
        </w:tc>
      </w:tr>
    </w:tbl>
    <w:p w14:paraId="7BEFF2A2" w14:textId="77777777" w:rsidR="00BF18CF" w:rsidRDefault="00E51347">
      <w:pPr>
        <w:pStyle w:val="Heading3"/>
      </w:pPr>
      <w:bookmarkStart w:id="230" w:name="bookmark=id.4fsjm0b" w:colFirst="0" w:colLast="0"/>
      <w:bookmarkStart w:id="231" w:name="_Toc144360858"/>
      <w:bookmarkEnd w:id="230"/>
      <w:r>
        <w:lastRenderedPageBreak/>
        <w:t>E79 Ajout d'élément</w:t>
      </w:r>
      <w:bookmarkEnd w:id="231"/>
    </w:p>
    <w:tbl>
      <w:tblPr>
        <w:tblStyle w:val="a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4"/>
        <w:gridCol w:w="8946"/>
      </w:tblGrid>
      <w:tr w:rsidR="00BF18CF" w14:paraId="28E8CC2F" w14:textId="77777777" w:rsidTr="00BF18CF">
        <w:tc>
          <w:tcPr>
            <w:tcW w:w="1744" w:type="dxa"/>
          </w:tcPr>
          <w:p w14:paraId="3F3C18DA"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6" w:type="dxa"/>
          </w:tcPr>
          <w:p w14:paraId="7F924187" w14:textId="77777777" w:rsidR="00BF18CF" w:rsidRDefault="00E51347">
            <w:r>
              <w:rPr>
                <w:rFonts w:ascii="Consolas" w:eastAsia="Consolas" w:hAnsi="Consolas" w:cs="Consolas"/>
                <w:sz w:val="22"/>
                <w:szCs w:val="22"/>
                <w:shd w:val="clear" w:color="auto" w:fill="EAEEF3"/>
              </w:rPr>
              <w:t>E11_Modification</w:t>
            </w:r>
          </w:p>
        </w:tc>
      </w:tr>
      <w:tr w:rsidR="00BF18CF" w14:paraId="05260FF8" w14:textId="77777777" w:rsidTr="00BF18CF">
        <w:tc>
          <w:tcPr>
            <w:tcW w:w="1744" w:type="dxa"/>
          </w:tcPr>
          <w:p w14:paraId="05EDEF89"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6" w:type="dxa"/>
          </w:tcPr>
          <w:p w14:paraId="140B00B0" w14:textId="77777777" w:rsidR="00BF18CF" w:rsidRDefault="00BF18CF">
            <w:pPr>
              <w:pBdr>
                <w:top w:val="nil"/>
                <w:left w:val="nil"/>
                <w:bottom w:val="nil"/>
                <w:right w:val="nil"/>
                <w:between w:val="nil"/>
              </w:pBdr>
              <w:spacing w:before="36" w:after="36"/>
              <w:rPr>
                <w:color w:val="000000"/>
              </w:rPr>
            </w:pPr>
          </w:p>
        </w:tc>
      </w:tr>
      <w:tr w:rsidR="00BF18CF" w14:paraId="0CA8867F" w14:textId="77777777" w:rsidTr="00BF18CF">
        <w:tc>
          <w:tcPr>
            <w:tcW w:w="1744" w:type="dxa"/>
          </w:tcPr>
          <w:p w14:paraId="203F612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46" w:type="dxa"/>
          </w:tcPr>
          <w:p w14:paraId="3A7E0621" w14:textId="77777777" w:rsidR="00BF18CF" w:rsidRDefault="00E51347">
            <w:r>
              <w:t xml:space="preserve">Cette classe comprend les activités desquelles résulte l'accroissement, l'élargissement ou l'augmentation, du fait de l'addition d'un élément, d'une instance de </w:t>
            </w:r>
            <w:r>
              <w:rPr>
                <w:rFonts w:ascii="Consolas" w:eastAsia="Consolas" w:hAnsi="Consolas" w:cs="Consolas"/>
                <w:sz w:val="22"/>
                <w:szCs w:val="22"/>
                <w:shd w:val="clear" w:color="auto" w:fill="EAEEF3"/>
              </w:rPr>
              <w:t>E24_Chose_matérielle_élaborée_par_l’humain</w:t>
            </w:r>
            <w:r>
              <w:t>.</w:t>
            </w:r>
          </w:p>
          <w:p w14:paraId="0FBE0359" w14:textId="77777777" w:rsidR="00BF18CF" w:rsidRDefault="00E51347">
            <w:r>
              <w:t xml:space="preserve">Des scénarios typiques d'ajout d'élément incluent l'apposition d'un accessoire, l'intégration d'un composant, l'addition d'un élément à un objet agrégé ou l'accession d'un objet dans une instance de </w:t>
            </w:r>
            <w:r>
              <w:rPr>
                <w:rFonts w:ascii="Consolas" w:eastAsia="Consolas" w:hAnsi="Consolas" w:cs="Consolas"/>
                <w:sz w:val="22"/>
                <w:szCs w:val="22"/>
                <w:shd w:val="clear" w:color="auto" w:fill="EAEEF3"/>
              </w:rPr>
              <w:t>E78_Collection</w:t>
            </w:r>
            <w:r>
              <w:t>.</w:t>
            </w:r>
          </w:p>
          <w:p w14:paraId="07931B44" w14:textId="77777777" w:rsidR="00BF18CF" w:rsidRDefault="00E51347">
            <w:r>
              <w:t>Les objets auxquels des éléments sont ajoutés sont par définition élaborés par l'humain puisque cette addition implique une activité humaine. Les assemblages qui résultent de l'addition d'éléments sont traités comme des touts uniques et identifiables faits de composants liés entre eux physiquement (p. ex. le moteur devenant une partie intégrante d'une voiture) ou du fait d'une visée commune (p. ex. les 32 pièces qui composent un jeu d'échec).</w:t>
            </w:r>
          </w:p>
          <w:p w14:paraId="3189C071" w14:textId="77777777" w:rsidR="00BF18CF" w:rsidRDefault="00E51347">
            <w:r>
              <w:rPr>
                <w:rFonts w:ascii="Consolas" w:eastAsia="Consolas" w:hAnsi="Consolas" w:cs="Consolas"/>
                <w:sz w:val="22"/>
                <w:szCs w:val="22"/>
                <w:shd w:val="clear" w:color="auto" w:fill="EAEEF3"/>
              </w:rPr>
              <w:t>E79_Ajout_d'élément</w:t>
            </w:r>
            <w:r>
              <w:t xml:space="preserve"> établit un cadre de raisonnement à propos de l'histoire et de la continuité de l'identité des objets qui sont intégrés à d'autres objets à travers le temps. Ceci s'applique par exemple à des pierres précieuses serties dans différents bijoux les uns après les autres, ou encore à des artefacts culturels ajoutés à différentes instances de </w:t>
            </w:r>
            <w:r>
              <w:rPr>
                <w:rFonts w:ascii="Consolas" w:eastAsia="Consolas" w:hAnsi="Consolas" w:cs="Consolas"/>
                <w:sz w:val="22"/>
                <w:szCs w:val="22"/>
                <w:shd w:val="clear" w:color="auto" w:fill="EAEEF3"/>
              </w:rPr>
              <w:t>E78_Collection</w:t>
            </w:r>
            <w:r>
              <w:t xml:space="preserve"> durant leur existence.</w:t>
            </w:r>
          </w:p>
        </w:tc>
      </w:tr>
      <w:tr w:rsidR="00BF18CF" w14:paraId="5F64E108" w14:textId="77777777" w:rsidTr="00BF18CF">
        <w:tc>
          <w:tcPr>
            <w:tcW w:w="1744" w:type="dxa"/>
          </w:tcPr>
          <w:p w14:paraId="383C68A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6" w:type="dxa"/>
          </w:tcPr>
          <w:p w14:paraId="00871F64" w14:textId="77777777" w:rsidR="00BF18CF" w:rsidRDefault="00E51347">
            <w:pPr>
              <w:numPr>
                <w:ilvl w:val="0"/>
                <w:numId w:val="19"/>
              </w:numPr>
            </w:pPr>
            <w:r>
              <w:t>Le sertissage du diamant Koh-i-Noor dans la couronne de la Reine Mère Elizabeth (Dalrymple, 2017)</w:t>
            </w:r>
          </w:p>
          <w:p w14:paraId="5ACC0190" w14:textId="77777777" w:rsidR="00BF18CF" w:rsidRDefault="00E51347">
            <w:pPr>
              <w:numPr>
                <w:ilvl w:val="0"/>
                <w:numId w:val="19"/>
              </w:numPr>
            </w:pPr>
            <w:r>
              <w:t xml:space="preserve">L'addition de l'œuvre peinte </w:t>
            </w:r>
            <w:r>
              <w:rPr>
                <w:i/>
              </w:rPr>
              <w:t>Room in Brooklyn</w:t>
            </w:r>
            <w:r>
              <w:t xml:space="preserve"> de Edward Hopper à la collection du Musée des beaux-arts de Boston</w:t>
            </w:r>
          </w:p>
        </w:tc>
      </w:tr>
      <w:tr w:rsidR="00BF18CF" w14:paraId="62216FD7" w14:textId="77777777" w:rsidTr="00BF18CF">
        <w:tc>
          <w:tcPr>
            <w:tcW w:w="1744" w:type="dxa"/>
          </w:tcPr>
          <w:p w14:paraId="3C19CE8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6" w:type="dxa"/>
          </w:tcPr>
          <w:p w14:paraId="45156DC8" w14:textId="77777777" w:rsidR="00BF18CF" w:rsidRDefault="00E51347">
            <w:r>
              <w:t>E79(x) ⇒ E11(x)</w:t>
            </w:r>
          </w:p>
        </w:tc>
      </w:tr>
      <w:tr w:rsidR="00BF18CF" w14:paraId="47ADF5C8" w14:textId="77777777" w:rsidTr="00BF18CF">
        <w:tc>
          <w:tcPr>
            <w:tcW w:w="1744" w:type="dxa"/>
          </w:tcPr>
          <w:p w14:paraId="37CC714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6" w:type="dxa"/>
          </w:tcPr>
          <w:p w14:paraId="3923B43F" w14:textId="77777777" w:rsidR="00BF18CF" w:rsidRDefault="00E51347">
            <w:r>
              <w:rPr>
                <w:rFonts w:ascii="Consolas" w:eastAsia="Consolas" w:hAnsi="Consolas" w:cs="Consolas"/>
                <w:sz w:val="22"/>
                <w:szCs w:val="22"/>
                <w:shd w:val="clear" w:color="auto" w:fill="EAEEF3"/>
              </w:rPr>
              <w:t>P110_a_augmenté (a_été_augmenté_par)</w:t>
            </w:r>
            <w:r>
              <w:t xml:space="preserve"> : </w:t>
            </w:r>
            <w:r>
              <w:rPr>
                <w:rFonts w:ascii="Consolas" w:eastAsia="Consolas" w:hAnsi="Consolas" w:cs="Consolas"/>
                <w:sz w:val="22"/>
                <w:szCs w:val="22"/>
                <w:shd w:val="clear" w:color="auto" w:fill="EAEEF3"/>
              </w:rPr>
              <w:t>E24_Chose_matérielle_élaborée_par_l’humain</w:t>
            </w:r>
          </w:p>
          <w:p w14:paraId="29C6B8D8" w14:textId="77777777" w:rsidR="00BF18CF" w:rsidRDefault="00E51347">
            <w:r>
              <w:rPr>
                <w:rFonts w:ascii="Consolas" w:eastAsia="Consolas" w:hAnsi="Consolas" w:cs="Consolas"/>
                <w:sz w:val="22"/>
                <w:szCs w:val="22"/>
                <w:shd w:val="clear" w:color="auto" w:fill="EAEEF3"/>
              </w:rPr>
              <w:t>P111_a_ajouté (a_été_ajouté_par)</w:t>
            </w:r>
            <w:r>
              <w:t xml:space="preserve"> : </w:t>
            </w:r>
            <w:r>
              <w:rPr>
                <w:rFonts w:ascii="Consolas" w:eastAsia="Consolas" w:hAnsi="Consolas" w:cs="Consolas"/>
                <w:sz w:val="22"/>
                <w:szCs w:val="22"/>
                <w:shd w:val="clear" w:color="auto" w:fill="EAEEF3"/>
              </w:rPr>
              <w:t>E18_Chose_matérielle</w:t>
            </w:r>
          </w:p>
        </w:tc>
      </w:tr>
      <w:tr w:rsidR="00BF18CF" w14:paraId="4EE75D70" w14:textId="77777777" w:rsidTr="00BF18CF">
        <w:tc>
          <w:tcPr>
            <w:tcW w:w="1744" w:type="dxa"/>
          </w:tcPr>
          <w:p w14:paraId="77BAE626" w14:textId="10F8B1E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6" w:type="dxa"/>
          </w:tcPr>
          <w:p w14:paraId="581C409B" w14:textId="77777777" w:rsidR="00BF18CF" w:rsidRDefault="00BF18CF">
            <w:pPr>
              <w:pBdr>
                <w:top w:val="nil"/>
                <w:left w:val="nil"/>
                <w:bottom w:val="nil"/>
                <w:right w:val="nil"/>
                <w:between w:val="nil"/>
              </w:pBdr>
              <w:spacing w:before="36" w:after="36"/>
              <w:rPr>
                <w:color w:val="000000"/>
              </w:rPr>
            </w:pPr>
          </w:p>
        </w:tc>
      </w:tr>
      <w:tr w:rsidR="00BF18CF" w14:paraId="56B8697C" w14:textId="77777777" w:rsidTr="00BF18CF">
        <w:tc>
          <w:tcPr>
            <w:tcW w:w="1744" w:type="dxa"/>
          </w:tcPr>
          <w:p w14:paraId="1CF87771"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6" w:type="dxa"/>
          </w:tcPr>
          <w:p w14:paraId="030AF728" w14:textId="77777777" w:rsidR="00BF18CF" w:rsidRDefault="00BF18CF">
            <w:pPr>
              <w:pBdr>
                <w:top w:val="nil"/>
                <w:left w:val="nil"/>
                <w:bottom w:val="nil"/>
                <w:right w:val="nil"/>
                <w:between w:val="nil"/>
              </w:pBdr>
              <w:spacing w:before="36" w:after="36"/>
              <w:rPr>
                <w:color w:val="000000"/>
              </w:rPr>
            </w:pPr>
          </w:p>
        </w:tc>
      </w:tr>
    </w:tbl>
    <w:p w14:paraId="7BB39D7A" w14:textId="77777777" w:rsidR="00BF18CF" w:rsidRDefault="00E51347">
      <w:pPr>
        <w:pStyle w:val="Heading3"/>
      </w:pPr>
      <w:bookmarkStart w:id="232" w:name="bookmark=id.2uxtw84" w:colFirst="0" w:colLast="0"/>
      <w:bookmarkStart w:id="233" w:name="_Toc144360859"/>
      <w:bookmarkEnd w:id="232"/>
      <w:r>
        <w:t>E80 Retrait d'élément</w:t>
      </w:r>
      <w:bookmarkEnd w:id="233"/>
    </w:p>
    <w:tbl>
      <w:tblPr>
        <w:tblStyle w:val="a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45"/>
        <w:gridCol w:w="8945"/>
      </w:tblGrid>
      <w:tr w:rsidR="00BF18CF" w14:paraId="78ED6D4A" w14:textId="77777777" w:rsidTr="00BF18CF">
        <w:tc>
          <w:tcPr>
            <w:tcW w:w="1745" w:type="dxa"/>
          </w:tcPr>
          <w:p w14:paraId="34AD4396"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45" w:type="dxa"/>
          </w:tcPr>
          <w:p w14:paraId="7606AB7A" w14:textId="77777777" w:rsidR="00BF18CF" w:rsidRDefault="00E51347">
            <w:r>
              <w:rPr>
                <w:rFonts w:ascii="Consolas" w:eastAsia="Consolas" w:hAnsi="Consolas" w:cs="Consolas"/>
                <w:sz w:val="22"/>
                <w:szCs w:val="22"/>
                <w:shd w:val="clear" w:color="auto" w:fill="EAEEF3"/>
              </w:rPr>
              <w:t>E11_Modification</w:t>
            </w:r>
          </w:p>
        </w:tc>
      </w:tr>
      <w:tr w:rsidR="00BF18CF" w14:paraId="4519F0B3" w14:textId="77777777" w:rsidTr="00BF18CF">
        <w:tc>
          <w:tcPr>
            <w:tcW w:w="1745" w:type="dxa"/>
          </w:tcPr>
          <w:p w14:paraId="4786A765"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45" w:type="dxa"/>
          </w:tcPr>
          <w:p w14:paraId="13D09CBE" w14:textId="77777777" w:rsidR="00BF18CF" w:rsidRDefault="00BF18CF">
            <w:pPr>
              <w:pBdr>
                <w:top w:val="nil"/>
                <w:left w:val="nil"/>
                <w:bottom w:val="nil"/>
                <w:right w:val="nil"/>
                <w:between w:val="nil"/>
              </w:pBdr>
              <w:spacing w:before="36" w:after="36"/>
              <w:rPr>
                <w:color w:val="000000"/>
              </w:rPr>
            </w:pPr>
          </w:p>
        </w:tc>
      </w:tr>
      <w:tr w:rsidR="00BF18CF" w14:paraId="30F55E61" w14:textId="77777777" w:rsidTr="00BF18CF">
        <w:tc>
          <w:tcPr>
            <w:tcW w:w="1745" w:type="dxa"/>
          </w:tcPr>
          <w:p w14:paraId="0F33EE67"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945" w:type="dxa"/>
          </w:tcPr>
          <w:p w14:paraId="564DA40F" w14:textId="77777777" w:rsidR="00BF18CF" w:rsidRDefault="00E51347">
            <w:r>
              <w:t xml:space="preserve">Cette classe comprend les activités desquelles résulte la diminution, du fait du retrait d'un élément, d'une instance de </w:t>
            </w:r>
            <w:r>
              <w:rPr>
                <w:rFonts w:ascii="Consolas" w:eastAsia="Consolas" w:hAnsi="Consolas" w:cs="Consolas"/>
                <w:sz w:val="22"/>
                <w:szCs w:val="22"/>
                <w:shd w:val="clear" w:color="auto" w:fill="EAEEF3"/>
              </w:rPr>
              <w:t>E18_Chose_matérielle</w:t>
            </w:r>
            <w:r>
              <w:t>.</w:t>
            </w:r>
          </w:p>
          <w:p w14:paraId="7B9BA797" w14:textId="77777777" w:rsidR="00BF18CF" w:rsidRDefault="00E51347">
            <w:r>
              <w:t xml:space="preserve">Des scénarios typiques de retrait d'élément incluent le détachement d'un accessoire, le retrait d'un composant ou d'une partie d'un objet composite ou l'aliénation d'un objet d'une instance de </w:t>
            </w:r>
            <w:r>
              <w:rPr>
                <w:rFonts w:ascii="Consolas" w:eastAsia="Consolas" w:hAnsi="Consolas" w:cs="Consolas"/>
                <w:sz w:val="22"/>
                <w:szCs w:val="22"/>
                <w:shd w:val="clear" w:color="auto" w:fill="EAEEF3"/>
              </w:rPr>
              <w:t>E78_Collection</w:t>
            </w:r>
            <w:r>
              <w:t>.</w:t>
            </w:r>
          </w:p>
          <w:p w14:paraId="1D794B63" w14:textId="77777777" w:rsidR="00BF18CF" w:rsidRDefault="00E51347">
            <w:r>
              <w:t xml:space="preserve">Si l'instance de </w:t>
            </w:r>
            <w:r>
              <w:rPr>
                <w:rFonts w:ascii="Consolas" w:eastAsia="Consolas" w:hAnsi="Consolas" w:cs="Consolas"/>
                <w:sz w:val="22"/>
                <w:szCs w:val="22"/>
                <w:shd w:val="clear" w:color="auto" w:fill="EAEEF3"/>
              </w:rPr>
              <w:t>E80_Retrait_d’élément</w:t>
            </w:r>
            <w:r>
              <w:t xml:space="preserve"> résulte en la décomposition complète de l'objet original en morceaux de telle sorte que ce dernier cesse d'exister en tant que tout, l'activité doit être modélisée comme une instance de </w:t>
            </w:r>
            <w:r>
              <w:rPr>
                <w:rFonts w:ascii="Consolas" w:eastAsia="Consolas" w:hAnsi="Consolas" w:cs="Consolas"/>
                <w:sz w:val="22"/>
                <w:szCs w:val="22"/>
                <w:shd w:val="clear" w:color="auto" w:fill="EAEEF3"/>
              </w:rPr>
              <w:t>E81_Transformation</w:t>
            </w:r>
            <w:r>
              <w:t xml:space="preserve">, c.-à-d. une destruction et une production simultanées. Si l'élément retiré n'avait pas d'identité propre avant son retrait, mais qu'il en acquiert une à la suite de celui-ci, l'activité doit être modélisée à la fois comme instance de </w:t>
            </w:r>
            <w:r>
              <w:rPr>
                <w:rFonts w:ascii="Consolas" w:eastAsia="Consolas" w:hAnsi="Consolas" w:cs="Consolas"/>
                <w:sz w:val="22"/>
                <w:szCs w:val="22"/>
                <w:shd w:val="clear" w:color="auto" w:fill="EAEEF3"/>
              </w:rPr>
              <w:t>E80_Retrait_d’élément</w:t>
            </w:r>
            <w:r>
              <w:t xml:space="preserve"> et de </w:t>
            </w:r>
            <w:r>
              <w:rPr>
                <w:rFonts w:ascii="Consolas" w:eastAsia="Consolas" w:hAnsi="Consolas" w:cs="Consolas"/>
                <w:sz w:val="22"/>
                <w:szCs w:val="22"/>
                <w:shd w:val="clear" w:color="auto" w:fill="EAEEF3"/>
              </w:rPr>
              <w:t>E12_Production</w:t>
            </w:r>
            <w:r>
              <w:t>.</w:t>
            </w:r>
          </w:p>
          <w:p w14:paraId="514DCE6F" w14:textId="77777777" w:rsidR="00BF18CF" w:rsidRDefault="00E51347">
            <w:r>
              <w:rPr>
                <w:rFonts w:ascii="Consolas" w:eastAsia="Consolas" w:hAnsi="Consolas" w:cs="Consolas"/>
                <w:sz w:val="22"/>
                <w:szCs w:val="22"/>
                <w:shd w:val="clear" w:color="auto" w:fill="EAEEF3"/>
              </w:rPr>
              <w:t>E80_Retrait_d'élément</w:t>
            </w:r>
            <w:r>
              <w:t xml:space="preserve"> établit un cadre de raisonnement à propos de l'histoire et de la continuité de l'identité des objets qui sont retirés d'autres objets à travers le temps. Ceci s'applique par exemple à des pierres précieuses desserties plusieurs fois de suite de différents bijoux, ou encore à des artefacts culturels aliénés de différentes instances de </w:t>
            </w:r>
            <w:r>
              <w:rPr>
                <w:rFonts w:ascii="Consolas" w:eastAsia="Consolas" w:hAnsi="Consolas" w:cs="Consolas"/>
                <w:sz w:val="22"/>
                <w:szCs w:val="22"/>
                <w:shd w:val="clear" w:color="auto" w:fill="EAEEF3"/>
              </w:rPr>
              <w:t>E78_Collection</w:t>
            </w:r>
            <w:r>
              <w:t xml:space="preserve"> durant leur existence.</w:t>
            </w:r>
          </w:p>
        </w:tc>
      </w:tr>
      <w:tr w:rsidR="00BF18CF" w14:paraId="4F546A22" w14:textId="77777777" w:rsidTr="00BF18CF">
        <w:tc>
          <w:tcPr>
            <w:tcW w:w="1745" w:type="dxa"/>
          </w:tcPr>
          <w:p w14:paraId="503271D9"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45" w:type="dxa"/>
          </w:tcPr>
          <w:p w14:paraId="3A467E07" w14:textId="77777777" w:rsidR="00BF18CF" w:rsidRDefault="00E51347">
            <w:pPr>
              <w:numPr>
                <w:ilvl w:val="0"/>
                <w:numId w:val="19"/>
              </w:numPr>
            </w:pPr>
            <w:r>
              <w:t>Le retrait du moteur de ma voiture (fictif)</w:t>
            </w:r>
          </w:p>
          <w:p w14:paraId="3D5DB779" w14:textId="77777777" w:rsidR="00BF18CF" w:rsidRDefault="00E51347">
            <w:pPr>
              <w:numPr>
                <w:ilvl w:val="0"/>
                <w:numId w:val="19"/>
              </w:numPr>
            </w:pPr>
            <w:r>
              <w:t>L'aliénation de l'objet « 1976:234 » de la collection à laquelle il appartenait (fictif)</w:t>
            </w:r>
          </w:p>
        </w:tc>
      </w:tr>
      <w:tr w:rsidR="00BF18CF" w14:paraId="2C65FB52" w14:textId="77777777" w:rsidTr="00BF18CF">
        <w:tc>
          <w:tcPr>
            <w:tcW w:w="1745" w:type="dxa"/>
          </w:tcPr>
          <w:p w14:paraId="747877A2"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45" w:type="dxa"/>
          </w:tcPr>
          <w:p w14:paraId="4C928786" w14:textId="77777777" w:rsidR="00BF18CF" w:rsidRDefault="00E51347">
            <w:r>
              <w:t>E80(x) ⇒ E11(x)</w:t>
            </w:r>
          </w:p>
        </w:tc>
      </w:tr>
      <w:tr w:rsidR="00BF18CF" w14:paraId="712DB822" w14:textId="77777777" w:rsidTr="00BF18CF">
        <w:tc>
          <w:tcPr>
            <w:tcW w:w="1745" w:type="dxa"/>
          </w:tcPr>
          <w:p w14:paraId="5F6731E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45" w:type="dxa"/>
          </w:tcPr>
          <w:p w14:paraId="14F194AE" w14:textId="77777777" w:rsidR="00BF18CF" w:rsidRDefault="00E51347">
            <w:r>
              <w:rPr>
                <w:rFonts w:ascii="Consolas" w:eastAsia="Consolas" w:hAnsi="Consolas" w:cs="Consolas"/>
                <w:sz w:val="22"/>
                <w:szCs w:val="22"/>
                <w:shd w:val="clear" w:color="auto" w:fill="EAEEF3"/>
              </w:rPr>
              <w:t>P112_a_diminué (a_été_diminué_par)</w:t>
            </w:r>
            <w:r>
              <w:t xml:space="preserve"> : </w:t>
            </w:r>
            <w:r>
              <w:rPr>
                <w:rFonts w:ascii="Consolas" w:eastAsia="Consolas" w:hAnsi="Consolas" w:cs="Consolas"/>
                <w:sz w:val="22"/>
                <w:szCs w:val="22"/>
                <w:shd w:val="clear" w:color="auto" w:fill="EAEEF3"/>
              </w:rPr>
              <w:t>E24_Chose_matérielle_élaborée_par_l’humain</w:t>
            </w:r>
          </w:p>
          <w:p w14:paraId="12E18811" w14:textId="77777777" w:rsidR="00BF18CF" w:rsidRDefault="00E51347">
            <w:r>
              <w:rPr>
                <w:rFonts w:ascii="Consolas" w:eastAsia="Consolas" w:hAnsi="Consolas" w:cs="Consolas"/>
                <w:sz w:val="22"/>
                <w:szCs w:val="22"/>
                <w:shd w:val="clear" w:color="auto" w:fill="EAEEF3"/>
              </w:rPr>
              <w:t>P113_a_retiré (a_été_retiré_par)</w:t>
            </w:r>
            <w:r>
              <w:t xml:space="preserve"> : </w:t>
            </w:r>
            <w:r>
              <w:rPr>
                <w:rFonts w:ascii="Consolas" w:eastAsia="Consolas" w:hAnsi="Consolas" w:cs="Consolas"/>
                <w:sz w:val="22"/>
                <w:szCs w:val="22"/>
                <w:shd w:val="clear" w:color="auto" w:fill="EAEEF3"/>
              </w:rPr>
              <w:t>E18_Chose_matérielle</w:t>
            </w:r>
          </w:p>
        </w:tc>
      </w:tr>
      <w:tr w:rsidR="00BF18CF" w14:paraId="0F4BA638" w14:textId="77777777" w:rsidTr="00BF18CF">
        <w:tc>
          <w:tcPr>
            <w:tcW w:w="1745" w:type="dxa"/>
          </w:tcPr>
          <w:p w14:paraId="01FDE6E4" w14:textId="627ADA5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45" w:type="dxa"/>
          </w:tcPr>
          <w:p w14:paraId="048F7A18" w14:textId="77777777" w:rsidR="00BF18CF" w:rsidRDefault="00BF18CF">
            <w:pPr>
              <w:pBdr>
                <w:top w:val="nil"/>
                <w:left w:val="nil"/>
                <w:bottom w:val="nil"/>
                <w:right w:val="nil"/>
                <w:between w:val="nil"/>
              </w:pBdr>
              <w:spacing w:before="36" w:after="36"/>
              <w:rPr>
                <w:color w:val="000000"/>
              </w:rPr>
            </w:pPr>
          </w:p>
        </w:tc>
      </w:tr>
      <w:tr w:rsidR="00BF18CF" w14:paraId="0302736C" w14:textId="77777777" w:rsidTr="00BF18CF">
        <w:tc>
          <w:tcPr>
            <w:tcW w:w="1745" w:type="dxa"/>
          </w:tcPr>
          <w:p w14:paraId="64345EF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45" w:type="dxa"/>
          </w:tcPr>
          <w:p w14:paraId="482D0AC1" w14:textId="77777777" w:rsidR="00BF18CF" w:rsidRDefault="00BF18CF">
            <w:pPr>
              <w:pBdr>
                <w:top w:val="nil"/>
                <w:left w:val="nil"/>
                <w:bottom w:val="nil"/>
                <w:right w:val="nil"/>
                <w:between w:val="nil"/>
              </w:pBdr>
              <w:spacing w:before="36" w:after="36"/>
              <w:rPr>
                <w:color w:val="000000"/>
              </w:rPr>
            </w:pPr>
          </w:p>
        </w:tc>
      </w:tr>
    </w:tbl>
    <w:p w14:paraId="10129987" w14:textId="77777777" w:rsidR="00BF18CF" w:rsidRDefault="00E51347">
      <w:pPr>
        <w:pStyle w:val="Heading3"/>
      </w:pPr>
      <w:bookmarkStart w:id="234" w:name="bookmark=id.1a346fx" w:colFirst="0" w:colLast="0"/>
      <w:bookmarkStart w:id="235" w:name="_Toc144360860"/>
      <w:bookmarkEnd w:id="234"/>
      <w:r>
        <w:t>E81 Transformation</w:t>
      </w:r>
      <w:bookmarkEnd w:id="235"/>
    </w:p>
    <w:tbl>
      <w:tblPr>
        <w:tblStyle w:val="af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79"/>
        <w:gridCol w:w="8911"/>
      </w:tblGrid>
      <w:tr w:rsidR="00BF18CF" w14:paraId="0A545B05" w14:textId="77777777" w:rsidTr="00BF18CF">
        <w:tc>
          <w:tcPr>
            <w:tcW w:w="1779" w:type="dxa"/>
          </w:tcPr>
          <w:p w14:paraId="349898BA"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11" w:type="dxa"/>
          </w:tcPr>
          <w:p w14:paraId="5D27E964" w14:textId="77777777" w:rsidR="00BF18CF" w:rsidRDefault="00E51347">
            <w:r>
              <w:rPr>
                <w:rFonts w:ascii="Consolas" w:eastAsia="Consolas" w:hAnsi="Consolas" w:cs="Consolas"/>
                <w:sz w:val="22"/>
                <w:szCs w:val="22"/>
                <w:shd w:val="clear" w:color="auto" w:fill="EAEEF3"/>
              </w:rPr>
              <w:t>E63_Début_d’existence</w:t>
            </w:r>
          </w:p>
          <w:p w14:paraId="5F3188A7" w14:textId="77777777" w:rsidR="00BF18CF" w:rsidRDefault="00E51347">
            <w:r>
              <w:rPr>
                <w:rFonts w:ascii="Consolas" w:eastAsia="Consolas" w:hAnsi="Consolas" w:cs="Consolas"/>
                <w:sz w:val="22"/>
                <w:szCs w:val="22"/>
                <w:shd w:val="clear" w:color="auto" w:fill="EAEEF3"/>
              </w:rPr>
              <w:t>E64_Fin_d’existence</w:t>
            </w:r>
          </w:p>
        </w:tc>
      </w:tr>
      <w:tr w:rsidR="00BF18CF" w14:paraId="6C3F9838" w14:textId="77777777" w:rsidTr="00BF18CF">
        <w:tc>
          <w:tcPr>
            <w:tcW w:w="1779" w:type="dxa"/>
          </w:tcPr>
          <w:p w14:paraId="613474F4"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11" w:type="dxa"/>
          </w:tcPr>
          <w:p w14:paraId="34779FF0" w14:textId="77777777" w:rsidR="00BF18CF" w:rsidRDefault="00BF18CF">
            <w:pPr>
              <w:pBdr>
                <w:top w:val="nil"/>
                <w:left w:val="nil"/>
                <w:bottom w:val="nil"/>
                <w:right w:val="nil"/>
                <w:between w:val="nil"/>
              </w:pBdr>
              <w:spacing w:before="36" w:after="36"/>
              <w:rPr>
                <w:color w:val="000000"/>
              </w:rPr>
            </w:pPr>
          </w:p>
        </w:tc>
      </w:tr>
      <w:tr w:rsidR="00BF18CF" w14:paraId="3849B819" w14:textId="77777777" w:rsidTr="00BF18CF">
        <w:tc>
          <w:tcPr>
            <w:tcW w:w="1779" w:type="dxa"/>
          </w:tcPr>
          <w:p w14:paraId="5EBF9AF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11" w:type="dxa"/>
          </w:tcPr>
          <w:p w14:paraId="77A91B65" w14:textId="77777777" w:rsidR="00BF18CF" w:rsidRDefault="00E51347">
            <w:r>
              <w:t xml:space="preserve">Cette classe comprend les évènements qui ont pour effet de mener simultanément à la destruction d’une ou de plusieurs instances de </w:t>
            </w:r>
            <w:r>
              <w:rPr>
                <w:rFonts w:ascii="Consolas" w:eastAsia="Consolas" w:hAnsi="Consolas" w:cs="Consolas"/>
                <w:sz w:val="22"/>
                <w:szCs w:val="22"/>
                <w:shd w:val="clear" w:color="auto" w:fill="EAEEF3"/>
              </w:rPr>
              <w:t>E18_Chose_matérielle</w:t>
            </w:r>
            <w:r>
              <w:t xml:space="preserve"> et à la création d’une ou de plusieurs instances de </w:t>
            </w:r>
            <w:r>
              <w:rPr>
                <w:rFonts w:ascii="Consolas" w:eastAsia="Consolas" w:hAnsi="Consolas" w:cs="Consolas"/>
                <w:sz w:val="22"/>
                <w:szCs w:val="22"/>
                <w:shd w:val="clear" w:color="auto" w:fill="EAEEF3"/>
              </w:rPr>
              <w:t>E18_Chose_matérielle</w:t>
            </w:r>
            <w:r>
              <w:t>. Ces dernières conservent des premières une substance et une structure reconnaissables, mais leur nature ou leur identité est fondamentalement différente.</w:t>
            </w:r>
          </w:p>
          <w:p w14:paraId="2D8CE2D6" w14:textId="77777777" w:rsidR="00BF18CF" w:rsidRDefault="00E51347">
            <w:r>
              <w:t xml:space="preserve">Bien que les anciennes et les nouvelles instances de </w:t>
            </w:r>
            <w:r>
              <w:rPr>
                <w:rFonts w:ascii="Consolas" w:eastAsia="Consolas" w:hAnsi="Consolas" w:cs="Consolas"/>
                <w:sz w:val="22"/>
                <w:szCs w:val="22"/>
                <w:shd w:val="clear" w:color="auto" w:fill="EAEEF3"/>
              </w:rPr>
              <w:t>E18_Chose_matérielle</w:t>
            </w:r>
            <w:r>
              <w:t xml:space="preserve"> soient traitées comme des entités distinctes ayant chacune son identité propre et unique, </w:t>
            </w:r>
            <w:r>
              <w:lastRenderedPageBreak/>
              <w:t xml:space="preserve">elles sont causalement connectées par une instance de </w:t>
            </w:r>
            <w:r>
              <w:rPr>
                <w:rFonts w:ascii="Consolas" w:eastAsia="Consolas" w:hAnsi="Consolas" w:cs="Consolas"/>
                <w:sz w:val="22"/>
                <w:szCs w:val="22"/>
                <w:shd w:val="clear" w:color="auto" w:fill="EAEEF3"/>
              </w:rPr>
              <w:t>E81_Transformation</w:t>
            </w:r>
            <w:r>
              <w:t xml:space="preserve">. La destruction de la ou des instance(s) initiale(s) de </w:t>
            </w:r>
            <w:r>
              <w:rPr>
                <w:rFonts w:ascii="Consolas" w:eastAsia="Consolas" w:hAnsi="Consolas" w:cs="Consolas"/>
                <w:sz w:val="22"/>
                <w:szCs w:val="22"/>
                <w:shd w:val="clear" w:color="auto" w:fill="EAEEF3"/>
              </w:rPr>
              <w:t>E18_Chose_matérielle</w:t>
            </w:r>
            <w:r>
              <w:t xml:space="preserve"> provoque la création de la ou des nouvelle(s) instance(s) qui utilise(nt) ou conserve(nt) les éléments substantiels ou structurels pertinents.</w:t>
            </w:r>
          </w:p>
          <w:p w14:paraId="10E6EA03" w14:textId="77777777" w:rsidR="00BF18CF" w:rsidRDefault="00E51347">
            <w:r>
              <w:t xml:space="preserve">Les instances de </w:t>
            </w:r>
            <w:r>
              <w:rPr>
                <w:rFonts w:ascii="Consolas" w:eastAsia="Consolas" w:hAnsi="Consolas" w:cs="Consolas"/>
                <w:sz w:val="22"/>
                <w:szCs w:val="22"/>
                <w:shd w:val="clear" w:color="auto" w:fill="EAEEF3"/>
              </w:rPr>
              <w:t>E81_Transformation</w:t>
            </w:r>
            <w:r>
              <w:t xml:space="preserve"> sont donc distinctes [n.d.t. des instances de </w:t>
            </w:r>
            <w:r>
              <w:rPr>
                <w:rFonts w:ascii="Consolas" w:eastAsia="Consolas" w:hAnsi="Consolas" w:cs="Consolas"/>
                <w:sz w:val="22"/>
                <w:szCs w:val="22"/>
                <w:shd w:val="clear" w:color="auto" w:fill="EAEEF3"/>
              </w:rPr>
              <w:t>E17_Assignation_de_type</w:t>
            </w:r>
            <w:r>
              <w:t xml:space="preserve"> (lesquelles induisent une reclassification) ainsi que des instances de </w:t>
            </w:r>
            <w:r>
              <w:rPr>
                <w:rFonts w:ascii="Consolas" w:eastAsia="Consolas" w:hAnsi="Consolas" w:cs="Consolas"/>
                <w:sz w:val="22"/>
                <w:szCs w:val="22"/>
                <w:shd w:val="clear" w:color="auto" w:fill="EAEEF3"/>
              </w:rPr>
              <w:t>E11_Modification</w:t>
            </w:r>
            <w:r>
              <w:t xml:space="preserve"> (lesquelles induisent évidemment une modification) puisque ces activités] ne changent pas fondamentalement leur nature ou leur identité. La reconstruction et la conversion de bâtiments historiques ou de ruines, les incendies laissant des bâtiments en ruines et la taxidermie de spécimens d’histoire naturelle [n.d.t. sont quelques exemples représentatifs de </w:t>
            </w:r>
            <w:r>
              <w:rPr>
                <w:rFonts w:ascii="Consolas" w:eastAsia="Consolas" w:hAnsi="Consolas" w:cs="Consolas"/>
                <w:sz w:val="22"/>
                <w:szCs w:val="22"/>
                <w:shd w:val="clear" w:color="auto" w:fill="EAEEF3"/>
              </w:rPr>
              <w:t>E81_Transformation</w:t>
            </w:r>
            <w:r>
              <w:t>].</w:t>
            </w:r>
          </w:p>
          <w:p w14:paraId="05AC2666" w14:textId="77777777" w:rsidR="00BF18CF" w:rsidRDefault="00E51347">
            <w:r>
              <w:t xml:space="preserve">Même si les instances de </w:t>
            </w:r>
            <w:r>
              <w:rPr>
                <w:rFonts w:ascii="Consolas" w:eastAsia="Consolas" w:hAnsi="Consolas" w:cs="Consolas"/>
                <w:sz w:val="22"/>
                <w:szCs w:val="22"/>
                <w:shd w:val="clear" w:color="auto" w:fill="EAEEF3"/>
              </w:rPr>
              <w:t>E81_Transformation</w:t>
            </w:r>
            <w:r>
              <w:t xml:space="preserve"> sont souvent motivées par un changement d’utilisation prévue, ce sont les changements matériels substantiels qui justifient la documentation du résultat en une nouvelle instance de </w:t>
            </w:r>
            <w:r>
              <w:rPr>
                <w:rFonts w:ascii="Consolas" w:eastAsia="Consolas" w:hAnsi="Consolas" w:cs="Consolas"/>
                <w:sz w:val="22"/>
                <w:szCs w:val="22"/>
                <w:shd w:val="clear" w:color="auto" w:fill="EAEEF3"/>
              </w:rPr>
              <w:t>E18_Chose_matérielle</w:t>
            </w:r>
            <w:r>
              <w:t xml:space="preserve">, et non le seul changement de fonction. Celui-ci peut être documenté par une activité (instance de </w:t>
            </w:r>
            <w:r>
              <w:rPr>
                <w:rFonts w:ascii="Consolas" w:eastAsia="Consolas" w:hAnsi="Consolas" w:cs="Consolas"/>
                <w:sz w:val="22"/>
                <w:szCs w:val="22"/>
                <w:shd w:val="clear" w:color="auto" w:fill="EAEEF3"/>
              </w:rPr>
              <w:t>E7_Activité</w:t>
            </w:r>
            <w:r>
              <w:t>) d’utilisation prolongée.</w:t>
            </w:r>
          </w:p>
        </w:tc>
      </w:tr>
      <w:tr w:rsidR="00BF18CF" w14:paraId="36DA73D1" w14:textId="77777777" w:rsidTr="00BF18CF">
        <w:tc>
          <w:tcPr>
            <w:tcW w:w="1779" w:type="dxa"/>
          </w:tcPr>
          <w:p w14:paraId="7F2874E4"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11" w:type="dxa"/>
          </w:tcPr>
          <w:p w14:paraId="4E19388D" w14:textId="77777777" w:rsidR="00BF18CF" w:rsidRDefault="00E51347">
            <w:pPr>
              <w:numPr>
                <w:ilvl w:val="0"/>
                <w:numId w:val="19"/>
              </w:numPr>
            </w:pPr>
            <w:r>
              <w:t>La momification de Toutânkhamon (</w:t>
            </w:r>
            <w:r>
              <w:rPr>
                <w:rFonts w:ascii="Consolas" w:eastAsia="Consolas" w:hAnsi="Consolas" w:cs="Consolas"/>
                <w:sz w:val="22"/>
                <w:szCs w:val="22"/>
                <w:shd w:val="clear" w:color="auto" w:fill="EAEEF3"/>
              </w:rPr>
              <w:t>E81_Transformation</w:t>
            </w:r>
            <w:r>
              <w:t xml:space="preserve">, </w:t>
            </w:r>
            <w:r>
              <w:rPr>
                <w:rFonts w:ascii="Consolas" w:eastAsia="Consolas" w:hAnsi="Consolas" w:cs="Consolas"/>
                <w:sz w:val="22"/>
                <w:szCs w:val="22"/>
                <w:shd w:val="clear" w:color="auto" w:fill="EAEEF3"/>
              </w:rPr>
              <w:t>E12_Production</w:t>
            </w:r>
            <w:r>
              <w:t>) [la momification du corps du défunt est un processus de production propre à l’humain qui préserve simultanément les structures du corps au moment du décès et avant celui-ci]</w:t>
            </w:r>
          </w:p>
          <w:p w14:paraId="389B5E74" w14:textId="77777777" w:rsidR="00BF18CF" w:rsidRDefault="00E51347">
            <w:pPr>
              <w:numPr>
                <w:ilvl w:val="0"/>
                <w:numId w:val="19"/>
              </w:numPr>
            </w:pPr>
            <w:r>
              <w:t>La mort, la carbonisation et la pétrification de certains habitants de Pompéi en 79 EC provoquées par la chaleur intense d’un nuage pyroclastique et par les cendres provenant de l’éruption du mont Vésuve (</w:t>
            </w:r>
            <w:r>
              <w:rPr>
                <w:rFonts w:ascii="Consolas" w:eastAsia="Consolas" w:hAnsi="Consolas" w:cs="Consolas"/>
                <w:sz w:val="22"/>
                <w:szCs w:val="22"/>
                <w:shd w:val="clear" w:color="auto" w:fill="EAEEF3"/>
              </w:rPr>
              <w:t>E69_Mort</w:t>
            </w:r>
            <w:r>
              <w:t xml:space="preserve">, </w:t>
            </w:r>
            <w:r>
              <w:rPr>
                <w:rFonts w:ascii="Consolas" w:eastAsia="Consolas" w:hAnsi="Consolas" w:cs="Consolas"/>
                <w:sz w:val="22"/>
                <w:szCs w:val="22"/>
                <w:shd w:val="clear" w:color="auto" w:fill="EAEEF3"/>
              </w:rPr>
              <w:t>E81_Transformation</w:t>
            </w:r>
            <w:r>
              <w:t>)</w:t>
            </w:r>
          </w:p>
          <w:p w14:paraId="3B834AD4" w14:textId="77777777" w:rsidR="00BF18CF" w:rsidRDefault="00E51347">
            <w:pPr>
              <w:numPr>
                <w:ilvl w:val="0"/>
                <w:numId w:val="19"/>
              </w:numPr>
            </w:pPr>
            <w:r>
              <w:t>La transformation du temple Héphaïstéion à Athènes, mieux connu sous le nom de « Théséion », en une église chrétienne dédiée à saint Georges vers 700 EC (</w:t>
            </w:r>
            <w:r>
              <w:rPr>
                <w:rFonts w:ascii="Consolas" w:eastAsia="Consolas" w:hAnsi="Consolas" w:cs="Consolas"/>
                <w:sz w:val="22"/>
                <w:szCs w:val="22"/>
                <w:shd w:val="clear" w:color="auto" w:fill="EAEEF3"/>
              </w:rPr>
              <w:t>E81_Transformation</w:t>
            </w:r>
            <w:r>
              <w:t xml:space="preserve">, </w:t>
            </w:r>
            <w:r>
              <w:rPr>
                <w:rFonts w:ascii="Consolas" w:eastAsia="Consolas" w:hAnsi="Consolas" w:cs="Consolas"/>
                <w:sz w:val="22"/>
                <w:szCs w:val="22"/>
                <w:shd w:val="clear" w:color="auto" w:fill="EAEEF3"/>
              </w:rPr>
              <w:t>E12_Production</w:t>
            </w:r>
            <w:r>
              <w:t>) [ce qui a permis de préserver une partie de la structure du temple antique construit à partir de 449 AEC]</w:t>
            </w:r>
          </w:p>
        </w:tc>
      </w:tr>
      <w:tr w:rsidR="00BF18CF" w14:paraId="62201C28" w14:textId="77777777" w:rsidTr="00BF18CF">
        <w:tc>
          <w:tcPr>
            <w:tcW w:w="1779" w:type="dxa"/>
          </w:tcPr>
          <w:p w14:paraId="7599F9B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11" w:type="dxa"/>
          </w:tcPr>
          <w:p w14:paraId="2F0E6ED9" w14:textId="77777777" w:rsidR="00BF18CF" w:rsidRDefault="00E51347">
            <w:r>
              <w:t>E81(x) ⇒ E63(x)</w:t>
            </w:r>
          </w:p>
          <w:p w14:paraId="57BF54AC" w14:textId="77777777" w:rsidR="00BF18CF" w:rsidRDefault="00E51347">
            <w:r>
              <w:t>E81(x) ⇒ E64 (x)</w:t>
            </w:r>
          </w:p>
        </w:tc>
      </w:tr>
      <w:tr w:rsidR="00BF18CF" w14:paraId="5493A83D" w14:textId="77777777" w:rsidTr="00BF18CF">
        <w:tc>
          <w:tcPr>
            <w:tcW w:w="1779" w:type="dxa"/>
          </w:tcPr>
          <w:p w14:paraId="04E503E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11" w:type="dxa"/>
          </w:tcPr>
          <w:p w14:paraId="60D442F5" w14:textId="77777777" w:rsidR="00BF18CF" w:rsidRDefault="00E51347">
            <w:r>
              <w:rPr>
                <w:rFonts w:ascii="Consolas" w:eastAsia="Consolas" w:hAnsi="Consolas" w:cs="Consolas"/>
                <w:sz w:val="22"/>
                <w:szCs w:val="22"/>
                <w:shd w:val="clear" w:color="auto" w:fill="EAEEF3"/>
              </w:rPr>
              <w:t>P123_a_eu_pour_résultat (a_résulté_de)</w:t>
            </w:r>
            <w:r>
              <w:t xml:space="preserve"> : </w:t>
            </w:r>
            <w:r>
              <w:rPr>
                <w:rFonts w:ascii="Consolas" w:eastAsia="Consolas" w:hAnsi="Consolas" w:cs="Consolas"/>
                <w:sz w:val="22"/>
                <w:szCs w:val="22"/>
                <w:shd w:val="clear" w:color="auto" w:fill="EAEEF3"/>
              </w:rPr>
              <w:t>E18_Chose_matérielle</w:t>
            </w:r>
          </w:p>
          <w:p w14:paraId="4A19A31F" w14:textId="77777777" w:rsidR="00BF18CF" w:rsidRDefault="00E51347">
            <w:r>
              <w:rPr>
                <w:rFonts w:ascii="Consolas" w:eastAsia="Consolas" w:hAnsi="Consolas" w:cs="Consolas"/>
                <w:sz w:val="22"/>
                <w:szCs w:val="22"/>
                <w:shd w:val="clear" w:color="auto" w:fill="EAEEF3"/>
              </w:rPr>
              <w:t>P124_a_transformé (a_été_transformé_par)</w:t>
            </w:r>
            <w:r>
              <w:t xml:space="preserve"> : </w:t>
            </w:r>
            <w:r>
              <w:rPr>
                <w:rFonts w:ascii="Consolas" w:eastAsia="Consolas" w:hAnsi="Consolas" w:cs="Consolas"/>
                <w:sz w:val="22"/>
                <w:szCs w:val="22"/>
                <w:shd w:val="clear" w:color="auto" w:fill="EAEEF3"/>
              </w:rPr>
              <w:t>E18_Chose_matérielle</w:t>
            </w:r>
          </w:p>
        </w:tc>
      </w:tr>
      <w:tr w:rsidR="00BF18CF" w14:paraId="509C2498" w14:textId="77777777" w:rsidTr="00BF18CF">
        <w:tc>
          <w:tcPr>
            <w:tcW w:w="1779" w:type="dxa"/>
          </w:tcPr>
          <w:p w14:paraId="3FAA0D0B" w14:textId="52B025E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11" w:type="dxa"/>
          </w:tcPr>
          <w:p w14:paraId="79C33383" w14:textId="77777777" w:rsidR="00BF18CF" w:rsidRDefault="00BF18CF">
            <w:pPr>
              <w:pBdr>
                <w:top w:val="nil"/>
                <w:left w:val="nil"/>
                <w:bottom w:val="nil"/>
                <w:right w:val="nil"/>
                <w:between w:val="nil"/>
              </w:pBdr>
              <w:spacing w:before="36" w:after="36"/>
              <w:rPr>
                <w:color w:val="000000"/>
              </w:rPr>
            </w:pPr>
          </w:p>
        </w:tc>
      </w:tr>
      <w:tr w:rsidR="00BF18CF" w14:paraId="41FE7E1A" w14:textId="77777777" w:rsidTr="00BF18CF">
        <w:tc>
          <w:tcPr>
            <w:tcW w:w="1779" w:type="dxa"/>
          </w:tcPr>
          <w:p w14:paraId="1134CCB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11" w:type="dxa"/>
          </w:tcPr>
          <w:p w14:paraId="319F2941" w14:textId="77777777" w:rsidR="00BF18CF" w:rsidRDefault="00BF18CF">
            <w:pPr>
              <w:pBdr>
                <w:top w:val="nil"/>
                <w:left w:val="nil"/>
                <w:bottom w:val="nil"/>
                <w:right w:val="nil"/>
                <w:between w:val="nil"/>
              </w:pBdr>
              <w:spacing w:before="36" w:after="36"/>
              <w:rPr>
                <w:color w:val="000000"/>
              </w:rPr>
            </w:pPr>
          </w:p>
        </w:tc>
      </w:tr>
    </w:tbl>
    <w:p w14:paraId="5B387CF7" w14:textId="77777777" w:rsidR="00BF18CF" w:rsidRDefault="00E51347">
      <w:pPr>
        <w:pStyle w:val="Heading3"/>
      </w:pPr>
      <w:bookmarkStart w:id="236" w:name="bookmark=id.3u2rp3q" w:colFirst="0" w:colLast="0"/>
      <w:bookmarkStart w:id="237" w:name="_Toc144360861"/>
      <w:bookmarkEnd w:id="236"/>
      <w:r>
        <w:t>E83 Création de type</w:t>
      </w:r>
      <w:bookmarkEnd w:id="237"/>
    </w:p>
    <w:tbl>
      <w:tblPr>
        <w:tblStyle w:val="a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60"/>
        <w:gridCol w:w="8930"/>
      </w:tblGrid>
      <w:tr w:rsidR="00BF18CF" w14:paraId="1F7D1785" w14:textId="77777777" w:rsidTr="00BF18CF">
        <w:tc>
          <w:tcPr>
            <w:tcW w:w="1760" w:type="dxa"/>
          </w:tcPr>
          <w:p w14:paraId="211F018C"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30" w:type="dxa"/>
          </w:tcPr>
          <w:p w14:paraId="3D8B2E54" w14:textId="77777777" w:rsidR="00BF18CF" w:rsidRDefault="00E51347">
            <w:r>
              <w:rPr>
                <w:rFonts w:ascii="Consolas" w:eastAsia="Consolas" w:hAnsi="Consolas" w:cs="Consolas"/>
                <w:sz w:val="22"/>
                <w:szCs w:val="22"/>
                <w:shd w:val="clear" w:color="auto" w:fill="EAEEF3"/>
              </w:rPr>
              <w:t>E65_Création</w:t>
            </w:r>
          </w:p>
        </w:tc>
      </w:tr>
      <w:tr w:rsidR="00BF18CF" w14:paraId="0D910B3C" w14:textId="77777777" w:rsidTr="00BF18CF">
        <w:tc>
          <w:tcPr>
            <w:tcW w:w="1760" w:type="dxa"/>
          </w:tcPr>
          <w:p w14:paraId="1CFC1C57" w14:textId="77777777" w:rsidR="00BF18CF" w:rsidRDefault="00E51347">
            <w:pPr>
              <w:pBdr>
                <w:top w:val="nil"/>
                <w:left w:val="nil"/>
                <w:bottom w:val="nil"/>
                <w:right w:val="nil"/>
                <w:between w:val="nil"/>
              </w:pBdr>
              <w:spacing w:before="36" w:after="36"/>
              <w:rPr>
                <w:color w:val="000000"/>
              </w:rPr>
            </w:pPr>
            <w:r>
              <w:rPr>
                <w:b/>
                <w:color w:val="000000"/>
              </w:rPr>
              <w:lastRenderedPageBreak/>
              <w:t>Super-classe de</w:t>
            </w:r>
          </w:p>
        </w:tc>
        <w:tc>
          <w:tcPr>
            <w:tcW w:w="8930" w:type="dxa"/>
          </w:tcPr>
          <w:p w14:paraId="0ED7F2FA" w14:textId="77777777" w:rsidR="00BF18CF" w:rsidRDefault="00BF18CF">
            <w:pPr>
              <w:pBdr>
                <w:top w:val="nil"/>
                <w:left w:val="nil"/>
                <w:bottom w:val="nil"/>
                <w:right w:val="nil"/>
                <w:between w:val="nil"/>
              </w:pBdr>
              <w:spacing w:before="36" w:after="36"/>
              <w:rPr>
                <w:color w:val="000000"/>
              </w:rPr>
            </w:pPr>
          </w:p>
        </w:tc>
      </w:tr>
      <w:tr w:rsidR="00BF18CF" w14:paraId="56E5EFAF" w14:textId="77777777" w:rsidTr="00BF18CF">
        <w:tc>
          <w:tcPr>
            <w:tcW w:w="1760" w:type="dxa"/>
          </w:tcPr>
          <w:p w14:paraId="1068A8E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30" w:type="dxa"/>
          </w:tcPr>
          <w:p w14:paraId="1A258BC7" w14:textId="77777777" w:rsidR="00BF18CF" w:rsidRDefault="00E51347">
            <w:r>
              <w:t>Cette classe comprend les activités définissant formellement de nouveaux types d’entités.</w:t>
            </w:r>
          </w:p>
          <w:p w14:paraId="2D70188D" w14:textId="77777777" w:rsidR="00BF18CF" w:rsidRDefault="00E51347">
            <w:r>
              <w:t>C’est généralement un processus savant ou scientifique rigoureux qui garantit qu’un type est décrit de manière exhaustive et qu’il est nommé de manière appropriée.</w:t>
            </w:r>
          </w:p>
          <w:p w14:paraId="406AA919" w14:textId="77777777" w:rsidR="00BF18CF" w:rsidRDefault="00E51347">
            <w:r>
              <w:t xml:space="preserve">Dans certains cas, en particulier en archéologie ou en sciences de la vie, </w:t>
            </w:r>
            <w:r>
              <w:rPr>
                <w:rFonts w:ascii="Consolas" w:eastAsia="Consolas" w:hAnsi="Consolas" w:cs="Consolas"/>
                <w:sz w:val="22"/>
                <w:szCs w:val="22"/>
                <w:shd w:val="clear" w:color="auto" w:fill="EAEEF3"/>
              </w:rPr>
              <w:t>E83_Création_de_type</w:t>
            </w:r>
            <w:r>
              <w:t xml:space="preserve"> nécessite l’identification d’un spécimen de référence et la publication de la définition de son type dans un forum de discussion scientifique approprié. L’activité modélisée comme une instance de </w:t>
            </w:r>
            <w:r>
              <w:rPr>
                <w:rFonts w:ascii="Consolas" w:eastAsia="Consolas" w:hAnsi="Consolas" w:cs="Consolas"/>
                <w:sz w:val="22"/>
                <w:szCs w:val="22"/>
                <w:shd w:val="clear" w:color="auto" w:fill="EAEEF3"/>
              </w:rPr>
              <w:t>E83_Création_de_type</w:t>
            </w:r>
            <w:r>
              <w:t xml:space="preserve"> est essentielle à la recherche en sciences de la vie. Dans ce domaine, le « taxon » fait référence au type, le « protologue » à la description du type et le « type original » ou « holotype » aux spécimens de référence.</w:t>
            </w:r>
          </w:p>
        </w:tc>
      </w:tr>
      <w:tr w:rsidR="00BF18CF" w14:paraId="0362B844" w14:textId="77777777" w:rsidTr="00BF18CF">
        <w:tc>
          <w:tcPr>
            <w:tcW w:w="1760" w:type="dxa"/>
          </w:tcPr>
          <w:p w14:paraId="4E28F0F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30" w:type="dxa"/>
          </w:tcPr>
          <w:p w14:paraId="13B18FF3" w14:textId="77777777" w:rsidR="00BF18CF" w:rsidRDefault="00E51347">
            <w:pPr>
              <w:numPr>
                <w:ilvl w:val="0"/>
                <w:numId w:val="19"/>
              </w:numPr>
            </w:pPr>
            <w:r>
              <w:t xml:space="preserve">Création du taxon </w:t>
            </w:r>
            <w:r>
              <w:rPr>
                <w:i/>
              </w:rPr>
              <w:t>Penicillium brefeldianum</w:t>
            </w:r>
            <w:r>
              <w:t xml:space="preserve"> (Dodge, 1933)</w:t>
            </w:r>
          </w:p>
          <w:p w14:paraId="1DEC0AB0" w14:textId="77777777" w:rsidR="00BF18CF" w:rsidRDefault="00E51347">
            <w:pPr>
              <w:numPr>
                <w:ilvl w:val="0"/>
                <w:numId w:val="19"/>
              </w:numPr>
            </w:pPr>
            <w:r>
              <w:t xml:space="preserve">Ajout de la classe </w:t>
            </w:r>
            <w:r>
              <w:rPr>
                <w:rFonts w:ascii="Consolas" w:eastAsia="Consolas" w:hAnsi="Consolas" w:cs="Consolas"/>
                <w:sz w:val="22"/>
                <w:szCs w:val="22"/>
                <w:shd w:val="clear" w:color="auto" w:fill="EAEEF3"/>
              </w:rPr>
              <w:t>E85_Adhésion</w:t>
            </w:r>
            <w:r>
              <w:t xml:space="preserve"> au CIDOC CRM</w:t>
            </w:r>
          </w:p>
        </w:tc>
      </w:tr>
      <w:tr w:rsidR="00BF18CF" w14:paraId="00877E74" w14:textId="77777777" w:rsidTr="00BF18CF">
        <w:tc>
          <w:tcPr>
            <w:tcW w:w="1760" w:type="dxa"/>
          </w:tcPr>
          <w:p w14:paraId="7D43B04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30" w:type="dxa"/>
          </w:tcPr>
          <w:p w14:paraId="28CDF6F3" w14:textId="77777777" w:rsidR="00BF18CF" w:rsidRDefault="00E51347">
            <w:r>
              <w:t>E83(x) ⇒ E65(x)</w:t>
            </w:r>
          </w:p>
        </w:tc>
      </w:tr>
      <w:tr w:rsidR="00BF18CF" w14:paraId="0E4FF496" w14:textId="77777777" w:rsidTr="00BF18CF">
        <w:tc>
          <w:tcPr>
            <w:tcW w:w="1760" w:type="dxa"/>
          </w:tcPr>
          <w:p w14:paraId="690AE82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30" w:type="dxa"/>
          </w:tcPr>
          <w:p w14:paraId="62781879" w14:textId="77777777" w:rsidR="00BF18CF" w:rsidRDefault="00E51347">
            <w:r>
              <w:rPr>
                <w:rFonts w:ascii="Consolas" w:eastAsia="Consolas" w:hAnsi="Consolas" w:cs="Consolas"/>
                <w:sz w:val="22"/>
                <w:szCs w:val="22"/>
                <w:shd w:val="clear" w:color="auto" w:fill="EAEEF3"/>
              </w:rPr>
              <w:t>P135_a_créé_le_type (a_été_créé_par)</w:t>
            </w:r>
            <w:r>
              <w:t xml:space="preserve"> : </w:t>
            </w:r>
            <w:r>
              <w:rPr>
                <w:rFonts w:ascii="Consolas" w:eastAsia="Consolas" w:hAnsi="Consolas" w:cs="Consolas"/>
                <w:sz w:val="22"/>
                <w:szCs w:val="22"/>
                <w:shd w:val="clear" w:color="auto" w:fill="EAEEF3"/>
              </w:rPr>
              <w:t>E55_Type</w:t>
            </w:r>
          </w:p>
          <w:p w14:paraId="344FC122" w14:textId="77777777" w:rsidR="00BF18CF" w:rsidRDefault="00E51347">
            <w:r>
              <w:rPr>
                <w:rFonts w:ascii="Consolas" w:eastAsia="Consolas" w:hAnsi="Consolas" w:cs="Consolas"/>
                <w:sz w:val="22"/>
                <w:szCs w:val="22"/>
                <w:shd w:val="clear" w:color="auto" w:fill="EAEEF3"/>
              </w:rPr>
              <w:t>P136_a_été_fondé_sur (a_fondé_la_création_du_type)</w:t>
            </w:r>
            <w:r>
              <w:t xml:space="preserve"> : </w:t>
            </w:r>
            <w:r>
              <w:rPr>
                <w:rFonts w:ascii="Consolas" w:eastAsia="Consolas" w:hAnsi="Consolas" w:cs="Consolas"/>
                <w:sz w:val="22"/>
                <w:szCs w:val="22"/>
                <w:shd w:val="clear" w:color="auto" w:fill="EAEEF3"/>
              </w:rPr>
              <w:t>E1_Entité_CRM</w:t>
            </w:r>
          </w:p>
          <w:p w14:paraId="72B113C2" w14:textId="77777777" w:rsidR="00BF18CF" w:rsidRDefault="00E51347">
            <w:r>
              <w:t>(</w:t>
            </w:r>
            <w:r>
              <w:rPr>
                <w:rFonts w:ascii="Consolas" w:eastAsia="Consolas" w:hAnsi="Consolas" w:cs="Consolas"/>
                <w:sz w:val="22"/>
                <w:szCs w:val="22"/>
                <w:shd w:val="clear" w:color="auto" w:fill="EAEEF3"/>
              </w:rPr>
              <w:t>P136.1_dans_le_rôle_taxonomique_de</w:t>
            </w:r>
            <w:r>
              <w:t xml:space="preserve"> : </w:t>
            </w:r>
            <w:r>
              <w:rPr>
                <w:rFonts w:ascii="Consolas" w:eastAsia="Consolas" w:hAnsi="Consolas" w:cs="Consolas"/>
                <w:sz w:val="22"/>
                <w:szCs w:val="22"/>
                <w:shd w:val="clear" w:color="auto" w:fill="EAEEF3"/>
              </w:rPr>
              <w:t>E55_Type</w:t>
            </w:r>
            <w:r>
              <w:t>)</w:t>
            </w:r>
          </w:p>
        </w:tc>
      </w:tr>
      <w:tr w:rsidR="00BF18CF" w14:paraId="1938281B" w14:textId="77777777" w:rsidTr="00BF18CF">
        <w:tc>
          <w:tcPr>
            <w:tcW w:w="1760" w:type="dxa"/>
          </w:tcPr>
          <w:p w14:paraId="2C66E2C1" w14:textId="406D2DF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30" w:type="dxa"/>
          </w:tcPr>
          <w:p w14:paraId="0215CBCD" w14:textId="77777777" w:rsidR="00BF18CF" w:rsidRDefault="00BF18CF">
            <w:pPr>
              <w:pBdr>
                <w:top w:val="nil"/>
                <w:left w:val="nil"/>
                <w:bottom w:val="nil"/>
                <w:right w:val="nil"/>
                <w:between w:val="nil"/>
              </w:pBdr>
              <w:spacing w:before="36" w:after="36"/>
              <w:rPr>
                <w:color w:val="000000"/>
              </w:rPr>
            </w:pPr>
          </w:p>
        </w:tc>
      </w:tr>
      <w:tr w:rsidR="00BF18CF" w14:paraId="063B7AF1" w14:textId="77777777" w:rsidTr="00BF18CF">
        <w:tc>
          <w:tcPr>
            <w:tcW w:w="1760" w:type="dxa"/>
          </w:tcPr>
          <w:p w14:paraId="1A6742D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30" w:type="dxa"/>
          </w:tcPr>
          <w:p w14:paraId="067D0BD4" w14:textId="77777777" w:rsidR="00BF18CF" w:rsidRDefault="00BF18CF">
            <w:pPr>
              <w:pBdr>
                <w:top w:val="nil"/>
                <w:left w:val="nil"/>
                <w:bottom w:val="nil"/>
                <w:right w:val="nil"/>
                <w:between w:val="nil"/>
              </w:pBdr>
              <w:spacing w:before="36" w:after="36"/>
              <w:rPr>
                <w:color w:val="000000"/>
              </w:rPr>
            </w:pPr>
          </w:p>
        </w:tc>
      </w:tr>
    </w:tbl>
    <w:p w14:paraId="32E8287F" w14:textId="77777777" w:rsidR="00BF18CF" w:rsidRDefault="00E51347">
      <w:pPr>
        <w:pStyle w:val="Heading3"/>
      </w:pPr>
      <w:bookmarkStart w:id="238" w:name="bookmark=id.2981zbj" w:colFirst="0" w:colLast="0"/>
      <w:bookmarkStart w:id="239" w:name="_Toc144360862"/>
      <w:bookmarkEnd w:id="238"/>
      <w:r>
        <w:t>E85 Adhésion</w:t>
      </w:r>
      <w:bookmarkEnd w:id="239"/>
    </w:p>
    <w:tbl>
      <w:tblPr>
        <w:tblStyle w:val="a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9"/>
        <w:gridCol w:w="8901"/>
      </w:tblGrid>
      <w:tr w:rsidR="00BF18CF" w14:paraId="539B418A" w14:textId="77777777" w:rsidTr="00BF18CF">
        <w:tc>
          <w:tcPr>
            <w:tcW w:w="1789" w:type="dxa"/>
          </w:tcPr>
          <w:p w14:paraId="0F666BC7"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1" w:type="dxa"/>
          </w:tcPr>
          <w:p w14:paraId="67416A63" w14:textId="77777777" w:rsidR="00BF18CF" w:rsidRDefault="00E51347">
            <w:r>
              <w:rPr>
                <w:rFonts w:ascii="Consolas" w:eastAsia="Consolas" w:hAnsi="Consolas" w:cs="Consolas"/>
                <w:sz w:val="22"/>
                <w:szCs w:val="22"/>
                <w:shd w:val="clear" w:color="auto" w:fill="EAEEF3"/>
              </w:rPr>
              <w:t>E7_Activité</w:t>
            </w:r>
          </w:p>
        </w:tc>
      </w:tr>
      <w:tr w:rsidR="00BF18CF" w14:paraId="2081EF35" w14:textId="77777777" w:rsidTr="00BF18CF">
        <w:tc>
          <w:tcPr>
            <w:tcW w:w="1789" w:type="dxa"/>
          </w:tcPr>
          <w:p w14:paraId="062E225A"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1" w:type="dxa"/>
          </w:tcPr>
          <w:p w14:paraId="32E89AA8" w14:textId="77777777" w:rsidR="00BF18CF" w:rsidRDefault="00BF18CF">
            <w:pPr>
              <w:pBdr>
                <w:top w:val="nil"/>
                <w:left w:val="nil"/>
                <w:bottom w:val="nil"/>
                <w:right w:val="nil"/>
                <w:between w:val="nil"/>
              </w:pBdr>
              <w:spacing w:before="36" w:after="36"/>
              <w:rPr>
                <w:color w:val="000000"/>
              </w:rPr>
            </w:pPr>
          </w:p>
        </w:tc>
      </w:tr>
      <w:tr w:rsidR="00BF18CF" w14:paraId="11E5AF29" w14:textId="77777777" w:rsidTr="00BF18CF">
        <w:tc>
          <w:tcPr>
            <w:tcW w:w="1789" w:type="dxa"/>
          </w:tcPr>
          <w:p w14:paraId="33C2855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1" w:type="dxa"/>
          </w:tcPr>
          <w:p w14:paraId="48833B11" w14:textId="77777777" w:rsidR="00BF18CF" w:rsidRDefault="00E51347">
            <w:r>
              <w:t xml:space="preserve">Cette classe comprend les activités qui font qu’une instance de </w:t>
            </w:r>
            <w:r>
              <w:rPr>
                <w:rFonts w:ascii="Consolas" w:eastAsia="Consolas" w:hAnsi="Consolas" w:cs="Consolas"/>
                <w:sz w:val="22"/>
                <w:szCs w:val="22"/>
                <w:shd w:val="clear" w:color="auto" w:fill="EAEEF3"/>
              </w:rPr>
              <w:t>E39_Actant</w:t>
            </w:r>
            <w:r>
              <w:t xml:space="preserve"> devient membre d’une instance de </w:t>
            </w:r>
            <w:r>
              <w:rPr>
                <w:rFonts w:ascii="Consolas" w:eastAsia="Consolas" w:hAnsi="Consolas" w:cs="Consolas"/>
                <w:sz w:val="22"/>
                <w:szCs w:val="22"/>
                <w:shd w:val="clear" w:color="auto" w:fill="EAEEF3"/>
              </w:rPr>
              <w:t>E74_Groupe</w:t>
            </w:r>
            <w:r>
              <w:t>. Cette classe n’implique pas une initiative de l’une ou l’autre des parties impliquées. Il peut s’agir de l’initiative d’une tierce partie.</w:t>
            </w:r>
          </w:p>
          <w:p w14:paraId="6D7DE5CC" w14:textId="77777777" w:rsidR="00BF18CF" w:rsidRDefault="00E51347">
            <w:r>
              <w:t xml:space="preserve">Des exemples typiques d’instances de </w:t>
            </w:r>
            <w:r>
              <w:rPr>
                <w:rFonts w:ascii="Consolas" w:eastAsia="Consolas" w:hAnsi="Consolas" w:cs="Consolas"/>
                <w:sz w:val="22"/>
                <w:szCs w:val="22"/>
                <w:shd w:val="clear" w:color="auto" w:fill="EAEEF3"/>
              </w:rPr>
              <w:t>E85_Adhésion</w:t>
            </w:r>
            <w:r>
              <w:t xml:space="preserve"> sont le fait de devenir membre d’une organisation sociale, le fait pour une personne d’être employée d’une compagnie, un mariage, l’adoption d’un enfant par une famille, et l’investiture d’une personne à un poste officiel.</w:t>
            </w:r>
          </w:p>
        </w:tc>
      </w:tr>
      <w:tr w:rsidR="00BF18CF" w14:paraId="34B0C6D8" w14:textId="77777777" w:rsidTr="00BF18CF">
        <w:tc>
          <w:tcPr>
            <w:tcW w:w="1789" w:type="dxa"/>
          </w:tcPr>
          <w:p w14:paraId="337D68A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01" w:type="dxa"/>
          </w:tcPr>
          <w:p w14:paraId="6D2571D6" w14:textId="77777777" w:rsidR="00BF18CF" w:rsidRDefault="00E51347">
            <w:pPr>
              <w:numPr>
                <w:ilvl w:val="0"/>
                <w:numId w:val="19"/>
              </w:numPr>
            </w:pPr>
            <w:r>
              <w:t>L’élection de Sir Isaac Newton, en 1689, en tant que membre du Parlement d’Angleterre pour l’Université de Cambridge à la convention du Parlement (Gleick, 2003)</w:t>
            </w:r>
          </w:p>
          <w:p w14:paraId="508D1966" w14:textId="77777777" w:rsidR="00BF18CF" w:rsidRDefault="00E51347">
            <w:pPr>
              <w:numPr>
                <w:ilvl w:val="0"/>
                <w:numId w:val="19"/>
              </w:numPr>
            </w:pPr>
            <w:r>
              <w:lastRenderedPageBreak/>
              <w:t>L’investiture de Mikhaïl Sergueïevitch Gorbatchev en tant que dirigeant de l’Union des républiques socialistes soviétiques (URSS) en 1985 (Butson, 1986)</w:t>
            </w:r>
          </w:p>
          <w:p w14:paraId="5014453B" w14:textId="77777777" w:rsidR="00BF18CF" w:rsidRDefault="00E51347">
            <w:pPr>
              <w:numPr>
                <w:ilvl w:val="0"/>
                <w:numId w:val="19"/>
              </w:numPr>
            </w:pPr>
            <w:r>
              <w:t>La mise en application du traité d’adhésion du Danemark à l’Union européenne le 1er janvier 1993</w:t>
            </w:r>
          </w:p>
        </w:tc>
      </w:tr>
      <w:tr w:rsidR="00BF18CF" w14:paraId="2648D37D" w14:textId="77777777" w:rsidTr="00BF18CF">
        <w:tc>
          <w:tcPr>
            <w:tcW w:w="1789" w:type="dxa"/>
          </w:tcPr>
          <w:p w14:paraId="7CC92136"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01" w:type="dxa"/>
          </w:tcPr>
          <w:p w14:paraId="4B0BFF2A" w14:textId="77777777" w:rsidR="00BF18CF" w:rsidRDefault="00E51347">
            <w:r>
              <w:t>E85(x) ⇒ E7(x)</w:t>
            </w:r>
          </w:p>
        </w:tc>
      </w:tr>
      <w:tr w:rsidR="00BF18CF" w14:paraId="18654A01" w14:textId="77777777" w:rsidTr="00BF18CF">
        <w:tc>
          <w:tcPr>
            <w:tcW w:w="1789" w:type="dxa"/>
          </w:tcPr>
          <w:p w14:paraId="52E6251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1" w:type="dxa"/>
          </w:tcPr>
          <w:p w14:paraId="6229FCE2" w14:textId="77777777" w:rsidR="00BF18CF" w:rsidRDefault="00E51347">
            <w:r>
              <w:rPr>
                <w:rFonts w:ascii="Consolas" w:eastAsia="Consolas" w:hAnsi="Consolas" w:cs="Consolas"/>
                <w:sz w:val="22"/>
                <w:szCs w:val="22"/>
                <w:shd w:val="clear" w:color="auto" w:fill="EAEEF3"/>
              </w:rPr>
              <w:t>P143_a_fait_adhérer (a_adhéré_par)</w:t>
            </w:r>
            <w:r>
              <w:t xml:space="preserve"> : </w:t>
            </w:r>
            <w:r>
              <w:rPr>
                <w:rFonts w:ascii="Consolas" w:eastAsia="Consolas" w:hAnsi="Consolas" w:cs="Consolas"/>
                <w:sz w:val="22"/>
                <w:szCs w:val="22"/>
                <w:shd w:val="clear" w:color="auto" w:fill="EAEEF3"/>
              </w:rPr>
              <w:t>E39_Actant</w:t>
            </w:r>
          </w:p>
          <w:p w14:paraId="7FD74AE8" w14:textId="77777777" w:rsidR="00BF18CF" w:rsidRDefault="00E51347">
            <w:r>
              <w:rPr>
                <w:rFonts w:ascii="Consolas" w:eastAsia="Consolas" w:hAnsi="Consolas" w:cs="Consolas"/>
                <w:sz w:val="22"/>
                <w:szCs w:val="22"/>
                <w:shd w:val="clear" w:color="auto" w:fill="EAEEF3"/>
              </w:rPr>
              <w:t>P144_a_fait_adhérer_à (a_accueilli_le_membre_par)</w:t>
            </w:r>
            <w:r>
              <w:t xml:space="preserve"> : </w:t>
            </w:r>
            <w:r>
              <w:rPr>
                <w:rFonts w:ascii="Consolas" w:eastAsia="Consolas" w:hAnsi="Consolas" w:cs="Consolas"/>
                <w:sz w:val="22"/>
                <w:szCs w:val="22"/>
                <w:shd w:val="clear" w:color="auto" w:fill="EAEEF3"/>
              </w:rPr>
              <w:t>E74_Groupe</w:t>
            </w:r>
          </w:p>
          <w:p w14:paraId="01619A33" w14:textId="77777777" w:rsidR="00BF18CF" w:rsidRDefault="00E51347">
            <w:r>
              <w:t>(</w:t>
            </w:r>
            <w:r>
              <w:rPr>
                <w:rFonts w:ascii="Consolas" w:eastAsia="Consolas" w:hAnsi="Consolas" w:cs="Consolas"/>
                <w:sz w:val="22"/>
                <w:szCs w:val="22"/>
                <w:shd w:val="clear" w:color="auto" w:fill="EAEEF3"/>
              </w:rPr>
              <w:t>P144.1_sorte_de_membre</w:t>
            </w:r>
            <w:r>
              <w:t xml:space="preserve"> : </w:t>
            </w:r>
            <w:r>
              <w:rPr>
                <w:rFonts w:ascii="Consolas" w:eastAsia="Consolas" w:hAnsi="Consolas" w:cs="Consolas"/>
                <w:sz w:val="22"/>
                <w:szCs w:val="22"/>
                <w:shd w:val="clear" w:color="auto" w:fill="EAEEF3"/>
              </w:rPr>
              <w:t>E55_Type</w:t>
            </w:r>
            <w:r>
              <w:t>)</w:t>
            </w:r>
          </w:p>
        </w:tc>
      </w:tr>
      <w:tr w:rsidR="00BF18CF" w14:paraId="7E84B1C4" w14:textId="77777777" w:rsidTr="00BF18CF">
        <w:tc>
          <w:tcPr>
            <w:tcW w:w="1789" w:type="dxa"/>
          </w:tcPr>
          <w:p w14:paraId="00D4DA0A" w14:textId="33B232E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1" w:type="dxa"/>
          </w:tcPr>
          <w:p w14:paraId="00BD702A" w14:textId="77777777" w:rsidR="00BF18CF" w:rsidRDefault="00BF18CF">
            <w:pPr>
              <w:pBdr>
                <w:top w:val="nil"/>
                <w:left w:val="nil"/>
                <w:bottom w:val="nil"/>
                <w:right w:val="nil"/>
                <w:between w:val="nil"/>
              </w:pBdr>
              <w:spacing w:before="36" w:after="36"/>
              <w:rPr>
                <w:color w:val="000000"/>
              </w:rPr>
            </w:pPr>
          </w:p>
        </w:tc>
      </w:tr>
      <w:tr w:rsidR="00BF18CF" w14:paraId="2D971B47" w14:textId="77777777" w:rsidTr="00BF18CF">
        <w:tc>
          <w:tcPr>
            <w:tcW w:w="1789" w:type="dxa"/>
          </w:tcPr>
          <w:p w14:paraId="43A4AA3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1" w:type="dxa"/>
          </w:tcPr>
          <w:p w14:paraId="1F237047" w14:textId="77777777" w:rsidR="00BF18CF" w:rsidRDefault="00BF18CF">
            <w:pPr>
              <w:pBdr>
                <w:top w:val="nil"/>
                <w:left w:val="nil"/>
                <w:bottom w:val="nil"/>
                <w:right w:val="nil"/>
                <w:between w:val="nil"/>
              </w:pBdr>
              <w:spacing w:before="36" w:after="36"/>
              <w:rPr>
                <w:color w:val="000000"/>
              </w:rPr>
            </w:pPr>
          </w:p>
        </w:tc>
      </w:tr>
    </w:tbl>
    <w:p w14:paraId="18FE3136" w14:textId="77777777" w:rsidR="00BF18CF" w:rsidRDefault="00E51347">
      <w:pPr>
        <w:pStyle w:val="Heading3"/>
      </w:pPr>
      <w:bookmarkStart w:id="240" w:name="bookmark=id.odc9jc" w:colFirst="0" w:colLast="0"/>
      <w:bookmarkStart w:id="241" w:name="_Toc144360863"/>
      <w:bookmarkEnd w:id="240"/>
      <w:r>
        <w:t>E86 Départ</w:t>
      </w:r>
      <w:bookmarkEnd w:id="241"/>
    </w:p>
    <w:tbl>
      <w:tblPr>
        <w:tblStyle w:val="a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4"/>
        <w:gridCol w:w="8906"/>
      </w:tblGrid>
      <w:tr w:rsidR="00BF18CF" w14:paraId="096EA08E" w14:textId="77777777" w:rsidTr="00BF18CF">
        <w:tc>
          <w:tcPr>
            <w:tcW w:w="1784" w:type="dxa"/>
          </w:tcPr>
          <w:p w14:paraId="6AB2A3DB"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6" w:type="dxa"/>
          </w:tcPr>
          <w:p w14:paraId="6244EE16" w14:textId="77777777" w:rsidR="00BF18CF" w:rsidRDefault="00E51347">
            <w:r>
              <w:rPr>
                <w:rFonts w:ascii="Consolas" w:eastAsia="Consolas" w:hAnsi="Consolas" w:cs="Consolas"/>
                <w:sz w:val="22"/>
                <w:szCs w:val="22"/>
                <w:shd w:val="clear" w:color="auto" w:fill="EAEEF3"/>
              </w:rPr>
              <w:t>E7_Activité</w:t>
            </w:r>
          </w:p>
        </w:tc>
      </w:tr>
      <w:tr w:rsidR="00BF18CF" w14:paraId="2B6B6B89" w14:textId="77777777" w:rsidTr="00BF18CF">
        <w:tc>
          <w:tcPr>
            <w:tcW w:w="1784" w:type="dxa"/>
          </w:tcPr>
          <w:p w14:paraId="741223E6"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6" w:type="dxa"/>
          </w:tcPr>
          <w:p w14:paraId="76F83739" w14:textId="77777777" w:rsidR="00BF18CF" w:rsidRDefault="00BF18CF">
            <w:pPr>
              <w:pBdr>
                <w:top w:val="nil"/>
                <w:left w:val="nil"/>
                <w:bottom w:val="nil"/>
                <w:right w:val="nil"/>
                <w:between w:val="nil"/>
              </w:pBdr>
              <w:spacing w:before="36" w:after="36"/>
              <w:rPr>
                <w:color w:val="000000"/>
              </w:rPr>
            </w:pPr>
          </w:p>
        </w:tc>
      </w:tr>
      <w:tr w:rsidR="00BF18CF" w14:paraId="45C18F3D" w14:textId="77777777" w:rsidTr="00BF18CF">
        <w:tc>
          <w:tcPr>
            <w:tcW w:w="1784" w:type="dxa"/>
          </w:tcPr>
          <w:p w14:paraId="53093AE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6" w:type="dxa"/>
          </w:tcPr>
          <w:p w14:paraId="2425FC2D" w14:textId="77777777" w:rsidR="00BF18CF" w:rsidRDefault="00E51347">
            <w:r>
              <w:t xml:space="preserve">Cette classe comprend les activités qui entraînent la dissociation d’une instance de </w:t>
            </w:r>
            <w:r>
              <w:rPr>
                <w:rFonts w:ascii="Consolas" w:eastAsia="Consolas" w:hAnsi="Consolas" w:cs="Consolas"/>
                <w:sz w:val="22"/>
                <w:szCs w:val="22"/>
                <w:shd w:val="clear" w:color="auto" w:fill="EAEEF3"/>
              </w:rPr>
              <w:t>E39_Actant</w:t>
            </w:r>
            <w:r>
              <w:t xml:space="preserve"> d’une instance de </w:t>
            </w:r>
            <w:r>
              <w:rPr>
                <w:rFonts w:ascii="Consolas" w:eastAsia="Consolas" w:hAnsi="Consolas" w:cs="Consolas"/>
                <w:sz w:val="22"/>
                <w:szCs w:val="22"/>
                <w:shd w:val="clear" w:color="auto" w:fill="EAEEF3"/>
              </w:rPr>
              <w:t>E74_Groupe</w:t>
            </w:r>
            <w:r>
              <w:t>. Cette classe n’implique pas une initiative de l’une ou l’autre des parties impliquées. Il peut s’agir de l’initiative d’une tierce partie.</w:t>
            </w:r>
          </w:p>
          <w:p w14:paraId="604803AB" w14:textId="77777777" w:rsidR="00BF18CF" w:rsidRDefault="00E51347">
            <w:r>
              <w:t xml:space="preserve">Des exemples typiques d’instances de </w:t>
            </w:r>
            <w:r>
              <w:rPr>
                <w:rFonts w:ascii="Consolas" w:eastAsia="Consolas" w:hAnsi="Consolas" w:cs="Consolas"/>
                <w:sz w:val="22"/>
                <w:szCs w:val="22"/>
                <w:shd w:val="clear" w:color="auto" w:fill="EAEEF3"/>
              </w:rPr>
              <w:t>E86_Départ</w:t>
            </w:r>
            <w:r>
              <w:t xml:space="preserve"> sont la fin de l’appartenance à une organisation sociale, la fin d’un emploi au sein d’une compagnie, un divorce, et la fin d’un mandat d’une personne dans un poste officiel.</w:t>
            </w:r>
          </w:p>
        </w:tc>
      </w:tr>
      <w:tr w:rsidR="00BF18CF" w14:paraId="1407CDE7" w14:textId="77777777" w:rsidTr="00BF18CF">
        <w:tc>
          <w:tcPr>
            <w:tcW w:w="1784" w:type="dxa"/>
          </w:tcPr>
          <w:p w14:paraId="2DA0E20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06" w:type="dxa"/>
          </w:tcPr>
          <w:p w14:paraId="100B788A" w14:textId="77777777" w:rsidR="00BF18CF" w:rsidRDefault="00E51347">
            <w:pPr>
              <w:numPr>
                <w:ilvl w:val="0"/>
                <w:numId w:val="19"/>
              </w:numPr>
            </w:pPr>
            <w:r>
              <w:t>La fin du mandat de Sir Isaac Newton, en 1702, en tant que membre Parlement d’Angleterre pour l’Université de Cambridge à la convention du Parlement (Gleick, 2003)</w:t>
            </w:r>
          </w:p>
          <w:p w14:paraId="231C0BBE" w14:textId="77777777" w:rsidR="00BF18CF" w:rsidRDefault="00E51347">
            <w:pPr>
              <w:numPr>
                <w:ilvl w:val="0"/>
                <w:numId w:val="19"/>
              </w:numPr>
            </w:pPr>
            <w:r>
              <w:t>George Washington quittant ses fonctions en 1797 (Jones, 1979)</w:t>
            </w:r>
          </w:p>
          <w:p w14:paraId="05FB480D" w14:textId="77777777" w:rsidR="00BF18CF" w:rsidRDefault="00E51347">
            <w:pPr>
              <w:numPr>
                <w:ilvl w:val="0"/>
                <w:numId w:val="19"/>
              </w:numPr>
            </w:pPr>
            <w:r>
              <w:t>La mise en place [n.d.t. « Traité sur le Groenland »] entre l’Union européenne, le Danemark et le Groenland le 1er février 1985</w:t>
            </w:r>
          </w:p>
        </w:tc>
      </w:tr>
      <w:tr w:rsidR="00BF18CF" w14:paraId="1E43D9CA" w14:textId="77777777" w:rsidTr="00BF18CF">
        <w:tc>
          <w:tcPr>
            <w:tcW w:w="1784" w:type="dxa"/>
          </w:tcPr>
          <w:p w14:paraId="0A72CCB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6" w:type="dxa"/>
          </w:tcPr>
          <w:p w14:paraId="7124725A" w14:textId="77777777" w:rsidR="00BF18CF" w:rsidRDefault="00E51347">
            <w:r>
              <w:t>E86(x) ⇒ E7(x)</w:t>
            </w:r>
          </w:p>
        </w:tc>
      </w:tr>
      <w:tr w:rsidR="00BF18CF" w14:paraId="7F7720E5" w14:textId="77777777" w:rsidTr="00BF18CF">
        <w:tc>
          <w:tcPr>
            <w:tcW w:w="1784" w:type="dxa"/>
          </w:tcPr>
          <w:p w14:paraId="2C06CDD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6" w:type="dxa"/>
          </w:tcPr>
          <w:p w14:paraId="1C144299" w14:textId="77777777" w:rsidR="00BF18CF" w:rsidRDefault="00E51347">
            <w:r>
              <w:rPr>
                <w:rFonts w:ascii="Consolas" w:eastAsia="Consolas" w:hAnsi="Consolas" w:cs="Consolas"/>
                <w:sz w:val="22"/>
                <w:szCs w:val="22"/>
                <w:shd w:val="clear" w:color="auto" w:fill="EAEEF3"/>
              </w:rPr>
              <w:t>P145_a_dissocié (est_dissocié_par)</w:t>
            </w:r>
            <w:r>
              <w:t xml:space="preserve"> : </w:t>
            </w:r>
            <w:r>
              <w:rPr>
                <w:rFonts w:ascii="Consolas" w:eastAsia="Consolas" w:hAnsi="Consolas" w:cs="Consolas"/>
                <w:sz w:val="22"/>
                <w:szCs w:val="22"/>
                <w:shd w:val="clear" w:color="auto" w:fill="EAEEF3"/>
              </w:rPr>
              <w:t>E39_Actant</w:t>
            </w:r>
          </w:p>
          <w:p w14:paraId="504B9A9C" w14:textId="77777777" w:rsidR="00BF18CF" w:rsidRDefault="00E51347">
            <w:r>
              <w:rPr>
                <w:rFonts w:ascii="Consolas" w:eastAsia="Consolas" w:hAnsi="Consolas" w:cs="Consolas"/>
                <w:sz w:val="22"/>
                <w:szCs w:val="22"/>
                <w:shd w:val="clear" w:color="auto" w:fill="EAEEF3"/>
              </w:rPr>
              <w:t>P146_a_dissocié_de (a_perdu_le_membre_par)</w:t>
            </w:r>
            <w:r>
              <w:t> : </w:t>
            </w:r>
            <w:r>
              <w:rPr>
                <w:rFonts w:ascii="Consolas" w:eastAsia="Consolas" w:hAnsi="Consolas" w:cs="Consolas"/>
                <w:sz w:val="22"/>
                <w:szCs w:val="22"/>
                <w:shd w:val="clear" w:color="auto" w:fill="EAEEF3"/>
              </w:rPr>
              <w:t>E74_Groupe</w:t>
            </w:r>
          </w:p>
        </w:tc>
      </w:tr>
      <w:tr w:rsidR="00BF18CF" w14:paraId="430EC29A" w14:textId="77777777" w:rsidTr="00BF18CF">
        <w:tc>
          <w:tcPr>
            <w:tcW w:w="1784" w:type="dxa"/>
          </w:tcPr>
          <w:p w14:paraId="1835E34F" w14:textId="288193D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6" w:type="dxa"/>
          </w:tcPr>
          <w:p w14:paraId="665E19C0" w14:textId="77777777" w:rsidR="00BF18CF" w:rsidRDefault="00BF18CF">
            <w:pPr>
              <w:pBdr>
                <w:top w:val="nil"/>
                <w:left w:val="nil"/>
                <w:bottom w:val="nil"/>
                <w:right w:val="nil"/>
                <w:between w:val="nil"/>
              </w:pBdr>
              <w:spacing w:before="36" w:after="36"/>
              <w:rPr>
                <w:color w:val="000000"/>
              </w:rPr>
            </w:pPr>
          </w:p>
        </w:tc>
      </w:tr>
      <w:tr w:rsidR="00BF18CF" w14:paraId="77C05077" w14:textId="77777777" w:rsidTr="00BF18CF">
        <w:tc>
          <w:tcPr>
            <w:tcW w:w="1784" w:type="dxa"/>
          </w:tcPr>
          <w:p w14:paraId="284C5E5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6" w:type="dxa"/>
          </w:tcPr>
          <w:p w14:paraId="14CC2BFD" w14:textId="77777777" w:rsidR="00BF18CF" w:rsidRDefault="00BF18CF">
            <w:pPr>
              <w:pBdr>
                <w:top w:val="nil"/>
                <w:left w:val="nil"/>
                <w:bottom w:val="nil"/>
                <w:right w:val="nil"/>
                <w:between w:val="nil"/>
              </w:pBdr>
              <w:spacing w:before="36" w:after="36"/>
              <w:rPr>
                <w:color w:val="000000"/>
              </w:rPr>
            </w:pPr>
          </w:p>
        </w:tc>
      </w:tr>
    </w:tbl>
    <w:p w14:paraId="27DBD0FB" w14:textId="77777777" w:rsidR="00BF18CF" w:rsidRDefault="00E51347">
      <w:pPr>
        <w:pStyle w:val="Heading3"/>
      </w:pPr>
      <w:bookmarkStart w:id="242" w:name="bookmark=id.38czs75" w:colFirst="0" w:colLast="0"/>
      <w:bookmarkStart w:id="243" w:name="_Toc144360864"/>
      <w:bookmarkEnd w:id="242"/>
      <w:r>
        <w:lastRenderedPageBreak/>
        <w:t>E87 Activité curatoriale</w:t>
      </w:r>
      <w:bookmarkEnd w:id="243"/>
    </w:p>
    <w:tbl>
      <w:tblPr>
        <w:tblStyle w:val="a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80"/>
        <w:gridCol w:w="8910"/>
      </w:tblGrid>
      <w:tr w:rsidR="00BF18CF" w14:paraId="0F5FBB33" w14:textId="77777777" w:rsidTr="00BF18CF">
        <w:tc>
          <w:tcPr>
            <w:tcW w:w="1780" w:type="dxa"/>
          </w:tcPr>
          <w:p w14:paraId="36ECE874"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10" w:type="dxa"/>
          </w:tcPr>
          <w:p w14:paraId="399E779E" w14:textId="77777777" w:rsidR="00BF18CF" w:rsidRDefault="00E51347">
            <w:r>
              <w:rPr>
                <w:rFonts w:ascii="Consolas" w:eastAsia="Consolas" w:hAnsi="Consolas" w:cs="Consolas"/>
                <w:sz w:val="22"/>
                <w:szCs w:val="22"/>
                <w:shd w:val="clear" w:color="auto" w:fill="EAEEF3"/>
              </w:rPr>
              <w:t>E7_Activité</w:t>
            </w:r>
          </w:p>
        </w:tc>
      </w:tr>
      <w:tr w:rsidR="00BF18CF" w14:paraId="310D3BBC" w14:textId="77777777" w:rsidTr="00BF18CF">
        <w:tc>
          <w:tcPr>
            <w:tcW w:w="1780" w:type="dxa"/>
          </w:tcPr>
          <w:p w14:paraId="669D3BFD"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10" w:type="dxa"/>
          </w:tcPr>
          <w:p w14:paraId="3913360C" w14:textId="77777777" w:rsidR="00BF18CF" w:rsidRDefault="00BF18CF">
            <w:pPr>
              <w:pBdr>
                <w:top w:val="nil"/>
                <w:left w:val="nil"/>
                <w:bottom w:val="nil"/>
                <w:right w:val="nil"/>
                <w:between w:val="nil"/>
              </w:pBdr>
              <w:spacing w:before="36" w:after="36"/>
              <w:rPr>
                <w:color w:val="000000"/>
              </w:rPr>
            </w:pPr>
          </w:p>
        </w:tc>
      </w:tr>
      <w:tr w:rsidR="00BF18CF" w14:paraId="5D4003CA" w14:textId="77777777" w:rsidTr="00BF18CF">
        <w:tc>
          <w:tcPr>
            <w:tcW w:w="1780" w:type="dxa"/>
          </w:tcPr>
          <w:p w14:paraId="63B958D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10" w:type="dxa"/>
          </w:tcPr>
          <w:p w14:paraId="58910245" w14:textId="77777777" w:rsidR="00BF18CF" w:rsidRDefault="00E51347">
            <w:r>
              <w:t xml:space="preserve">Cette classe comprend les activités qui se traduisent par la continuité de la gestion et par la préservation et l'évolution des instances de </w:t>
            </w:r>
            <w:r>
              <w:rPr>
                <w:rFonts w:ascii="Consolas" w:eastAsia="Consolas" w:hAnsi="Consolas" w:cs="Consolas"/>
                <w:sz w:val="22"/>
                <w:szCs w:val="22"/>
                <w:shd w:val="clear" w:color="auto" w:fill="EAEEF3"/>
              </w:rPr>
              <w:t>E78_Collection</w:t>
            </w:r>
            <w:r>
              <w:t>, suivant un plan de conservation implicite ou explicite.</w:t>
            </w:r>
          </w:p>
          <w:p w14:paraId="4E1101AF" w14:textId="77777777" w:rsidR="00BF18CF" w:rsidRDefault="00E51347">
            <w:r>
              <w:t>Elle précise la notion d'activité en celle de conservation d'une collection et permet d'enregistrer l'histoire de cette conservation.</w:t>
            </w:r>
          </w:p>
          <w:p w14:paraId="7D7A70A2" w14:textId="77777777" w:rsidR="00BF18CF" w:rsidRDefault="00E51347">
            <w:r>
              <w:t xml:space="preserve">Les éléments d’une collection sont accumulés et organisés selon des critères tels que le sujet, la période chronologique, le type de matériau, le style artistique, etc. et peuvent être ajoutés ou retirés d'une instance de </w:t>
            </w:r>
            <w:r>
              <w:rPr>
                <w:rFonts w:ascii="Consolas" w:eastAsia="Consolas" w:hAnsi="Consolas" w:cs="Consolas"/>
                <w:sz w:val="22"/>
                <w:szCs w:val="22"/>
                <w:shd w:val="clear" w:color="auto" w:fill="EAEEF3"/>
              </w:rPr>
              <w:t>E78_Collection</w:t>
            </w:r>
            <w:r>
              <w:t xml:space="preserve"> dans un but et/ou pour un public spécifique. L'agrégation initiale des éléments d'une collection est considérée comme une instance de </w:t>
            </w:r>
            <w:r>
              <w:rPr>
                <w:rFonts w:ascii="Consolas" w:eastAsia="Consolas" w:hAnsi="Consolas" w:cs="Consolas"/>
                <w:sz w:val="22"/>
                <w:szCs w:val="22"/>
                <w:shd w:val="clear" w:color="auto" w:fill="EAEEF3"/>
              </w:rPr>
              <w:t>E12_Production</w:t>
            </w:r>
            <w:r>
              <w:t xml:space="preserve">, tandis que l'activité d'évolution, de préservation et de promotion d'une collection est considérée comme une instance de </w:t>
            </w:r>
            <w:r>
              <w:rPr>
                <w:rFonts w:ascii="Consolas" w:eastAsia="Consolas" w:hAnsi="Consolas" w:cs="Consolas"/>
                <w:sz w:val="22"/>
                <w:szCs w:val="22"/>
                <w:shd w:val="clear" w:color="auto" w:fill="EAEEF3"/>
              </w:rPr>
              <w:t>E87_Activité_curatoriale</w:t>
            </w:r>
            <w:r>
              <w:t>.</w:t>
            </w:r>
          </w:p>
        </w:tc>
      </w:tr>
      <w:tr w:rsidR="00BF18CF" w14:paraId="08EDAB3D" w14:textId="77777777" w:rsidTr="00BF18CF">
        <w:tc>
          <w:tcPr>
            <w:tcW w:w="1780" w:type="dxa"/>
          </w:tcPr>
          <w:p w14:paraId="7BDE4FD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10" w:type="dxa"/>
          </w:tcPr>
          <w:p w14:paraId="1AAA0E27" w14:textId="77777777" w:rsidR="00BF18CF" w:rsidRDefault="00E51347">
            <w:pPr>
              <w:numPr>
                <w:ilvl w:val="0"/>
                <w:numId w:val="19"/>
              </w:numPr>
            </w:pPr>
            <w:r>
              <w:t>La conservation de l'herbier d'algues rouges coralliennes de Mikael Heggelund Foslie de 1876 à 1909 (année de la mort de Foslie), maintenant gérée par le Musée d'histoire naturelle et d'archéologie de Norvège.</w:t>
            </w:r>
          </w:p>
        </w:tc>
      </w:tr>
      <w:tr w:rsidR="00BF18CF" w14:paraId="464165C7" w14:textId="77777777" w:rsidTr="00BF18CF">
        <w:tc>
          <w:tcPr>
            <w:tcW w:w="1780" w:type="dxa"/>
          </w:tcPr>
          <w:p w14:paraId="20CEF810"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10" w:type="dxa"/>
          </w:tcPr>
          <w:p w14:paraId="3F0F3A6E" w14:textId="77777777" w:rsidR="00BF18CF" w:rsidRDefault="00E51347">
            <w:r>
              <w:t>E87(x) ⇒ E7(x)</w:t>
            </w:r>
          </w:p>
        </w:tc>
      </w:tr>
      <w:tr w:rsidR="00BF18CF" w14:paraId="1F76F522" w14:textId="77777777" w:rsidTr="00BF18CF">
        <w:tc>
          <w:tcPr>
            <w:tcW w:w="1780" w:type="dxa"/>
          </w:tcPr>
          <w:p w14:paraId="55EA58A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10" w:type="dxa"/>
          </w:tcPr>
          <w:p w14:paraId="1A573AC9" w14:textId="77777777" w:rsidR="00BF18CF" w:rsidRDefault="00E51347">
            <w:r>
              <w:rPr>
                <w:rFonts w:ascii="Consolas" w:eastAsia="Consolas" w:hAnsi="Consolas" w:cs="Consolas"/>
                <w:sz w:val="22"/>
                <w:szCs w:val="22"/>
                <w:shd w:val="clear" w:color="auto" w:fill="EAEEF3"/>
              </w:rPr>
              <w:t>P147_a_géré (a_été_géré_par)</w:t>
            </w:r>
            <w:r>
              <w:t xml:space="preserve"> : </w:t>
            </w:r>
            <w:r>
              <w:rPr>
                <w:rFonts w:ascii="Consolas" w:eastAsia="Consolas" w:hAnsi="Consolas" w:cs="Consolas"/>
                <w:sz w:val="22"/>
                <w:szCs w:val="22"/>
                <w:shd w:val="clear" w:color="auto" w:fill="EAEEF3"/>
              </w:rPr>
              <w:t>E78_Collection</w:t>
            </w:r>
          </w:p>
        </w:tc>
      </w:tr>
      <w:tr w:rsidR="00BF18CF" w14:paraId="7ADD7717" w14:textId="77777777" w:rsidTr="00BF18CF">
        <w:tc>
          <w:tcPr>
            <w:tcW w:w="1780" w:type="dxa"/>
          </w:tcPr>
          <w:p w14:paraId="31A6D119" w14:textId="3C098C07"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10" w:type="dxa"/>
          </w:tcPr>
          <w:p w14:paraId="67B08B50" w14:textId="77777777" w:rsidR="00BF18CF" w:rsidRDefault="00BF18CF">
            <w:pPr>
              <w:pBdr>
                <w:top w:val="nil"/>
                <w:left w:val="nil"/>
                <w:bottom w:val="nil"/>
                <w:right w:val="nil"/>
                <w:between w:val="nil"/>
              </w:pBdr>
              <w:spacing w:before="36" w:after="36"/>
              <w:rPr>
                <w:color w:val="000000"/>
              </w:rPr>
            </w:pPr>
          </w:p>
        </w:tc>
      </w:tr>
      <w:tr w:rsidR="00BF18CF" w14:paraId="7E130ACE" w14:textId="77777777" w:rsidTr="00BF18CF">
        <w:tc>
          <w:tcPr>
            <w:tcW w:w="1780" w:type="dxa"/>
          </w:tcPr>
          <w:p w14:paraId="1D2EB74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10" w:type="dxa"/>
          </w:tcPr>
          <w:p w14:paraId="243AC7E3" w14:textId="77777777" w:rsidR="00BF18CF" w:rsidRDefault="00BF18CF">
            <w:pPr>
              <w:pBdr>
                <w:top w:val="nil"/>
                <w:left w:val="nil"/>
                <w:bottom w:val="nil"/>
                <w:right w:val="nil"/>
                <w:between w:val="nil"/>
              </w:pBdr>
              <w:spacing w:before="36" w:after="36"/>
              <w:rPr>
                <w:color w:val="000000"/>
              </w:rPr>
            </w:pPr>
          </w:p>
        </w:tc>
      </w:tr>
    </w:tbl>
    <w:p w14:paraId="3B927BA5" w14:textId="77777777" w:rsidR="00BF18CF" w:rsidRDefault="00E51347">
      <w:pPr>
        <w:pStyle w:val="Heading3"/>
      </w:pPr>
      <w:bookmarkStart w:id="244" w:name="bookmark=id.1nia2ey" w:colFirst="0" w:colLast="0"/>
      <w:bookmarkStart w:id="245" w:name="_Toc144360865"/>
      <w:bookmarkEnd w:id="244"/>
      <w:r>
        <w:t>E89 Objet propositionnel</w:t>
      </w:r>
      <w:bookmarkEnd w:id="245"/>
    </w:p>
    <w:tbl>
      <w:tblPr>
        <w:tblStyle w:val="a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35"/>
        <w:gridCol w:w="8955"/>
      </w:tblGrid>
      <w:tr w:rsidR="00BF18CF" w14:paraId="48E76C3D" w14:textId="77777777" w:rsidTr="00BF18CF">
        <w:tc>
          <w:tcPr>
            <w:tcW w:w="1735" w:type="dxa"/>
          </w:tcPr>
          <w:p w14:paraId="7D9E37B0"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55" w:type="dxa"/>
          </w:tcPr>
          <w:p w14:paraId="39CB5778" w14:textId="77777777" w:rsidR="00BF18CF" w:rsidRDefault="00E51347">
            <w:r>
              <w:rPr>
                <w:rFonts w:ascii="Consolas" w:eastAsia="Consolas" w:hAnsi="Consolas" w:cs="Consolas"/>
                <w:sz w:val="22"/>
                <w:szCs w:val="22"/>
                <w:shd w:val="clear" w:color="auto" w:fill="EAEEF3"/>
              </w:rPr>
              <w:t>E28_Objet_conceptuel</w:t>
            </w:r>
          </w:p>
        </w:tc>
      </w:tr>
      <w:tr w:rsidR="00BF18CF" w14:paraId="7DB78586" w14:textId="77777777" w:rsidTr="00BF18CF">
        <w:tc>
          <w:tcPr>
            <w:tcW w:w="1735" w:type="dxa"/>
          </w:tcPr>
          <w:p w14:paraId="71302B3C"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55" w:type="dxa"/>
          </w:tcPr>
          <w:p w14:paraId="5FF79D26" w14:textId="77777777" w:rsidR="00BF18CF" w:rsidRDefault="00E51347">
            <w:r>
              <w:rPr>
                <w:rFonts w:ascii="Consolas" w:eastAsia="Consolas" w:hAnsi="Consolas" w:cs="Consolas"/>
                <w:sz w:val="22"/>
                <w:szCs w:val="22"/>
                <w:shd w:val="clear" w:color="auto" w:fill="EAEEF3"/>
              </w:rPr>
              <w:t>E73_Objet_informationnel</w:t>
            </w:r>
          </w:p>
          <w:p w14:paraId="39549A7D" w14:textId="77777777" w:rsidR="00BF18CF" w:rsidRDefault="00E51347">
            <w:r>
              <w:rPr>
                <w:rFonts w:ascii="Consolas" w:eastAsia="Consolas" w:hAnsi="Consolas" w:cs="Consolas"/>
                <w:sz w:val="22"/>
                <w:szCs w:val="22"/>
                <w:shd w:val="clear" w:color="auto" w:fill="EAEEF3"/>
              </w:rPr>
              <w:t>E30_Droit</w:t>
            </w:r>
          </w:p>
        </w:tc>
      </w:tr>
      <w:tr w:rsidR="00BF18CF" w14:paraId="78678A59" w14:textId="77777777" w:rsidTr="00BF18CF">
        <w:tc>
          <w:tcPr>
            <w:tcW w:w="1735" w:type="dxa"/>
          </w:tcPr>
          <w:p w14:paraId="048A56E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55" w:type="dxa"/>
          </w:tcPr>
          <w:p w14:paraId="4A347AB7" w14:textId="77777777" w:rsidR="00BF18CF" w:rsidRDefault="00E51347">
            <w:r>
              <w:t>Cette classe comprend des entités immatérielles, incluant, sans s'y limiter, des histoires, des intrigues, des prescriptions procédurales, des algorithmes, des lois de la physique ou des images qui sont ou représentent, d’une certaine manière, des ensembles de propositions concernant des choses réelles ou imaginaires et qui sont documentés en tant qu’éléments uniques ou servent de sujet de discours.</w:t>
            </w:r>
          </w:p>
          <w:p w14:paraId="5A548B0E" w14:textId="77777777" w:rsidR="00BF18CF" w:rsidRDefault="00E51347">
            <w:r>
              <w:t xml:space="preserve">Cette classe comprend également des entités qui « concernent » quelque chose dans le sens où elles en représentent le sujet. Au sens large, cette classe inclut les expressions de valeur psychologique telles que l'art non figuratif et les thèmes musicaux. Cependant, les entités conceptuelles telles que les types et les classes ne sont pas des instances de </w:t>
            </w:r>
            <w:r>
              <w:rPr>
                <w:rFonts w:ascii="Consolas" w:eastAsia="Consolas" w:hAnsi="Consolas" w:cs="Consolas"/>
                <w:sz w:val="22"/>
                <w:szCs w:val="22"/>
                <w:shd w:val="clear" w:color="auto" w:fill="EAEEF3"/>
              </w:rPr>
              <w:t>E89_Objet_propositionnel</w:t>
            </w:r>
            <w:r>
              <w:t xml:space="preserve">. Cela ne doit pas être </w:t>
            </w:r>
            <w:r>
              <w:lastRenderedPageBreak/>
              <w:t xml:space="preserve">confondu avec la définition d'un type, qui est en effet une instance de </w:t>
            </w:r>
            <w:r>
              <w:rPr>
                <w:rFonts w:ascii="Consolas" w:eastAsia="Consolas" w:hAnsi="Consolas" w:cs="Consolas"/>
                <w:sz w:val="22"/>
                <w:szCs w:val="22"/>
                <w:shd w:val="clear" w:color="auto" w:fill="EAEEF3"/>
              </w:rPr>
              <w:t>E89_Objet_propositionnel</w:t>
            </w:r>
            <w:r>
              <w:t>.</w:t>
            </w:r>
          </w:p>
        </w:tc>
      </w:tr>
      <w:tr w:rsidR="00BF18CF" w14:paraId="2A1B1062" w14:textId="77777777" w:rsidTr="00BF18CF">
        <w:tc>
          <w:tcPr>
            <w:tcW w:w="1735" w:type="dxa"/>
          </w:tcPr>
          <w:p w14:paraId="3733789C"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55" w:type="dxa"/>
          </w:tcPr>
          <w:p w14:paraId="4CA6D150" w14:textId="77777777" w:rsidR="00BF18CF" w:rsidRDefault="00E51347">
            <w:pPr>
              <w:numPr>
                <w:ilvl w:val="0"/>
                <w:numId w:val="19"/>
              </w:numPr>
            </w:pPr>
            <w:r>
              <w:t>Les équations de Maxwell (Huray, 2010)</w:t>
            </w:r>
          </w:p>
          <w:p w14:paraId="36B8BF55" w14:textId="77777777" w:rsidR="00BF18CF" w:rsidRDefault="00E51347">
            <w:pPr>
              <w:numPr>
                <w:ilvl w:val="0"/>
                <w:numId w:val="19"/>
              </w:numPr>
            </w:pPr>
            <w:r>
              <w:t xml:space="preserve">Les contenus représentatifs du livre d'Aristote intitulé </w:t>
            </w:r>
            <w:r>
              <w:rPr>
                <w:i/>
              </w:rPr>
              <w:t>Métaphysique</w:t>
            </w:r>
            <w:r>
              <w:t xml:space="preserve"> (τὰ μετὰ τὰ φυσικά) tel que rendus dans les textes grecs traduits dans l'édition d'Oxford</w:t>
            </w:r>
          </w:p>
          <w:p w14:paraId="6890EE7A" w14:textId="77777777" w:rsidR="00BF18CF" w:rsidRDefault="00E51347">
            <w:pPr>
              <w:numPr>
                <w:ilvl w:val="0"/>
                <w:numId w:val="19"/>
              </w:numPr>
            </w:pPr>
            <w:r>
              <w:t>Le prototype sous-jacent de tout panneau « non-fumeur » (</w:t>
            </w:r>
            <w:r>
              <w:rPr>
                <w:rFonts w:ascii="Consolas" w:eastAsia="Consolas" w:hAnsi="Consolas" w:cs="Consolas"/>
                <w:sz w:val="22"/>
                <w:szCs w:val="22"/>
                <w:shd w:val="clear" w:color="auto" w:fill="EAEEF3"/>
              </w:rPr>
              <w:t>E36_Entité_visuelle</w:t>
            </w:r>
            <w:r>
              <w:t>)</w:t>
            </w:r>
          </w:p>
          <w:p w14:paraId="1B19ACEB" w14:textId="77777777" w:rsidR="00BF18CF" w:rsidRDefault="00E51347">
            <w:pPr>
              <w:numPr>
                <w:ilvl w:val="0"/>
                <w:numId w:val="19"/>
              </w:numPr>
            </w:pPr>
            <w:r>
              <w:t xml:space="preserve">Les idées communes des intrigues des films </w:t>
            </w:r>
            <w:r>
              <w:rPr>
                <w:i/>
              </w:rPr>
              <w:t>Les Sept Samouraïs</w:t>
            </w:r>
            <w:r>
              <w:t xml:space="preserve"> (</w:t>
            </w:r>
            <w:r>
              <w:rPr>
                <w:rFonts w:ascii="MS Mincho" w:eastAsia="MS Mincho" w:hAnsi="MS Mincho" w:cs="MS Mincho"/>
                <w:i/>
              </w:rPr>
              <w:t>七人の侍</w:t>
            </w:r>
            <w:r>
              <w:t xml:space="preserve">) d'Akira Kurosawa et </w:t>
            </w:r>
            <w:r>
              <w:rPr>
                <w:i/>
              </w:rPr>
              <w:t>Les Sept Mercenaires</w:t>
            </w:r>
            <w:r>
              <w:t xml:space="preserve"> (</w:t>
            </w:r>
            <w:r>
              <w:rPr>
                <w:i/>
              </w:rPr>
              <w:t>The Magnificent Seven</w:t>
            </w:r>
            <w:r>
              <w:t>) de John Sturges</w:t>
            </w:r>
          </w:p>
          <w:p w14:paraId="430B6ABE" w14:textId="77777777" w:rsidR="00BF18CF" w:rsidRDefault="00E51347">
            <w:pPr>
              <w:numPr>
                <w:ilvl w:val="0"/>
                <w:numId w:val="19"/>
              </w:numPr>
            </w:pPr>
            <w:r>
              <w:t>Le contenu de l'image de la photo des chefs alliés à Yalta publiée par UPI, 1945 (</w:t>
            </w:r>
            <w:r>
              <w:rPr>
                <w:rFonts w:ascii="Consolas" w:eastAsia="Consolas" w:hAnsi="Consolas" w:cs="Consolas"/>
                <w:sz w:val="22"/>
                <w:szCs w:val="22"/>
                <w:shd w:val="clear" w:color="auto" w:fill="EAEEF3"/>
              </w:rPr>
              <w:t>E36_Entité_visuelle</w:t>
            </w:r>
            <w:r>
              <w:t>)</w:t>
            </w:r>
          </w:p>
          <w:p w14:paraId="280ADDC8" w14:textId="77777777" w:rsidR="00BF18CF" w:rsidRDefault="00E51347">
            <w:pPr>
              <w:numPr>
                <w:ilvl w:val="0"/>
                <w:numId w:val="19"/>
              </w:numPr>
            </w:pPr>
            <w:r>
              <w:t xml:space="preserve">Le personnage du « Petit Chaperon rouge », dont des variantes apparaissent, entre autres, dans </w:t>
            </w:r>
            <w:r>
              <w:rPr>
                <w:i/>
              </w:rPr>
              <w:t>La Capuche rouge</w:t>
            </w:r>
            <w:r>
              <w:t xml:space="preserve"> (</w:t>
            </w:r>
            <w:r>
              <w:rPr>
                <w:i/>
              </w:rPr>
              <w:t>Rotkäppchen</w:t>
            </w:r>
            <w:r>
              <w:t xml:space="preserve">) des frères Grimm, d'autres contes oraux et le film </w:t>
            </w:r>
            <w:r>
              <w:rPr>
                <w:i/>
              </w:rPr>
              <w:t>La Véritable Histoire du Petit Chaperon rouge</w:t>
            </w:r>
            <w:r>
              <w:t xml:space="preserve"> (</w:t>
            </w:r>
            <w:r>
              <w:rPr>
                <w:i/>
              </w:rPr>
              <w:t>Hoodwinked!</w:t>
            </w:r>
            <w:r>
              <w:t>)</w:t>
            </w:r>
          </w:p>
          <w:p w14:paraId="43EB0491" w14:textId="77777777" w:rsidR="00BF18CF" w:rsidRDefault="00E51347">
            <w:pPr>
              <w:numPr>
                <w:ilvl w:val="0"/>
                <w:numId w:val="19"/>
              </w:numPr>
            </w:pPr>
            <w:r>
              <w:t xml:space="preserve">Le lieu « Havnor » inventé par Ursula K. Le Guin pour sa série de livres </w:t>
            </w:r>
            <w:r>
              <w:rPr>
                <w:i/>
              </w:rPr>
              <w:t>Cycle de Terremer</w:t>
            </w:r>
            <w:r>
              <w:t xml:space="preserve"> (</w:t>
            </w:r>
            <w:r>
              <w:rPr>
                <w:i/>
              </w:rPr>
              <w:t>Earthsea</w:t>
            </w:r>
            <w:r>
              <w:t>) qui apparaît dans les cartes associées et les œuvres dérivées basées sur ces romans</w:t>
            </w:r>
          </w:p>
        </w:tc>
      </w:tr>
      <w:tr w:rsidR="00BF18CF" w14:paraId="56746B9E" w14:textId="77777777" w:rsidTr="00BF18CF">
        <w:tc>
          <w:tcPr>
            <w:tcW w:w="1735" w:type="dxa"/>
          </w:tcPr>
          <w:p w14:paraId="6B50540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55" w:type="dxa"/>
          </w:tcPr>
          <w:p w14:paraId="03B51F0A" w14:textId="77777777" w:rsidR="00BF18CF" w:rsidRDefault="00E51347">
            <w:r>
              <w:t>E89(x) ⇒ E28(x)</w:t>
            </w:r>
          </w:p>
        </w:tc>
      </w:tr>
      <w:tr w:rsidR="00BF18CF" w14:paraId="39054607" w14:textId="77777777" w:rsidTr="00BF18CF">
        <w:tc>
          <w:tcPr>
            <w:tcW w:w="1735" w:type="dxa"/>
          </w:tcPr>
          <w:p w14:paraId="4B5173F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55" w:type="dxa"/>
          </w:tcPr>
          <w:p w14:paraId="0EDA0C2B" w14:textId="77777777" w:rsidR="00BF18CF" w:rsidRDefault="00E51347">
            <w:r>
              <w:rPr>
                <w:rFonts w:ascii="Consolas" w:eastAsia="Consolas" w:hAnsi="Consolas" w:cs="Consolas"/>
                <w:sz w:val="22"/>
                <w:szCs w:val="22"/>
                <w:shd w:val="clear" w:color="auto" w:fill="EAEEF3"/>
              </w:rPr>
              <w:t>P148_a_pour_composant (est_le_composant_de)</w:t>
            </w:r>
            <w:r>
              <w:t xml:space="preserve"> : </w:t>
            </w:r>
            <w:r>
              <w:rPr>
                <w:rFonts w:ascii="Consolas" w:eastAsia="Consolas" w:hAnsi="Consolas" w:cs="Consolas"/>
                <w:sz w:val="22"/>
                <w:szCs w:val="22"/>
                <w:shd w:val="clear" w:color="auto" w:fill="EAEEF3"/>
              </w:rPr>
              <w:t>E89_Objet_propositionnel</w:t>
            </w:r>
          </w:p>
          <w:p w14:paraId="5E118DC2" w14:textId="77777777" w:rsidR="00BF18CF" w:rsidRDefault="00E51347">
            <w:r>
              <w:rPr>
                <w:rFonts w:ascii="Consolas" w:eastAsia="Consolas" w:hAnsi="Consolas" w:cs="Consolas"/>
                <w:sz w:val="22"/>
                <w:szCs w:val="22"/>
                <w:shd w:val="clear" w:color="auto" w:fill="EAEEF3"/>
              </w:rPr>
              <w:t>P67_renvoie_à (fait_l’objet_d’un_renvoi_par)</w:t>
            </w:r>
            <w:r>
              <w:t xml:space="preserve"> :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P67.1_a_pour_type</w:t>
            </w:r>
            <w:r>
              <w:t xml:space="preserve"> : </w:t>
            </w:r>
            <w:r>
              <w:rPr>
                <w:rFonts w:ascii="Consolas" w:eastAsia="Consolas" w:hAnsi="Consolas" w:cs="Consolas"/>
                <w:sz w:val="22"/>
                <w:szCs w:val="22"/>
                <w:shd w:val="clear" w:color="auto" w:fill="EAEEF3"/>
              </w:rPr>
              <w:t>E55_Type</w:t>
            </w:r>
            <w:r>
              <w:t>)</w:t>
            </w:r>
          </w:p>
          <w:p w14:paraId="627837E5" w14:textId="77777777" w:rsidR="00BF18CF" w:rsidRDefault="00E51347">
            <w:r>
              <w:rPr>
                <w:rFonts w:ascii="Consolas" w:eastAsia="Consolas" w:hAnsi="Consolas" w:cs="Consolas"/>
                <w:sz w:val="22"/>
                <w:szCs w:val="22"/>
                <w:shd w:val="clear" w:color="auto" w:fill="EAEEF3"/>
              </w:rPr>
              <w:t>P129_a_pour_sujet (est_sujet_de)</w:t>
            </w:r>
            <w:r>
              <w:t xml:space="preserve"> : </w:t>
            </w:r>
            <w:r>
              <w:rPr>
                <w:rFonts w:ascii="Consolas" w:eastAsia="Consolas" w:hAnsi="Consolas" w:cs="Consolas"/>
                <w:sz w:val="22"/>
                <w:szCs w:val="22"/>
                <w:shd w:val="clear" w:color="auto" w:fill="EAEEF3"/>
              </w:rPr>
              <w:t>E1_Entité_CRM</w:t>
            </w:r>
          </w:p>
        </w:tc>
      </w:tr>
      <w:tr w:rsidR="00BF18CF" w14:paraId="31DF0057" w14:textId="77777777" w:rsidTr="00BF18CF">
        <w:tc>
          <w:tcPr>
            <w:tcW w:w="1735" w:type="dxa"/>
          </w:tcPr>
          <w:p w14:paraId="1A5C3B5C" w14:textId="21BCCB9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55" w:type="dxa"/>
          </w:tcPr>
          <w:p w14:paraId="5F5DF077" w14:textId="77777777" w:rsidR="00BF18CF" w:rsidRDefault="00E51347">
            <w:r>
              <w:t>« Ideational contents » a été traduit par « contenus représentatifs » en adéquation avec la traduction de Termium Plus.</w:t>
            </w:r>
          </w:p>
        </w:tc>
      </w:tr>
      <w:tr w:rsidR="00BF18CF" w14:paraId="59FEC0FB" w14:textId="77777777" w:rsidTr="00BF18CF">
        <w:tc>
          <w:tcPr>
            <w:tcW w:w="1735" w:type="dxa"/>
          </w:tcPr>
          <w:p w14:paraId="531CCDC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55" w:type="dxa"/>
          </w:tcPr>
          <w:p w14:paraId="130FA377" w14:textId="77777777" w:rsidR="00BF18CF" w:rsidRDefault="00E51347">
            <w:r>
              <w:t xml:space="preserve">Termium. « </w:t>
            </w:r>
            <w:proofErr w:type="gramStart"/>
            <w:r>
              <w:t>ideational</w:t>
            </w:r>
            <w:proofErr w:type="gramEnd"/>
            <w:r>
              <w:t xml:space="preserve"> content ». Dans </w:t>
            </w:r>
            <w:r>
              <w:rPr>
                <w:i/>
              </w:rPr>
              <w:t>Termium Plus</w:t>
            </w:r>
            <w:r>
              <w:t>. Ottawa, CA-ON: Gouvernement du Canada, 8 octobre 2009.</w:t>
            </w:r>
            <w:hyperlink r:id="rId399">
              <w:r>
                <w:rPr>
                  <w:color w:val="4F81BD"/>
                </w:rPr>
                <w:t xml:space="preserve"> https://www.btb.termiumplus.gc.ca/tpv2alpha/alpha-fra.html?lang=fra&amp;srchtxt=IDEATIONAL+CONTENT</w:t>
              </w:r>
            </w:hyperlink>
            <w:r>
              <w:t>.</w:t>
            </w:r>
          </w:p>
        </w:tc>
      </w:tr>
    </w:tbl>
    <w:p w14:paraId="1D3E323B" w14:textId="77777777" w:rsidR="00BF18CF" w:rsidRDefault="00E51347">
      <w:pPr>
        <w:pStyle w:val="Heading3"/>
      </w:pPr>
      <w:bookmarkStart w:id="246" w:name="bookmark=id.47hxl2r" w:colFirst="0" w:colLast="0"/>
      <w:bookmarkStart w:id="247" w:name="_Toc144360866"/>
      <w:bookmarkEnd w:id="246"/>
      <w:r>
        <w:t>E90 Objet symbolique</w:t>
      </w:r>
      <w:bookmarkEnd w:id="247"/>
    </w:p>
    <w:tbl>
      <w:tblPr>
        <w:tblStyle w:val="a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70"/>
        <w:gridCol w:w="8920"/>
      </w:tblGrid>
      <w:tr w:rsidR="00BF18CF" w14:paraId="53CFACDA" w14:textId="77777777" w:rsidTr="00BF18CF">
        <w:tc>
          <w:tcPr>
            <w:tcW w:w="1770" w:type="dxa"/>
          </w:tcPr>
          <w:p w14:paraId="7619BB20"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20" w:type="dxa"/>
          </w:tcPr>
          <w:p w14:paraId="542CB595" w14:textId="77777777" w:rsidR="00BF18CF" w:rsidRDefault="00E51347">
            <w:r>
              <w:rPr>
                <w:rFonts w:ascii="Consolas" w:eastAsia="Consolas" w:hAnsi="Consolas" w:cs="Consolas"/>
                <w:sz w:val="22"/>
                <w:szCs w:val="22"/>
                <w:shd w:val="clear" w:color="auto" w:fill="EAEEF3"/>
              </w:rPr>
              <w:t>E28_Objet_conceptuel</w:t>
            </w:r>
          </w:p>
          <w:p w14:paraId="523EF1D0" w14:textId="77777777" w:rsidR="00BF18CF" w:rsidRDefault="00E51347">
            <w:r>
              <w:rPr>
                <w:rFonts w:ascii="Consolas" w:eastAsia="Consolas" w:hAnsi="Consolas" w:cs="Consolas"/>
                <w:sz w:val="22"/>
                <w:szCs w:val="22"/>
                <w:shd w:val="clear" w:color="auto" w:fill="EAEEF3"/>
              </w:rPr>
              <w:t>E72_Objet_juridique</w:t>
            </w:r>
          </w:p>
        </w:tc>
      </w:tr>
      <w:tr w:rsidR="00BF18CF" w14:paraId="5CDB3F0B" w14:textId="77777777" w:rsidTr="00BF18CF">
        <w:tc>
          <w:tcPr>
            <w:tcW w:w="1770" w:type="dxa"/>
          </w:tcPr>
          <w:p w14:paraId="6126FD70"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20" w:type="dxa"/>
          </w:tcPr>
          <w:p w14:paraId="2FD58E26" w14:textId="77777777" w:rsidR="00BF18CF" w:rsidRDefault="00E51347">
            <w:r>
              <w:rPr>
                <w:rFonts w:ascii="Consolas" w:eastAsia="Consolas" w:hAnsi="Consolas" w:cs="Consolas"/>
                <w:sz w:val="22"/>
                <w:szCs w:val="22"/>
                <w:shd w:val="clear" w:color="auto" w:fill="EAEEF3"/>
              </w:rPr>
              <w:t>E73_Objet_informationnel</w:t>
            </w:r>
          </w:p>
          <w:p w14:paraId="2EBB2731" w14:textId="77777777" w:rsidR="00BF18CF" w:rsidRDefault="00E51347">
            <w:r>
              <w:rPr>
                <w:rFonts w:ascii="Consolas" w:eastAsia="Consolas" w:hAnsi="Consolas" w:cs="Consolas"/>
                <w:sz w:val="22"/>
                <w:szCs w:val="22"/>
                <w:shd w:val="clear" w:color="auto" w:fill="EAEEF3"/>
              </w:rPr>
              <w:t>E41_Appellation</w:t>
            </w:r>
          </w:p>
        </w:tc>
      </w:tr>
      <w:tr w:rsidR="00BF18CF" w14:paraId="5227ECCA" w14:textId="77777777" w:rsidTr="00BF18CF">
        <w:tc>
          <w:tcPr>
            <w:tcW w:w="1770" w:type="dxa"/>
          </w:tcPr>
          <w:p w14:paraId="620E6455"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920" w:type="dxa"/>
          </w:tcPr>
          <w:p w14:paraId="5D2BFAD3" w14:textId="77777777" w:rsidR="00BF18CF" w:rsidRDefault="00E51347">
            <w:r>
              <w:t>Cette classe comprend des symboles identifiables et toute agrégation de symboles, tels que des caractères, des identifiants, des panneaux de signalisation, des emblèmes, des textes, des jeux de données, des images, des partitions musicales, des objets multimédias, des codes de programmation informatiques ou des formules mathématiques qui ont une structure objectivement reconnaissable et qui sont documentés en tant qu’éléments uniques.</w:t>
            </w:r>
          </w:p>
          <w:p w14:paraId="7B426AB5" w14:textId="77777777" w:rsidR="00BF18CF" w:rsidRDefault="00E51347">
            <w:r>
              <w:t xml:space="preserve">Cette classe inclut des ensembles de signes de toute nature, qui peuvent servir à désigner quelque chose ou à communiquer un contenu propositionnel. Une instance de </w:t>
            </w:r>
            <w:r>
              <w:rPr>
                <w:rFonts w:ascii="Consolas" w:eastAsia="Consolas" w:hAnsi="Consolas" w:cs="Consolas"/>
                <w:sz w:val="22"/>
                <w:szCs w:val="22"/>
                <w:shd w:val="clear" w:color="auto" w:fill="EAEEF3"/>
              </w:rPr>
              <w:t>E90_Objet_symbolique</w:t>
            </w:r>
            <w:r>
              <w:t xml:space="preserve"> peut avoir ou non une signification spécifique, par exemple une chaîne arbitraire de caractères.</w:t>
            </w:r>
          </w:p>
          <w:p w14:paraId="3E049DD6" w14:textId="77777777" w:rsidR="00BF18CF" w:rsidRDefault="00E51347">
            <w:r>
              <w:t xml:space="preserve">Dans certains cas, le contenu d'une instance de </w:t>
            </w:r>
            <w:r>
              <w:rPr>
                <w:rFonts w:ascii="Consolas" w:eastAsia="Consolas" w:hAnsi="Consolas" w:cs="Consolas"/>
                <w:sz w:val="22"/>
                <w:szCs w:val="22"/>
                <w:shd w:val="clear" w:color="auto" w:fill="EAEEF3"/>
              </w:rPr>
              <w:t>E90_Objet_symbolique</w:t>
            </w:r>
            <w:r>
              <w:t xml:space="preserve"> peut être complètement représenté par un modèle de contenu numérique sérialisé, tel qu'une séquence de caractères codés en ASCII, un document XML ou HTML, ou une image au format TIFF. La propriété </w:t>
            </w:r>
            <w:r>
              <w:rPr>
                <w:rFonts w:ascii="Consolas" w:eastAsia="Consolas" w:hAnsi="Consolas" w:cs="Consolas"/>
                <w:sz w:val="22"/>
                <w:szCs w:val="22"/>
                <w:shd w:val="clear" w:color="auto" w:fill="EAEEF3"/>
              </w:rPr>
              <w:t>P3_a_pour_note</w:t>
            </w:r>
            <w:r>
              <w:t xml:space="preserve"> et sa sous-propriété </w:t>
            </w:r>
            <w:r>
              <w:rPr>
                <w:rFonts w:ascii="Consolas" w:eastAsia="Consolas" w:hAnsi="Consolas" w:cs="Consolas"/>
                <w:sz w:val="22"/>
                <w:szCs w:val="22"/>
                <w:shd w:val="clear" w:color="auto" w:fill="EAEEF3"/>
              </w:rPr>
              <w:t>P190_a_pour_contenu_symbolique</w:t>
            </w:r>
            <w:r>
              <w:t xml:space="preserve"> permettent la description de ce modèle de contenu. Afin de lever l'ambiguïté sur le niveau symbolique qui est porteur du sens, la propriété </w:t>
            </w:r>
            <w:r>
              <w:rPr>
                <w:rFonts w:ascii="Consolas" w:eastAsia="Consolas" w:hAnsi="Consolas" w:cs="Consolas"/>
                <w:sz w:val="22"/>
                <w:szCs w:val="22"/>
                <w:shd w:val="clear" w:color="auto" w:fill="EAEEF3"/>
              </w:rPr>
              <w:t>P3.1_a_pour_type</w:t>
            </w:r>
            <w:r>
              <w:t xml:space="preserve"> peut être utilisée pour spécifier l'encodage (p. ex. « bit », « caractère latin », pixel RVB).</w:t>
            </w:r>
          </w:p>
        </w:tc>
      </w:tr>
      <w:tr w:rsidR="00BF18CF" w14:paraId="7C9BD319" w14:textId="77777777" w:rsidTr="00BF18CF">
        <w:tc>
          <w:tcPr>
            <w:tcW w:w="1770" w:type="dxa"/>
          </w:tcPr>
          <w:p w14:paraId="60B3D74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20" w:type="dxa"/>
          </w:tcPr>
          <w:p w14:paraId="6E55923B" w14:textId="77777777" w:rsidR="00BF18CF" w:rsidRDefault="00E51347">
            <w:pPr>
              <w:numPr>
                <w:ilvl w:val="0"/>
                <w:numId w:val="19"/>
              </w:numPr>
            </w:pPr>
            <w:r>
              <w:t>‘</w:t>
            </w:r>
            <w:proofErr w:type="gramStart"/>
            <w:r>
              <w:t>econnaissabl</w:t>
            </w:r>
            <w:proofErr w:type="gramEnd"/>
            <w:r>
              <w:t>’</w:t>
            </w:r>
          </w:p>
          <w:p w14:paraId="63D7D56C" w14:textId="77777777" w:rsidR="00BF18CF" w:rsidRDefault="00E51347">
            <w:pPr>
              <w:numPr>
                <w:ilvl w:val="0"/>
                <w:numId w:val="19"/>
              </w:numPr>
            </w:pPr>
            <w:r>
              <w:t>Le panneau non-fumeur (</w:t>
            </w:r>
            <w:r>
              <w:rPr>
                <w:rFonts w:ascii="Consolas" w:eastAsia="Consolas" w:hAnsi="Consolas" w:cs="Consolas"/>
                <w:sz w:val="22"/>
                <w:szCs w:val="22"/>
                <w:shd w:val="clear" w:color="auto" w:fill="EAEEF3"/>
              </w:rPr>
              <w:t>E36_Entité_visuelle</w:t>
            </w:r>
            <w:r>
              <w:t>)</w:t>
            </w:r>
          </w:p>
          <w:p w14:paraId="6A2370F7" w14:textId="77777777" w:rsidR="00BF18CF" w:rsidRDefault="00E51347">
            <w:pPr>
              <w:numPr>
                <w:ilvl w:val="0"/>
                <w:numId w:val="19"/>
              </w:numPr>
            </w:pPr>
            <w:r>
              <w:t>« BM000038850.JPG » (</w:t>
            </w:r>
            <w:r>
              <w:rPr>
                <w:rFonts w:ascii="Consolas" w:eastAsia="Consolas" w:hAnsi="Consolas" w:cs="Consolas"/>
                <w:sz w:val="22"/>
                <w:szCs w:val="22"/>
                <w:shd w:val="clear" w:color="auto" w:fill="EAEEF3"/>
              </w:rPr>
              <w:t>E41_Appellation</w:t>
            </w:r>
            <w:r>
              <w:t>)</w:t>
            </w:r>
          </w:p>
          <w:p w14:paraId="6CB1A0AC" w14:textId="77777777" w:rsidR="00BF18CF" w:rsidRDefault="00E51347">
            <w:pPr>
              <w:numPr>
                <w:ilvl w:val="0"/>
                <w:numId w:val="19"/>
              </w:numPr>
            </w:pPr>
            <w:r>
              <w:t>L’image BM000038850.JPG du Clayton Herbarium de Londres (</w:t>
            </w:r>
            <w:r>
              <w:rPr>
                <w:rFonts w:ascii="Consolas" w:eastAsia="Consolas" w:hAnsi="Consolas" w:cs="Consolas"/>
                <w:sz w:val="22"/>
                <w:szCs w:val="22"/>
                <w:shd w:val="clear" w:color="auto" w:fill="EAEEF3"/>
              </w:rPr>
              <w:t>E36_Entité_visuelle</w:t>
            </w:r>
            <w:r>
              <w:t>)</w:t>
            </w:r>
          </w:p>
          <w:p w14:paraId="756DEABB" w14:textId="77777777" w:rsidR="00BF18CF" w:rsidRDefault="00E51347">
            <w:pPr>
              <w:numPr>
                <w:ilvl w:val="0"/>
                <w:numId w:val="19"/>
              </w:numPr>
            </w:pPr>
            <w:r>
              <w:t xml:space="preserve">La distribution de la forme, du ton et de la couleur à la lumière du jour sur l’œuvre peinte </w:t>
            </w:r>
            <w:r>
              <w:rPr>
                <w:i/>
              </w:rPr>
              <w:t>Monna Lisa</w:t>
            </w:r>
            <w:r>
              <w:t xml:space="preserve"> de Léonard de Vinci (</w:t>
            </w:r>
            <w:r>
              <w:rPr>
                <w:rFonts w:ascii="Consolas" w:eastAsia="Consolas" w:hAnsi="Consolas" w:cs="Consolas"/>
                <w:sz w:val="22"/>
                <w:szCs w:val="22"/>
                <w:shd w:val="clear" w:color="auto" w:fill="EAEEF3"/>
              </w:rPr>
              <w:t>E36_Entité_visuelle</w:t>
            </w:r>
            <w:r>
              <w:t>)</w:t>
            </w:r>
          </w:p>
          <w:p w14:paraId="14D2F8B4" w14:textId="77777777" w:rsidR="00BF18CF" w:rsidRDefault="00E51347">
            <w:pPr>
              <w:numPr>
                <w:ilvl w:val="0"/>
                <w:numId w:val="19"/>
              </w:numPr>
            </w:pPr>
            <w:r>
              <w:t xml:space="preserve">Le texte italien de la </w:t>
            </w:r>
            <w:r>
              <w:rPr>
                <w:i/>
              </w:rPr>
              <w:t>Divine Comédie</w:t>
            </w:r>
            <w:r>
              <w:t xml:space="preserve"> (</w:t>
            </w:r>
            <w:r>
              <w:rPr>
                <w:i/>
              </w:rPr>
              <w:t>Divina Commedia</w:t>
            </w:r>
            <w:r>
              <w:t xml:space="preserve">) de Dante, tel qu'il se trouve dans l'édition critique faisant autorité </w:t>
            </w:r>
            <w:r>
              <w:rPr>
                <w:i/>
              </w:rPr>
              <w:t>La Commedia secondo l'antica vulgata a cura di Giorgio Petrocchi, Milano: Mondadori, 1966-1967 (= Le Opere di Dante Alighieri, Edizione Nazionale a cura della Società Dantesca Italiana, VII, 1-4)</w:t>
            </w:r>
            <w:r>
              <w:t xml:space="preserve"> (</w:t>
            </w:r>
            <w:r>
              <w:rPr>
                <w:rFonts w:ascii="Consolas" w:eastAsia="Consolas" w:hAnsi="Consolas" w:cs="Consolas"/>
                <w:sz w:val="22"/>
                <w:szCs w:val="22"/>
                <w:shd w:val="clear" w:color="auto" w:fill="EAEEF3"/>
              </w:rPr>
              <w:t>E33_Objet_linguistique</w:t>
            </w:r>
            <w:r>
              <w:t>)</w:t>
            </w:r>
          </w:p>
        </w:tc>
      </w:tr>
      <w:tr w:rsidR="00BF18CF" w14:paraId="4DD53D83" w14:textId="77777777" w:rsidTr="00BF18CF">
        <w:tc>
          <w:tcPr>
            <w:tcW w:w="1770" w:type="dxa"/>
          </w:tcPr>
          <w:p w14:paraId="00FE71C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20" w:type="dxa"/>
          </w:tcPr>
          <w:p w14:paraId="3C5E9C68" w14:textId="77777777" w:rsidR="00BF18CF" w:rsidRDefault="00E51347">
            <w:r>
              <w:t>E90(x) ⇒ E28(x)</w:t>
            </w:r>
          </w:p>
          <w:p w14:paraId="14A30A77" w14:textId="77777777" w:rsidR="00BF18CF" w:rsidRDefault="00E51347">
            <w:r>
              <w:t>E90(x) ⇒ E72(x)</w:t>
            </w:r>
          </w:p>
        </w:tc>
      </w:tr>
      <w:tr w:rsidR="00BF18CF" w14:paraId="185E2917" w14:textId="77777777" w:rsidTr="00BF18CF">
        <w:tc>
          <w:tcPr>
            <w:tcW w:w="1770" w:type="dxa"/>
          </w:tcPr>
          <w:p w14:paraId="08A5B2F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20" w:type="dxa"/>
          </w:tcPr>
          <w:p w14:paraId="57CF888B" w14:textId="77777777" w:rsidR="00BF18CF" w:rsidRDefault="00E51347">
            <w:r>
              <w:rPr>
                <w:rFonts w:ascii="Consolas" w:eastAsia="Consolas" w:hAnsi="Consolas" w:cs="Consolas"/>
                <w:sz w:val="22"/>
                <w:szCs w:val="22"/>
                <w:shd w:val="clear" w:color="auto" w:fill="EAEEF3"/>
              </w:rPr>
              <w:t>P106_est_composé_de (fait_partie_de)</w:t>
            </w:r>
            <w:r>
              <w:t xml:space="preserve"> : </w:t>
            </w:r>
            <w:r>
              <w:rPr>
                <w:rFonts w:ascii="Consolas" w:eastAsia="Consolas" w:hAnsi="Consolas" w:cs="Consolas"/>
                <w:sz w:val="22"/>
                <w:szCs w:val="22"/>
                <w:shd w:val="clear" w:color="auto" w:fill="EAEEF3"/>
              </w:rPr>
              <w:t>E90_Objet_symbolique</w:t>
            </w:r>
          </w:p>
          <w:p w14:paraId="4FB61C07" w14:textId="77777777" w:rsidR="00BF18CF" w:rsidRDefault="00E51347">
            <w:r>
              <w:rPr>
                <w:rFonts w:ascii="Consolas" w:eastAsia="Consolas" w:hAnsi="Consolas" w:cs="Consolas"/>
                <w:sz w:val="22"/>
                <w:szCs w:val="22"/>
                <w:shd w:val="clear" w:color="auto" w:fill="EAEEF3"/>
              </w:rPr>
              <w:t>P190_a_pour_contenu_symbolique</w:t>
            </w:r>
            <w:r>
              <w:t xml:space="preserve"> : </w:t>
            </w:r>
            <w:r>
              <w:rPr>
                <w:rFonts w:ascii="Consolas" w:eastAsia="Consolas" w:hAnsi="Consolas" w:cs="Consolas"/>
                <w:sz w:val="22"/>
                <w:szCs w:val="22"/>
                <w:shd w:val="clear" w:color="auto" w:fill="EAEEF3"/>
              </w:rPr>
              <w:t>E62_Chaîne_de_caractères</w:t>
            </w:r>
          </w:p>
        </w:tc>
      </w:tr>
      <w:tr w:rsidR="00BF18CF" w14:paraId="747914F3" w14:textId="77777777" w:rsidTr="00BF18CF">
        <w:tc>
          <w:tcPr>
            <w:tcW w:w="1770" w:type="dxa"/>
          </w:tcPr>
          <w:p w14:paraId="6F5B0416" w14:textId="6FC51DF7"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20" w:type="dxa"/>
          </w:tcPr>
          <w:p w14:paraId="11B8AAB1" w14:textId="77777777" w:rsidR="00BF18CF" w:rsidRDefault="00BF18CF">
            <w:pPr>
              <w:pBdr>
                <w:top w:val="nil"/>
                <w:left w:val="nil"/>
                <w:bottom w:val="nil"/>
                <w:right w:val="nil"/>
                <w:between w:val="nil"/>
              </w:pBdr>
              <w:spacing w:before="36" w:after="36"/>
              <w:rPr>
                <w:color w:val="000000"/>
              </w:rPr>
            </w:pPr>
          </w:p>
        </w:tc>
      </w:tr>
      <w:tr w:rsidR="00BF18CF" w14:paraId="4E71A25B" w14:textId="77777777" w:rsidTr="00BF18CF">
        <w:tc>
          <w:tcPr>
            <w:tcW w:w="1770" w:type="dxa"/>
          </w:tcPr>
          <w:p w14:paraId="6425A78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20" w:type="dxa"/>
          </w:tcPr>
          <w:p w14:paraId="13982289" w14:textId="77777777" w:rsidR="00BF18CF" w:rsidRDefault="00BF18CF">
            <w:pPr>
              <w:pBdr>
                <w:top w:val="nil"/>
                <w:left w:val="nil"/>
                <w:bottom w:val="nil"/>
                <w:right w:val="nil"/>
                <w:between w:val="nil"/>
              </w:pBdr>
              <w:spacing w:before="36" w:after="36"/>
              <w:rPr>
                <w:color w:val="000000"/>
              </w:rPr>
            </w:pPr>
          </w:p>
        </w:tc>
      </w:tr>
    </w:tbl>
    <w:p w14:paraId="786E6CEC" w14:textId="77777777" w:rsidR="00BF18CF" w:rsidRDefault="00E51347">
      <w:pPr>
        <w:pStyle w:val="Heading3"/>
      </w:pPr>
      <w:bookmarkStart w:id="248" w:name="bookmark=id.2mn7vak" w:colFirst="0" w:colLast="0"/>
      <w:bookmarkStart w:id="249" w:name="_Toc144360867"/>
      <w:bookmarkEnd w:id="248"/>
      <w:r>
        <w:lastRenderedPageBreak/>
        <w:t>E92 Volume spatio-temporel</w:t>
      </w:r>
      <w:bookmarkEnd w:id="249"/>
    </w:p>
    <w:tbl>
      <w:tblPr>
        <w:tblStyle w:val="a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5"/>
        <w:gridCol w:w="8755"/>
      </w:tblGrid>
      <w:tr w:rsidR="00BF18CF" w14:paraId="156EB9B5" w14:textId="77777777" w:rsidTr="00BF18CF">
        <w:tc>
          <w:tcPr>
            <w:tcW w:w="1935" w:type="dxa"/>
          </w:tcPr>
          <w:p w14:paraId="3F55A135"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755" w:type="dxa"/>
          </w:tcPr>
          <w:p w14:paraId="53163150" w14:textId="77777777" w:rsidR="00BF18CF" w:rsidRDefault="00E51347">
            <w:r>
              <w:rPr>
                <w:rFonts w:ascii="Consolas" w:eastAsia="Consolas" w:hAnsi="Consolas" w:cs="Consolas"/>
                <w:sz w:val="22"/>
                <w:szCs w:val="22"/>
                <w:shd w:val="clear" w:color="auto" w:fill="EAEEF3"/>
              </w:rPr>
              <w:t>E1_Entité_CRM</w:t>
            </w:r>
          </w:p>
        </w:tc>
      </w:tr>
      <w:tr w:rsidR="00BF18CF" w14:paraId="44CEDFBE" w14:textId="77777777" w:rsidTr="00BF18CF">
        <w:tc>
          <w:tcPr>
            <w:tcW w:w="1935" w:type="dxa"/>
          </w:tcPr>
          <w:p w14:paraId="53D720F5"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755" w:type="dxa"/>
          </w:tcPr>
          <w:p w14:paraId="7F18266D" w14:textId="77777777" w:rsidR="00BF18CF" w:rsidRDefault="00E51347">
            <w:r>
              <w:rPr>
                <w:rFonts w:ascii="Consolas" w:eastAsia="Consolas" w:hAnsi="Consolas" w:cs="Consolas"/>
                <w:sz w:val="22"/>
                <w:szCs w:val="22"/>
                <w:shd w:val="clear" w:color="auto" w:fill="EAEEF3"/>
              </w:rPr>
              <w:t>E4_Période</w:t>
            </w:r>
          </w:p>
          <w:p w14:paraId="5C87121E" w14:textId="77777777" w:rsidR="00BF18CF" w:rsidRDefault="00E51347">
            <w:r>
              <w:rPr>
                <w:rFonts w:ascii="Consolas" w:eastAsia="Consolas" w:hAnsi="Consolas" w:cs="Consolas"/>
                <w:sz w:val="22"/>
                <w:szCs w:val="22"/>
                <w:shd w:val="clear" w:color="auto" w:fill="EAEEF3"/>
              </w:rPr>
              <w:t>E93_Présence</w:t>
            </w:r>
          </w:p>
        </w:tc>
      </w:tr>
      <w:tr w:rsidR="00BF18CF" w14:paraId="0935C92F" w14:textId="77777777" w:rsidTr="00BF18CF">
        <w:tc>
          <w:tcPr>
            <w:tcW w:w="1935" w:type="dxa"/>
          </w:tcPr>
          <w:p w14:paraId="4F6A438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55" w:type="dxa"/>
          </w:tcPr>
          <w:p w14:paraId="3AAC90A4" w14:textId="77777777" w:rsidR="00BF18CF" w:rsidRDefault="00E51347">
            <w:r>
              <w:t xml:space="preserve">Cette classe comprend les séries de points en quatre dimensions (volumes) dans un espace-temps physique (au contraire des modèles mathématiques de ce dernier), quelles que soient leurs formes géométriques réelles. Ces points peuvent dériver leur identité du fait d’être l’étendue d’un phénomène matériel ou d’être l’interprétation d’une expression définissant une étendue dans l’espace-temps. Les intersections des instances de </w:t>
            </w:r>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E53_Lieu</w:t>
            </w:r>
            <w:r>
              <w:t xml:space="preserve"> et </w:t>
            </w:r>
            <w:r>
              <w:rPr>
                <w:rFonts w:ascii="Consolas" w:eastAsia="Consolas" w:hAnsi="Consolas" w:cs="Consolas"/>
                <w:sz w:val="22"/>
                <w:szCs w:val="22"/>
                <w:shd w:val="clear" w:color="auto" w:fill="EAEEF3"/>
              </w:rPr>
              <w:t>E52_Intervalle_temporel</w:t>
            </w:r>
            <w:r>
              <w:t xml:space="preserve"> sont aussi considérées comme des instances de </w:t>
            </w:r>
            <w:r>
              <w:rPr>
                <w:rFonts w:ascii="Consolas" w:eastAsia="Consolas" w:hAnsi="Consolas" w:cs="Consolas"/>
                <w:sz w:val="22"/>
                <w:szCs w:val="22"/>
                <w:shd w:val="clear" w:color="auto" w:fill="EAEEF3"/>
              </w:rPr>
              <w:t>E92_Volume_spatio-temporel</w:t>
            </w:r>
            <w:r>
              <w:t xml:space="preserve">. Une instance de </w:t>
            </w:r>
            <w:r>
              <w:rPr>
                <w:rFonts w:ascii="Consolas" w:eastAsia="Consolas" w:hAnsi="Consolas" w:cs="Consolas"/>
                <w:sz w:val="22"/>
                <w:szCs w:val="22"/>
                <w:shd w:val="clear" w:color="auto" w:fill="EAEEF3"/>
              </w:rPr>
              <w:t>E92_Volume_spatio-temporel</w:t>
            </w:r>
            <w:r>
              <w:t xml:space="preserve"> est soit continue, soit composée d’un nombre fini de sous-ensembles continus. Ses limites peuvent être floues à cause des propriétés du phénomène duquel il est dérivé ou à cause de la précision limitée à laquelle l’expression le définissant peut être identifiée au travers d’une étendue réelle dans l’espace-temps. La durée de l’existence d’une instance de </w:t>
            </w:r>
            <w:r>
              <w:rPr>
                <w:rFonts w:ascii="Consolas" w:eastAsia="Consolas" w:hAnsi="Consolas" w:cs="Consolas"/>
                <w:sz w:val="22"/>
                <w:szCs w:val="22"/>
                <w:shd w:val="clear" w:color="auto" w:fill="EAEEF3"/>
              </w:rPr>
              <w:t>E92_Volume_spatio-temporel</w:t>
            </w:r>
            <w:r>
              <w:t xml:space="preserve"> est sa projection dans le temps.</w:t>
            </w:r>
          </w:p>
        </w:tc>
      </w:tr>
      <w:tr w:rsidR="00BF18CF" w14:paraId="6AE2F059" w14:textId="77777777" w:rsidTr="00BF18CF">
        <w:tc>
          <w:tcPr>
            <w:tcW w:w="1935" w:type="dxa"/>
          </w:tcPr>
          <w:p w14:paraId="6F73CF3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55" w:type="dxa"/>
          </w:tcPr>
          <w:p w14:paraId="48E235B8" w14:textId="77777777" w:rsidR="00BF18CF" w:rsidRDefault="00E51347">
            <w:pPr>
              <w:numPr>
                <w:ilvl w:val="0"/>
                <w:numId w:val="19"/>
              </w:numPr>
            </w:pPr>
            <w:r>
              <w:t>L’étendue dans l’espace et dans le temps de l’évènement du meurtre de César</w:t>
            </w:r>
          </w:p>
          <w:p w14:paraId="2933B6AD" w14:textId="77777777" w:rsidR="00BF18CF" w:rsidRDefault="00E51347">
            <w:pPr>
              <w:numPr>
                <w:ilvl w:val="0"/>
                <w:numId w:val="19"/>
              </w:numPr>
            </w:pPr>
            <w:r>
              <w:t>Le lieu et l’instant où la datation au carbon 14 de la Lance Schoeninger II en 1996 a eu lieu</w:t>
            </w:r>
          </w:p>
          <w:p w14:paraId="3FF3D4BA" w14:textId="77777777" w:rsidR="00BF18CF" w:rsidRDefault="00E51347">
            <w:pPr>
              <w:numPr>
                <w:ilvl w:val="0"/>
                <w:numId w:val="19"/>
              </w:numPr>
            </w:pPr>
            <w:r>
              <w:t>La trajectoire spatio-temporelle du HMS Victory de sa construction à sa localisation actuelle</w:t>
            </w:r>
          </w:p>
          <w:p w14:paraId="0834C129" w14:textId="77777777" w:rsidR="00BF18CF" w:rsidRDefault="00E51347">
            <w:pPr>
              <w:numPr>
                <w:ilvl w:val="0"/>
                <w:numId w:val="19"/>
              </w:numPr>
            </w:pPr>
            <w:r>
              <w:t xml:space="preserve">L’étendue dans l’espace et dans </w:t>
            </w:r>
            <w:proofErr w:type="gramStart"/>
            <w:r>
              <w:t>le temps définie</w:t>
            </w:r>
            <w:proofErr w:type="gramEnd"/>
            <w:r>
              <w:t xml:space="preserve"> par un polygone s’approchant de l’étendue de l'inondation du Danube en Autriche entre le 6 et le 9 août 2002</w:t>
            </w:r>
          </w:p>
        </w:tc>
      </w:tr>
      <w:tr w:rsidR="00BF18CF" w14:paraId="10A520BF" w14:textId="77777777" w:rsidTr="00BF18CF">
        <w:tc>
          <w:tcPr>
            <w:tcW w:w="1935" w:type="dxa"/>
          </w:tcPr>
          <w:p w14:paraId="1F2B77D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55" w:type="dxa"/>
          </w:tcPr>
          <w:p w14:paraId="61A1A0DD" w14:textId="77777777" w:rsidR="00BF18CF" w:rsidRDefault="00E51347">
            <w:r>
              <w:t>E92(x) ⇒ E1(x)</w:t>
            </w:r>
          </w:p>
        </w:tc>
      </w:tr>
      <w:tr w:rsidR="00BF18CF" w14:paraId="18B67EB1" w14:textId="77777777" w:rsidTr="00BF18CF">
        <w:tc>
          <w:tcPr>
            <w:tcW w:w="1935" w:type="dxa"/>
          </w:tcPr>
          <w:p w14:paraId="29E5E66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55" w:type="dxa"/>
          </w:tcPr>
          <w:p w14:paraId="73C5AF6C" w14:textId="77777777" w:rsidR="00BF18CF" w:rsidRDefault="00E51347">
            <w:r>
              <w:rPr>
                <w:rFonts w:ascii="Consolas" w:eastAsia="Consolas" w:hAnsi="Consolas" w:cs="Consolas"/>
                <w:sz w:val="22"/>
                <w:szCs w:val="22"/>
                <w:shd w:val="clear" w:color="auto" w:fill="EAEEF3"/>
              </w:rPr>
              <w:t>P10_s’insère_dans (contient)</w:t>
            </w:r>
            <w:r>
              <w:t xml:space="preserve"> : </w:t>
            </w:r>
            <w:r>
              <w:rPr>
                <w:rFonts w:ascii="Consolas" w:eastAsia="Consolas" w:hAnsi="Consolas" w:cs="Consolas"/>
                <w:sz w:val="22"/>
                <w:szCs w:val="22"/>
                <w:shd w:val="clear" w:color="auto" w:fill="EAEEF3"/>
              </w:rPr>
              <w:t>E92_Volume_spatio-temporel</w:t>
            </w:r>
          </w:p>
          <w:p w14:paraId="01E7BB8C" w14:textId="77777777" w:rsidR="00BF18CF" w:rsidRDefault="00E51347">
            <w:r>
              <w:rPr>
                <w:rFonts w:ascii="Consolas" w:eastAsia="Consolas" w:hAnsi="Consolas" w:cs="Consolas"/>
                <w:sz w:val="22"/>
                <w:szCs w:val="22"/>
                <w:shd w:val="clear" w:color="auto" w:fill="EAEEF3"/>
              </w:rPr>
              <w:t>P132_recoupe_spatio-temporellement</w:t>
            </w:r>
            <w:r>
              <w:t xml:space="preserve"> : </w:t>
            </w:r>
            <w:r>
              <w:rPr>
                <w:rFonts w:ascii="Consolas" w:eastAsia="Consolas" w:hAnsi="Consolas" w:cs="Consolas"/>
                <w:sz w:val="22"/>
                <w:szCs w:val="22"/>
                <w:shd w:val="clear" w:color="auto" w:fill="EAEEF3"/>
              </w:rPr>
              <w:t>E92_Volume_spatio-temporel</w:t>
            </w:r>
          </w:p>
          <w:p w14:paraId="3212A055" w14:textId="77777777" w:rsidR="00BF18CF" w:rsidRDefault="00E51347">
            <w:r>
              <w:rPr>
                <w:rFonts w:ascii="Consolas" w:eastAsia="Consolas" w:hAnsi="Consolas" w:cs="Consolas"/>
                <w:sz w:val="22"/>
                <w:szCs w:val="22"/>
                <w:shd w:val="clear" w:color="auto" w:fill="EAEEF3"/>
              </w:rPr>
              <w:t>P133_est_distinct_spatio-temporellement_de</w:t>
            </w:r>
            <w:r>
              <w:t xml:space="preserve"> : </w:t>
            </w:r>
            <w:r>
              <w:rPr>
                <w:rFonts w:ascii="Consolas" w:eastAsia="Consolas" w:hAnsi="Consolas" w:cs="Consolas"/>
                <w:sz w:val="22"/>
                <w:szCs w:val="22"/>
                <w:shd w:val="clear" w:color="auto" w:fill="EAEEF3"/>
              </w:rPr>
              <w:t>E92_Volume_spatio-temporel</w:t>
            </w:r>
          </w:p>
          <w:p w14:paraId="0F9DB8BF" w14:textId="77777777" w:rsidR="00BF18CF" w:rsidRDefault="00E51347">
            <w:r>
              <w:rPr>
                <w:rFonts w:ascii="Consolas" w:eastAsia="Consolas" w:hAnsi="Consolas" w:cs="Consolas"/>
                <w:sz w:val="22"/>
                <w:szCs w:val="22"/>
                <w:shd w:val="clear" w:color="auto" w:fill="EAEEF3"/>
              </w:rPr>
              <w:t>P160_a_pour_projection_temporelle (est_la_projection_temporelle_de)</w:t>
            </w:r>
            <w:r>
              <w:t xml:space="preserve"> : </w:t>
            </w:r>
            <w:r>
              <w:rPr>
                <w:rFonts w:ascii="Consolas" w:eastAsia="Consolas" w:hAnsi="Consolas" w:cs="Consolas"/>
                <w:sz w:val="22"/>
                <w:szCs w:val="22"/>
                <w:shd w:val="clear" w:color="auto" w:fill="EAEEF3"/>
              </w:rPr>
              <w:t>E52_Intervalle_temporel</w:t>
            </w:r>
          </w:p>
          <w:p w14:paraId="30C53607" w14:textId="77777777" w:rsidR="00BF18CF" w:rsidRDefault="00E51347">
            <w:r>
              <w:rPr>
                <w:rFonts w:ascii="Consolas" w:eastAsia="Consolas" w:hAnsi="Consolas" w:cs="Consolas"/>
                <w:sz w:val="22"/>
                <w:szCs w:val="22"/>
                <w:shd w:val="clear" w:color="auto" w:fill="EAEEF3"/>
              </w:rPr>
              <w:t>P161_a_pour_projection_spatiale (est_la_projection_spatiale_de)</w:t>
            </w:r>
            <w:r>
              <w:t xml:space="preserve"> : </w:t>
            </w:r>
            <w:r>
              <w:rPr>
                <w:rFonts w:ascii="Consolas" w:eastAsia="Consolas" w:hAnsi="Consolas" w:cs="Consolas"/>
                <w:sz w:val="22"/>
                <w:szCs w:val="22"/>
                <w:shd w:val="clear" w:color="auto" w:fill="EAEEF3"/>
              </w:rPr>
              <w:t>E53_Lieu</w:t>
            </w:r>
          </w:p>
        </w:tc>
      </w:tr>
      <w:tr w:rsidR="00BF18CF" w14:paraId="2348921B" w14:textId="77777777" w:rsidTr="00BF18CF">
        <w:tc>
          <w:tcPr>
            <w:tcW w:w="1935" w:type="dxa"/>
          </w:tcPr>
          <w:p w14:paraId="2C26FF1B" w14:textId="4F5FF39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55" w:type="dxa"/>
          </w:tcPr>
          <w:p w14:paraId="6F156820" w14:textId="77777777" w:rsidR="00BF18CF" w:rsidRDefault="00BF18CF">
            <w:pPr>
              <w:pBdr>
                <w:top w:val="nil"/>
                <w:left w:val="nil"/>
                <w:bottom w:val="nil"/>
                <w:right w:val="nil"/>
                <w:between w:val="nil"/>
              </w:pBdr>
              <w:spacing w:before="36" w:after="36"/>
              <w:rPr>
                <w:color w:val="000000"/>
              </w:rPr>
            </w:pPr>
          </w:p>
        </w:tc>
      </w:tr>
      <w:tr w:rsidR="00BF18CF" w:rsidRPr="00103833" w14:paraId="35F68A14" w14:textId="77777777" w:rsidTr="00BF18CF">
        <w:tc>
          <w:tcPr>
            <w:tcW w:w="1935" w:type="dxa"/>
          </w:tcPr>
          <w:p w14:paraId="3219E0A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55" w:type="dxa"/>
          </w:tcPr>
          <w:p w14:paraId="25CC9ED8" w14:textId="77777777" w:rsidR="00BF18CF" w:rsidRPr="00EE61A5" w:rsidRDefault="00E51347">
            <w:pPr>
              <w:rPr>
                <w:lang w:val="en-CA"/>
              </w:rPr>
            </w:pPr>
            <w:r w:rsidRPr="00EE61A5">
              <w:rPr>
                <w:lang w:val="en-CA"/>
              </w:rPr>
              <w:t xml:space="preserve">Wikipédia. « Schöningen Spears ». Dans </w:t>
            </w:r>
            <w:r w:rsidRPr="00EE61A5">
              <w:rPr>
                <w:i/>
                <w:lang w:val="en-CA"/>
              </w:rPr>
              <w:t>Wikipédia</w:t>
            </w:r>
            <w:r w:rsidRPr="00EE61A5">
              <w:rPr>
                <w:lang w:val="en-CA"/>
              </w:rPr>
              <w:t>. San Francisco, US-CA: Wikipédia, 6 mars 2023.</w:t>
            </w:r>
            <w:hyperlink r:id="rId400">
              <w:r w:rsidRPr="00EE61A5">
                <w:rPr>
                  <w:color w:val="4F81BD"/>
                  <w:lang w:val="en-CA"/>
                </w:rPr>
                <w:t xml:space="preserve"> </w:t>
              </w:r>
              <w:r w:rsidRPr="00EE61A5">
                <w:rPr>
                  <w:color w:val="4F81BD"/>
                  <w:lang w:val="en-CA"/>
                </w:rPr>
                <w:lastRenderedPageBreak/>
                <w:t>https://en.wikipedia.org/w/index.php?title=Sch%C3%B6ningen_spears&amp;oldid=1143301875</w:t>
              </w:r>
            </w:hyperlink>
            <w:r w:rsidRPr="00EE61A5">
              <w:rPr>
                <w:lang w:val="en-CA"/>
              </w:rPr>
              <w:t>.</w:t>
            </w:r>
          </w:p>
        </w:tc>
      </w:tr>
    </w:tbl>
    <w:p w14:paraId="4E1BF14A" w14:textId="77777777" w:rsidR="00BF18CF" w:rsidRDefault="00E51347">
      <w:pPr>
        <w:pStyle w:val="Heading3"/>
      </w:pPr>
      <w:bookmarkStart w:id="250" w:name="bookmark=id.11si5id" w:colFirst="0" w:colLast="0"/>
      <w:bookmarkStart w:id="251" w:name="_Toc144360868"/>
      <w:bookmarkEnd w:id="250"/>
      <w:r>
        <w:lastRenderedPageBreak/>
        <w:t>E93 Présence</w:t>
      </w:r>
      <w:bookmarkEnd w:id="251"/>
    </w:p>
    <w:tbl>
      <w:tblPr>
        <w:tblStyle w:val="a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57"/>
        <w:gridCol w:w="8933"/>
      </w:tblGrid>
      <w:tr w:rsidR="00BF18CF" w14:paraId="441A3091" w14:textId="77777777" w:rsidTr="00BF18CF">
        <w:tc>
          <w:tcPr>
            <w:tcW w:w="1757" w:type="dxa"/>
          </w:tcPr>
          <w:p w14:paraId="21047D6D"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33" w:type="dxa"/>
          </w:tcPr>
          <w:p w14:paraId="444C7465" w14:textId="77777777" w:rsidR="00BF18CF" w:rsidRDefault="00E51347">
            <w:r>
              <w:rPr>
                <w:rFonts w:ascii="Consolas" w:eastAsia="Consolas" w:hAnsi="Consolas" w:cs="Consolas"/>
                <w:sz w:val="22"/>
                <w:szCs w:val="22"/>
                <w:shd w:val="clear" w:color="auto" w:fill="EAEEF3"/>
              </w:rPr>
              <w:t>E92_Volume_spatio-temporel</w:t>
            </w:r>
          </w:p>
        </w:tc>
      </w:tr>
      <w:tr w:rsidR="00BF18CF" w14:paraId="05FD29A7" w14:textId="77777777" w:rsidTr="00BF18CF">
        <w:tc>
          <w:tcPr>
            <w:tcW w:w="1757" w:type="dxa"/>
          </w:tcPr>
          <w:p w14:paraId="3BC5F767"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33" w:type="dxa"/>
          </w:tcPr>
          <w:p w14:paraId="34B10442" w14:textId="77777777" w:rsidR="00BF18CF" w:rsidRDefault="00BF18CF">
            <w:pPr>
              <w:pBdr>
                <w:top w:val="nil"/>
                <w:left w:val="nil"/>
                <w:bottom w:val="nil"/>
                <w:right w:val="nil"/>
                <w:between w:val="nil"/>
              </w:pBdr>
              <w:spacing w:before="36" w:after="36"/>
              <w:rPr>
                <w:color w:val="000000"/>
              </w:rPr>
            </w:pPr>
          </w:p>
        </w:tc>
      </w:tr>
      <w:tr w:rsidR="00BF18CF" w14:paraId="4B395E1B" w14:textId="77777777" w:rsidTr="00BF18CF">
        <w:tc>
          <w:tcPr>
            <w:tcW w:w="1757" w:type="dxa"/>
          </w:tcPr>
          <w:p w14:paraId="5C339EB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33" w:type="dxa"/>
          </w:tcPr>
          <w:p w14:paraId="435BE0E4" w14:textId="77777777" w:rsidR="00BF18CF" w:rsidRDefault="00E51347">
            <w:r>
              <w:t xml:space="preserve">Cette classe comprend les instances de </w:t>
            </w:r>
            <w:r>
              <w:rPr>
                <w:rFonts w:ascii="Consolas" w:eastAsia="Consolas" w:hAnsi="Consolas" w:cs="Consolas"/>
                <w:sz w:val="22"/>
                <w:szCs w:val="22"/>
                <w:shd w:val="clear" w:color="auto" w:fill="EAEEF3"/>
              </w:rPr>
              <w:t>E92_Volume_spatio-temporel</w:t>
            </w:r>
            <w:r>
              <w:t xml:space="preserve"> dont l'étendue temporelle a été choisie pour déterminer l'étendue spatiale d'un phénomène au cours d'un intervalle de temps choisi. Les phénomènes concernés peuvent, par exemple, être des évènements ou des périodes historiques, mais peuvent aussi être l'étendue et l'existence diachroniques de choses physiques. En d'autres termes, les instances de cette classe fixent une autre tranche d'une instance de </w:t>
            </w:r>
            <w:r>
              <w:rPr>
                <w:rFonts w:ascii="Consolas" w:eastAsia="Consolas" w:hAnsi="Consolas" w:cs="Consolas"/>
                <w:sz w:val="22"/>
                <w:szCs w:val="22"/>
                <w:shd w:val="clear" w:color="auto" w:fill="EAEEF3"/>
              </w:rPr>
              <w:t>E92_Volume_spatio-temporel</w:t>
            </w:r>
            <w:r>
              <w:t xml:space="preserve"> dans le temps.</w:t>
            </w:r>
          </w:p>
          <w:p w14:paraId="36CF5695" w14:textId="77777777" w:rsidR="00BF18CF" w:rsidRDefault="00E51347">
            <w:r>
              <w:t xml:space="preserve">L'étendue temporelle d'une instance de </w:t>
            </w:r>
            <w:r>
              <w:rPr>
                <w:rFonts w:ascii="Consolas" w:eastAsia="Consolas" w:hAnsi="Consolas" w:cs="Consolas"/>
                <w:sz w:val="22"/>
                <w:szCs w:val="22"/>
                <w:shd w:val="clear" w:color="auto" w:fill="EAEEF3"/>
              </w:rPr>
              <w:t>E93_Présence</w:t>
            </w:r>
            <w:r>
              <w:t xml:space="preserve"> est généralement prédéterminée par le ou la chercheur·se afin de concentrer son enquête sur la recherche de l'étendue spatiale du phénomène en testant ses caractéristiques. Il y a au moins deux directions de base que de telles enquêtes peuvent prendre. Elles peuvent servir à déterminer où se trouvait quelque chose pendant un certain temps ou à reconstruire le passage total du volume spatio-temporel d’un phénomène à travers un examen de présences distinctes. L'observation et le mesurage des caractéristiques indiquant la présence ou l'absence d'un phénomène dans un espace donné permettent l'approximation progressive des étendues spatiales à travers une argumentation généralement basée sur l'inclusion, l'exclusion et divers chevauchements.</w:t>
            </w:r>
          </w:p>
        </w:tc>
      </w:tr>
      <w:tr w:rsidR="00BF18CF" w14:paraId="357B8FC7" w14:textId="77777777" w:rsidTr="00BF18CF">
        <w:tc>
          <w:tcPr>
            <w:tcW w:w="1757" w:type="dxa"/>
          </w:tcPr>
          <w:p w14:paraId="72DC12B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33" w:type="dxa"/>
          </w:tcPr>
          <w:p w14:paraId="7FC5E4D1" w14:textId="77777777" w:rsidR="00BF18CF" w:rsidRDefault="00E51347">
            <w:pPr>
              <w:numPr>
                <w:ilvl w:val="0"/>
                <w:numId w:val="19"/>
              </w:numPr>
            </w:pPr>
            <w:r>
              <w:t>L'Empire romain le 19 août 14 EC</w:t>
            </w:r>
          </w:p>
          <w:p w14:paraId="65E821EE" w14:textId="77777777" w:rsidR="00BF18CF" w:rsidRDefault="00E51347">
            <w:pPr>
              <w:numPr>
                <w:ilvl w:val="0"/>
                <w:numId w:val="19"/>
              </w:numPr>
            </w:pPr>
            <w:r>
              <w:t>La localisation de Johann Joachim Winckelmann en décembre 1775</w:t>
            </w:r>
          </w:p>
          <w:p w14:paraId="156A98FB" w14:textId="77777777" w:rsidR="00BF18CF" w:rsidRDefault="00E51347">
            <w:pPr>
              <w:numPr>
                <w:ilvl w:val="0"/>
                <w:numId w:val="19"/>
              </w:numPr>
            </w:pPr>
            <w:r>
              <w:t>La localisation de Johann Joachim Winckelmann entre le 19 novembre 1755 et le 9 avril 1768</w:t>
            </w:r>
          </w:p>
        </w:tc>
      </w:tr>
      <w:tr w:rsidR="00BF18CF" w14:paraId="2CF7B22A" w14:textId="77777777" w:rsidTr="00BF18CF">
        <w:tc>
          <w:tcPr>
            <w:tcW w:w="1757" w:type="dxa"/>
          </w:tcPr>
          <w:p w14:paraId="6047A0C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33" w:type="dxa"/>
          </w:tcPr>
          <w:p w14:paraId="36EFEA2E" w14:textId="77777777" w:rsidR="00BF18CF" w:rsidRDefault="00E51347">
            <w:r>
              <w:t>E93(x) ⇒ E92(x)</w:t>
            </w:r>
          </w:p>
        </w:tc>
      </w:tr>
      <w:tr w:rsidR="00BF18CF" w14:paraId="50449581" w14:textId="77777777" w:rsidTr="00BF18CF">
        <w:tc>
          <w:tcPr>
            <w:tcW w:w="1757" w:type="dxa"/>
          </w:tcPr>
          <w:p w14:paraId="357ACBB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33" w:type="dxa"/>
          </w:tcPr>
          <w:p w14:paraId="42E66993" w14:textId="77777777" w:rsidR="00BF18CF" w:rsidRDefault="00E51347">
            <w:r>
              <w:rPr>
                <w:rFonts w:ascii="Consolas" w:eastAsia="Consolas" w:hAnsi="Consolas" w:cs="Consolas"/>
                <w:sz w:val="22"/>
                <w:szCs w:val="22"/>
                <w:shd w:val="clear" w:color="auto" w:fill="EAEEF3"/>
              </w:rPr>
              <w:t>P164_est_temporellement_spécifié_par (spécifie temporellement)</w:t>
            </w:r>
            <w:r>
              <w:t xml:space="preserve"> : </w:t>
            </w:r>
            <w:r>
              <w:rPr>
                <w:rFonts w:ascii="Consolas" w:eastAsia="Consolas" w:hAnsi="Consolas" w:cs="Consolas"/>
                <w:sz w:val="22"/>
                <w:szCs w:val="22"/>
                <w:shd w:val="clear" w:color="auto" w:fill="EAEEF3"/>
              </w:rPr>
              <w:t>E52_Intervalle_temporerealml</w:t>
            </w:r>
          </w:p>
          <w:p w14:paraId="1C6CFF6D" w14:textId="77777777" w:rsidR="00BF18CF" w:rsidRDefault="00E51347">
            <w:r>
              <w:rPr>
                <w:rFonts w:ascii="Consolas" w:eastAsia="Consolas" w:hAnsi="Consolas" w:cs="Consolas"/>
                <w:sz w:val="22"/>
                <w:szCs w:val="22"/>
                <w:shd w:val="clear" w:color="auto" w:fill="EAEEF3"/>
              </w:rPr>
              <w:t>P166_a_été_une_présence_de (a_eu_pour_présence)</w:t>
            </w:r>
            <w:r>
              <w:t xml:space="preserve"> : </w:t>
            </w:r>
            <w:r>
              <w:rPr>
                <w:rFonts w:ascii="Consolas" w:eastAsia="Consolas" w:hAnsi="Consolas" w:cs="Consolas"/>
                <w:sz w:val="22"/>
                <w:szCs w:val="22"/>
                <w:shd w:val="clear" w:color="auto" w:fill="EAEEF3"/>
              </w:rPr>
              <w:t>E92_Volume_spatio-temporel</w:t>
            </w:r>
          </w:p>
          <w:p w14:paraId="1C8FB5F7" w14:textId="77777777" w:rsidR="00BF18CF" w:rsidRDefault="00E51347">
            <w:r>
              <w:rPr>
                <w:rFonts w:ascii="Consolas" w:eastAsia="Consolas" w:hAnsi="Consolas" w:cs="Consolas"/>
                <w:sz w:val="22"/>
                <w:szCs w:val="22"/>
                <w:shd w:val="clear" w:color="auto" w:fill="EAEEF3"/>
              </w:rPr>
              <w:t>P167_s'inscrivait_dans (comporte)</w:t>
            </w:r>
            <w:r>
              <w:t xml:space="preserve"> : </w:t>
            </w:r>
            <w:r>
              <w:rPr>
                <w:rFonts w:ascii="Consolas" w:eastAsia="Consolas" w:hAnsi="Consolas" w:cs="Consolas"/>
                <w:sz w:val="22"/>
                <w:szCs w:val="22"/>
                <w:shd w:val="clear" w:color="auto" w:fill="EAEEF3"/>
              </w:rPr>
              <w:t>E53_Lieu</w:t>
            </w:r>
          </w:p>
        </w:tc>
      </w:tr>
      <w:tr w:rsidR="00BF18CF" w14:paraId="7EAA7BEA" w14:textId="77777777" w:rsidTr="00BF18CF">
        <w:tc>
          <w:tcPr>
            <w:tcW w:w="1757" w:type="dxa"/>
          </w:tcPr>
          <w:p w14:paraId="7228485B" w14:textId="37DF8AE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33" w:type="dxa"/>
          </w:tcPr>
          <w:p w14:paraId="0E6CCABD" w14:textId="77777777" w:rsidR="00BF18CF" w:rsidRDefault="00BF18CF">
            <w:pPr>
              <w:pBdr>
                <w:top w:val="nil"/>
                <w:left w:val="nil"/>
                <w:bottom w:val="nil"/>
                <w:right w:val="nil"/>
                <w:between w:val="nil"/>
              </w:pBdr>
              <w:spacing w:before="36" w:after="36"/>
              <w:rPr>
                <w:color w:val="000000"/>
              </w:rPr>
            </w:pPr>
          </w:p>
        </w:tc>
      </w:tr>
      <w:tr w:rsidR="00BF18CF" w14:paraId="506E11A1" w14:textId="77777777" w:rsidTr="00BF18CF">
        <w:tc>
          <w:tcPr>
            <w:tcW w:w="1757" w:type="dxa"/>
          </w:tcPr>
          <w:p w14:paraId="6D60B63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33" w:type="dxa"/>
          </w:tcPr>
          <w:p w14:paraId="323C5AA4" w14:textId="77777777" w:rsidR="00BF18CF" w:rsidRDefault="00BF18CF">
            <w:pPr>
              <w:pBdr>
                <w:top w:val="nil"/>
                <w:left w:val="nil"/>
                <w:bottom w:val="nil"/>
                <w:right w:val="nil"/>
                <w:between w:val="nil"/>
              </w:pBdr>
              <w:spacing w:before="36" w:after="36"/>
              <w:rPr>
                <w:color w:val="000000"/>
              </w:rPr>
            </w:pPr>
          </w:p>
        </w:tc>
      </w:tr>
    </w:tbl>
    <w:p w14:paraId="29A73557" w14:textId="77777777" w:rsidR="00BF18CF" w:rsidRDefault="00E51347">
      <w:pPr>
        <w:pStyle w:val="Heading3"/>
      </w:pPr>
      <w:bookmarkStart w:id="252" w:name="bookmark=id.3ls5o66" w:colFirst="0" w:colLast="0"/>
      <w:bookmarkStart w:id="253" w:name="_Toc144360869"/>
      <w:bookmarkEnd w:id="252"/>
      <w:r>
        <w:lastRenderedPageBreak/>
        <w:t>E94 Primitive spatiale</w:t>
      </w:r>
      <w:bookmarkEnd w:id="253"/>
    </w:p>
    <w:tbl>
      <w:tblPr>
        <w:tblStyle w:val="a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20"/>
        <w:gridCol w:w="8970"/>
      </w:tblGrid>
      <w:tr w:rsidR="00BF18CF" w14:paraId="0025362A" w14:textId="77777777" w:rsidTr="00BF18CF">
        <w:tc>
          <w:tcPr>
            <w:tcW w:w="1720" w:type="dxa"/>
          </w:tcPr>
          <w:p w14:paraId="0EB61B02"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70" w:type="dxa"/>
          </w:tcPr>
          <w:p w14:paraId="6195315A" w14:textId="77777777" w:rsidR="00E25267" w:rsidRDefault="00E51347">
            <w:pPr>
              <w:rPr>
                <w:rFonts w:ascii="Consolas" w:eastAsia="Consolas" w:hAnsi="Consolas" w:cs="Consolas"/>
                <w:sz w:val="22"/>
                <w:szCs w:val="22"/>
                <w:shd w:val="clear" w:color="auto" w:fill="EAEEF3"/>
              </w:rPr>
            </w:pPr>
            <w:r>
              <w:rPr>
                <w:rFonts w:ascii="Consolas" w:eastAsia="Consolas" w:hAnsi="Consolas" w:cs="Consolas"/>
                <w:sz w:val="22"/>
                <w:szCs w:val="22"/>
                <w:shd w:val="clear" w:color="auto" w:fill="EAEEF3"/>
              </w:rPr>
              <w:t>E41_Appellation</w:t>
            </w:r>
          </w:p>
          <w:p w14:paraId="7B36CB61" w14:textId="57B54E99" w:rsidR="00BF18CF" w:rsidRDefault="00E51347">
            <w:r>
              <w:rPr>
                <w:rFonts w:ascii="Consolas" w:eastAsia="Consolas" w:hAnsi="Consolas" w:cs="Consolas"/>
                <w:sz w:val="22"/>
                <w:szCs w:val="22"/>
                <w:shd w:val="clear" w:color="auto" w:fill="EAEEF3"/>
              </w:rPr>
              <w:t>E59_Valeur_primitive</w:t>
            </w:r>
          </w:p>
        </w:tc>
      </w:tr>
      <w:tr w:rsidR="00BF18CF" w14:paraId="422CF49C" w14:textId="77777777" w:rsidTr="00BF18CF">
        <w:tc>
          <w:tcPr>
            <w:tcW w:w="1720" w:type="dxa"/>
          </w:tcPr>
          <w:p w14:paraId="2E9B885B"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70" w:type="dxa"/>
          </w:tcPr>
          <w:p w14:paraId="1FCACD26" w14:textId="77777777" w:rsidR="00BF18CF" w:rsidRDefault="00BF18CF">
            <w:pPr>
              <w:pBdr>
                <w:top w:val="nil"/>
                <w:left w:val="nil"/>
                <w:bottom w:val="nil"/>
                <w:right w:val="nil"/>
                <w:between w:val="nil"/>
              </w:pBdr>
              <w:spacing w:before="36" w:after="36"/>
              <w:rPr>
                <w:color w:val="000000"/>
              </w:rPr>
            </w:pPr>
          </w:p>
        </w:tc>
      </w:tr>
      <w:tr w:rsidR="00BF18CF" w14:paraId="385EEB4E" w14:textId="77777777" w:rsidTr="00BF18CF">
        <w:tc>
          <w:tcPr>
            <w:tcW w:w="1720" w:type="dxa"/>
          </w:tcPr>
          <w:p w14:paraId="51B0DB4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70" w:type="dxa"/>
          </w:tcPr>
          <w:p w14:paraId="08D97ED4" w14:textId="77777777" w:rsidR="00BF18CF" w:rsidRDefault="00E51347">
            <w:r>
              <w:t xml:space="preserve">Cette classe comprend des instances de </w:t>
            </w:r>
            <w:r>
              <w:rPr>
                <w:rFonts w:ascii="Consolas" w:eastAsia="Consolas" w:hAnsi="Consolas" w:cs="Consolas"/>
                <w:sz w:val="22"/>
                <w:szCs w:val="22"/>
                <w:shd w:val="clear" w:color="auto" w:fill="EAEEF3"/>
              </w:rPr>
              <w:t>E59_Valeur_primitive</w:t>
            </w:r>
            <w:r>
              <w:t xml:space="preserve"> pour un espace qui doivent être implémentées avec les validations, précisions et références appropriées aux systèmes de coordonnées spatiales afin d'exprimer des géométries sur ou relatives à la Terre, ou tout autre regroupement stable de matière pertinentes pour la documentation culturelle et scientifique.</w:t>
            </w:r>
          </w:p>
          <w:p w14:paraId="1AE32F6F" w14:textId="77777777" w:rsidR="00BF18CF" w:rsidRDefault="00E51347">
            <w:r>
              <w:t xml:space="preserve">Une instance de </w:t>
            </w:r>
            <w:r>
              <w:rPr>
                <w:rFonts w:ascii="Consolas" w:eastAsia="Consolas" w:hAnsi="Consolas" w:cs="Consolas"/>
                <w:sz w:val="22"/>
                <w:szCs w:val="22"/>
                <w:shd w:val="clear" w:color="auto" w:fill="EAEEF3"/>
              </w:rPr>
              <w:t>E94_Primitive_spatiale</w:t>
            </w:r>
            <w:r>
              <w:t xml:space="preserve"> définit une instance de </w:t>
            </w:r>
            <w:r>
              <w:rPr>
                <w:rFonts w:ascii="Consolas" w:eastAsia="Consolas" w:hAnsi="Consolas" w:cs="Consolas"/>
                <w:sz w:val="22"/>
                <w:szCs w:val="22"/>
                <w:shd w:val="clear" w:color="auto" w:fill="EAEEF3"/>
              </w:rPr>
              <w:t>E53_Lieu</w:t>
            </w:r>
            <w:r>
              <w:t xml:space="preserve"> au sens d'un lieu déclaratif tel qu'élaboré dans CRMgeo (Doerr et Hiebel, 2013), ce qui signifie que l'identité du lieu est dérivée de sa définition géométrique. Un tel lieu déclaratif peut permettre l'approximation d'instances de </w:t>
            </w:r>
            <w:r>
              <w:rPr>
                <w:rFonts w:ascii="Consolas" w:eastAsia="Consolas" w:hAnsi="Consolas" w:cs="Consolas"/>
                <w:sz w:val="22"/>
                <w:szCs w:val="22"/>
                <w:shd w:val="clear" w:color="auto" w:fill="EAEEF3"/>
              </w:rPr>
              <w:t>E53_Lieu</w:t>
            </w:r>
            <w:r>
              <w:t xml:space="preserve"> définies par l'étendue réelle d'un phénomène, comme l'occupation d'un lieu ou un lit de rivière, ou d'autres formes d'identification plutôt que par une instance de </w:t>
            </w:r>
            <w:r>
              <w:rPr>
                <w:rFonts w:ascii="Consolas" w:eastAsia="Consolas" w:hAnsi="Consolas" w:cs="Consolas"/>
                <w:sz w:val="22"/>
                <w:szCs w:val="22"/>
                <w:shd w:val="clear" w:color="auto" w:fill="EAEEF3"/>
              </w:rPr>
              <w:t>E94_Primitive_spatiale</w:t>
            </w:r>
            <w:r>
              <w:t xml:space="preserve">. Il est à souligner que l'utilisation d'une instance de </w:t>
            </w:r>
            <w:r>
              <w:rPr>
                <w:rFonts w:ascii="Consolas" w:eastAsia="Consolas" w:hAnsi="Consolas" w:cs="Consolas"/>
                <w:sz w:val="22"/>
                <w:szCs w:val="22"/>
                <w:shd w:val="clear" w:color="auto" w:fill="EAEEF3"/>
              </w:rPr>
              <w:t>E94_Primitive_spatiale</w:t>
            </w:r>
            <w:r>
              <w:t xml:space="preserve"> pour estimer l'étendue réelle d'un lieu définit toujours une instance (déclarative) à part entière de </w:t>
            </w:r>
            <w:r>
              <w:rPr>
                <w:rFonts w:ascii="Consolas" w:eastAsia="Consolas" w:hAnsi="Consolas" w:cs="Consolas"/>
                <w:sz w:val="22"/>
                <w:szCs w:val="22"/>
                <w:shd w:val="clear" w:color="auto" w:fill="EAEEF3"/>
              </w:rPr>
              <w:t>E53_Lieu</w:t>
            </w:r>
            <w:r>
              <w:t>.</w:t>
            </w:r>
          </w:p>
          <w:p w14:paraId="189F7371" w14:textId="77777777" w:rsidR="00BF18CF" w:rsidRDefault="00E51347">
            <w:r>
              <w:t xml:space="preserve">Les définitions d'instances de </w:t>
            </w:r>
            <w:r>
              <w:rPr>
                <w:rFonts w:ascii="Consolas" w:eastAsia="Consolas" w:hAnsi="Consolas" w:cs="Consolas"/>
                <w:sz w:val="22"/>
                <w:szCs w:val="22"/>
                <w:shd w:val="clear" w:color="auto" w:fill="EAEEF3"/>
              </w:rPr>
              <w:t>E53_Lieu</w:t>
            </w:r>
            <w:r>
              <w:t xml:space="preserve"> utilisant différents systèmes de référence spatiale sont toujours des définitions d'instances différentes de </w:t>
            </w:r>
            <w:r>
              <w:rPr>
                <w:rFonts w:ascii="Consolas" w:eastAsia="Consolas" w:hAnsi="Consolas" w:cs="Consolas"/>
                <w:sz w:val="22"/>
                <w:szCs w:val="22"/>
                <w:shd w:val="clear" w:color="auto" w:fill="EAEEF3"/>
              </w:rPr>
              <w:t>E53_Lieu</w:t>
            </w:r>
            <w:r>
              <w:t>.</w:t>
            </w:r>
          </w:p>
          <w:p w14:paraId="381C7FC8" w14:textId="77777777" w:rsidR="00BF18CF" w:rsidRDefault="00E51347">
            <w:r>
              <w:t xml:space="preserve">Les instances de </w:t>
            </w:r>
            <w:r>
              <w:rPr>
                <w:rFonts w:ascii="Consolas" w:eastAsia="Consolas" w:hAnsi="Consolas" w:cs="Consolas"/>
                <w:sz w:val="22"/>
                <w:szCs w:val="22"/>
                <w:shd w:val="clear" w:color="auto" w:fill="EAEEF3"/>
              </w:rPr>
              <w:t>E94_Primitive_spatiale</w:t>
            </w:r>
            <w:r>
              <w:t xml:space="preserve"> offrent la possibilité de lier les données codées du CIDOC CRM aux types de géométries utilisées dans les cartes ou les systèmes de géoinformation. Elles peuvent être utilisées pour visualiser les instances de </w:t>
            </w:r>
            <w:r>
              <w:rPr>
                <w:rFonts w:ascii="Consolas" w:eastAsia="Consolas" w:hAnsi="Consolas" w:cs="Consolas"/>
                <w:sz w:val="22"/>
                <w:szCs w:val="22"/>
                <w:shd w:val="clear" w:color="auto" w:fill="EAEEF3"/>
              </w:rPr>
              <w:t>E53_Lieu</w:t>
            </w:r>
            <w:r>
              <w:t xml:space="preserve"> qu'elles définissent, dans leur contexte géographique et pour calculer les relations topologiques entre les lieux à partir de ces géométries. La classe </w:t>
            </w:r>
            <w:r>
              <w:rPr>
                <w:rFonts w:ascii="Consolas" w:eastAsia="Consolas" w:hAnsi="Consolas" w:cs="Consolas"/>
                <w:sz w:val="22"/>
                <w:szCs w:val="22"/>
                <w:shd w:val="clear" w:color="auto" w:fill="EAEEF3"/>
              </w:rPr>
              <w:t>E94_Primitive_spatiale</w:t>
            </w:r>
            <w:r>
              <w:t xml:space="preserve"> n'est pas développée davantage dans ce modèle. Il est considéré comme une bonne pratique de maintenir la compatibilité avec les standards du Open Geospatial Consortium (OGC).</w:t>
            </w:r>
          </w:p>
        </w:tc>
      </w:tr>
      <w:tr w:rsidR="00BF18CF" w:rsidRPr="00103833" w14:paraId="6E8CF44D" w14:textId="77777777" w:rsidTr="00BF18CF">
        <w:tc>
          <w:tcPr>
            <w:tcW w:w="1720" w:type="dxa"/>
          </w:tcPr>
          <w:p w14:paraId="2C75EC6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70" w:type="dxa"/>
          </w:tcPr>
          <w:p w14:paraId="42FACF75" w14:textId="77777777" w:rsidR="00BF18CF" w:rsidRDefault="00E51347">
            <w:pPr>
              <w:numPr>
                <w:ilvl w:val="0"/>
                <w:numId w:val="19"/>
              </w:numPr>
            </w:pPr>
            <w:r>
              <w:t>Information sur les coordonnées en Geography Markup Language (GML) comme 45.67, 88.56</w:t>
            </w:r>
          </w:p>
          <w:p w14:paraId="2AF5A382" w14:textId="77777777" w:rsidR="00BF18CF" w:rsidRDefault="00E51347">
            <w:pPr>
              <w:numPr>
                <w:ilvl w:val="0"/>
                <w:numId w:val="19"/>
              </w:numPr>
            </w:pPr>
            <w:r>
              <w:t>Information sur les coordonnées en latitude et longitude comme 48,2 13,3</w:t>
            </w:r>
          </w:p>
          <w:p w14:paraId="2C8E6A33" w14:textId="77777777" w:rsidR="00BF18CF" w:rsidRPr="00EE61A5" w:rsidRDefault="00E51347">
            <w:pPr>
              <w:numPr>
                <w:ilvl w:val="0"/>
                <w:numId w:val="19"/>
              </w:numPr>
              <w:rPr>
                <w:lang w:val="en-CA"/>
              </w:rPr>
            </w:pPr>
            <w:r w:rsidRPr="00EE61A5">
              <w:rPr>
                <w:lang w:val="en-CA"/>
              </w:rPr>
              <w:t>Well-known text comme POLYGON ((30 10, 40 40, 20 40, 10 20, 30 10))</w:t>
            </w:r>
          </w:p>
        </w:tc>
      </w:tr>
      <w:tr w:rsidR="00BF18CF" w14:paraId="6A7664EC" w14:textId="77777777" w:rsidTr="00BF18CF">
        <w:tc>
          <w:tcPr>
            <w:tcW w:w="1720" w:type="dxa"/>
          </w:tcPr>
          <w:p w14:paraId="30851CA5"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70" w:type="dxa"/>
          </w:tcPr>
          <w:p w14:paraId="7DA8A45A" w14:textId="77777777" w:rsidR="00BF18CF" w:rsidRDefault="00E51347">
            <w:r>
              <w:t>E94(x) ⇒ E41(x)</w:t>
            </w:r>
          </w:p>
          <w:p w14:paraId="49B61CA9" w14:textId="77777777" w:rsidR="00BF18CF" w:rsidRDefault="00E51347">
            <w:r>
              <w:t>E94(x) ⇒ E59(x)</w:t>
            </w:r>
          </w:p>
        </w:tc>
      </w:tr>
      <w:tr w:rsidR="00BF18CF" w14:paraId="3F28B967" w14:textId="77777777" w:rsidTr="00BF18CF">
        <w:tc>
          <w:tcPr>
            <w:tcW w:w="1720" w:type="dxa"/>
          </w:tcPr>
          <w:p w14:paraId="5B0A904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70" w:type="dxa"/>
          </w:tcPr>
          <w:p w14:paraId="3F4E6FED" w14:textId="77777777" w:rsidR="00BF18CF" w:rsidRDefault="00BF18CF">
            <w:pPr>
              <w:pBdr>
                <w:top w:val="nil"/>
                <w:left w:val="nil"/>
                <w:bottom w:val="nil"/>
                <w:right w:val="nil"/>
                <w:between w:val="nil"/>
              </w:pBdr>
              <w:spacing w:before="36" w:after="36"/>
              <w:rPr>
                <w:color w:val="000000"/>
              </w:rPr>
            </w:pPr>
          </w:p>
        </w:tc>
      </w:tr>
      <w:tr w:rsidR="00BF18CF" w14:paraId="66B39733" w14:textId="77777777" w:rsidTr="00BF18CF">
        <w:tc>
          <w:tcPr>
            <w:tcW w:w="1720" w:type="dxa"/>
          </w:tcPr>
          <w:p w14:paraId="185D8A40" w14:textId="59F4F23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70" w:type="dxa"/>
          </w:tcPr>
          <w:p w14:paraId="578D66F5" w14:textId="77777777" w:rsidR="00BF18CF" w:rsidRDefault="00E51347">
            <w:r>
              <w:t>Le langage de balisage « Well-known text » s'écrit de différentes façons. Dans cette traduction, la forme « Well-known text » utilisée par Wikipédia a été préconisée.</w:t>
            </w:r>
          </w:p>
        </w:tc>
      </w:tr>
      <w:tr w:rsidR="00BF18CF" w:rsidRPr="00103833" w14:paraId="67682122" w14:textId="77777777" w:rsidTr="00BF18CF">
        <w:tc>
          <w:tcPr>
            <w:tcW w:w="1720" w:type="dxa"/>
          </w:tcPr>
          <w:p w14:paraId="12BC635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70" w:type="dxa"/>
          </w:tcPr>
          <w:p w14:paraId="603B8B9E" w14:textId="77777777" w:rsidR="00BF18CF" w:rsidRPr="00EE61A5" w:rsidRDefault="00E51347">
            <w:pPr>
              <w:rPr>
                <w:lang w:val="en-CA"/>
              </w:rPr>
            </w:pPr>
            <w:r w:rsidRPr="00EE61A5">
              <w:rPr>
                <w:lang w:val="en-CA"/>
              </w:rPr>
              <w:t xml:space="preserve">Wikipédia. « Well-Known Text Representation of Geometry ». Dans </w:t>
            </w:r>
            <w:r w:rsidRPr="00EE61A5">
              <w:rPr>
                <w:i/>
                <w:lang w:val="en-CA"/>
              </w:rPr>
              <w:t>Wikipédia</w:t>
            </w:r>
            <w:r w:rsidRPr="00EE61A5">
              <w:rPr>
                <w:lang w:val="en-CA"/>
              </w:rPr>
              <w:t>. San Francisco, US-CA: Wikipédia, 20 août 2022.</w:t>
            </w:r>
            <w:hyperlink r:id="rId401">
              <w:r w:rsidRPr="00EE61A5">
                <w:rPr>
                  <w:color w:val="4F81BD"/>
                  <w:lang w:val="en-CA"/>
                </w:rPr>
                <w:t xml:space="preserve"> </w:t>
              </w:r>
              <w:r w:rsidRPr="00EE61A5">
                <w:rPr>
                  <w:color w:val="4F81BD"/>
                  <w:lang w:val="en-CA"/>
                </w:rPr>
                <w:lastRenderedPageBreak/>
                <w:t>https://en.wikipedia.org/w/index.php?title=Well-known_text_representation_of_geometry&amp;oldid=1105540049</w:t>
              </w:r>
            </w:hyperlink>
            <w:r w:rsidRPr="00EE61A5">
              <w:rPr>
                <w:lang w:val="en-CA"/>
              </w:rPr>
              <w:t>.</w:t>
            </w:r>
          </w:p>
        </w:tc>
      </w:tr>
    </w:tbl>
    <w:p w14:paraId="20CC1568" w14:textId="77777777" w:rsidR="00BF18CF" w:rsidRDefault="00E51347">
      <w:pPr>
        <w:pStyle w:val="Heading3"/>
      </w:pPr>
      <w:bookmarkStart w:id="254" w:name="bookmark=id.20xfydz" w:colFirst="0" w:colLast="0"/>
      <w:bookmarkStart w:id="255" w:name="_Toc144360870"/>
      <w:bookmarkEnd w:id="254"/>
      <w:r>
        <w:lastRenderedPageBreak/>
        <w:t>E95 Primitive spatio-temporelle</w:t>
      </w:r>
      <w:bookmarkEnd w:id="255"/>
    </w:p>
    <w:tbl>
      <w:tblPr>
        <w:tblStyle w:val="a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66"/>
        <w:gridCol w:w="8924"/>
      </w:tblGrid>
      <w:tr w:rsidR="00BF18CF" w14:paraId="3F1C5AE4" w14:textId="77777777" w:rsidTr="00BF18CF">
        <w:tc>
          <w:tcPr>
            <w:tcW w:w="1766" w:type="dxa"/>
          </w:tcPr>
          <w:p w14:paraId="505DFA84"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24" w:type="dxa"/>
          </w:tcPr>
          <w:p w14:paraId="40607B96" w14:textId="77777777" w:rsidR="00BF18CF" w:rsidRDefault="00E51347">
            <w:r>
              <w:rPr>
                <w:rFonts w:ascii="Consolas" w:eastAsia="Consolas" w:hAnsi="Consolas" w:cs="Consolas"/>
                <w:sz w:val="22"/>
                <w:szCs w:val="22"/>
                <w:shd w:val="clear" w:color="auto" w:fill="EAEEF3"/>
              </w:rPr>
              <w:t>E41_Appellation</w:t>
            </w:r>
          </w:p>
          <w:p w14:paraId="5071F6F8" w14:textId="77777777" w:rsidR="00BF18CF" w:rsidRDefault="00E51347">
            <w:r>
              <w:rPr>
                <w:rFonts w:ascii="Consolas" w:eastAsia="Consolas" w:hAnsi="Consolas" w:cs="Consolas"/>
                <w:sz w:val="22"/>
                <w:szCs w:val="22"/>
                <w:shd w:val="clear" w:color="auto" w:fill="EAEEF3"/>
              </w:rPr>
              <w:t>E59_Valeur_primitive</w:t>
            </w:r>
          </w:p>
        </w:tc>
      </w:tr>
      <w:tr w:rsidR="00BF18CF" w14:paraId="74356A35" w14:textId="77777777" w:rsidTr="00BF18CF">
        <w:tc>
          <w:tcPr>
            <w:tcW w:w="1766" w:type="dxa"/>
          </w:tcPr>
          <w:p w14:paraId="3DD7ABA7"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24" w:type="dxa"/>
          </w:tcPr>
          <w:p w14:paraId="15E102CF" w14:textId="77777777" w:rsidR="00BF18CF" w:rsidRDefault="00BF18CF">
            <w:pPr>
              <w:pBdr>
                <w:top w:val="nil"/>
                <w:left w:val="nil"/>
                <w:bottom w:val="nil"/>
                <w:right w:val="nil"/>
                <w:between w:val="nil"/>
              </w:pBdr>
              <w:spacing w:before="36" w:after="36"/>
              <w:rPr>
                <w:color w:val="000000"/>
              </w:rPr>
            </w:pPr>
          </w:p>
        </w:tc>
      </w:tr>
      <w:tr w:rsidR="00BF18CF" w14:paraId="27A22C3A" w14:textId="77777777" w:rsidTr="00BF18CF">
        <w:tc>
          <w:tcPr>
            <w:tcW w:w="1766" w:type="dxa"/>
          </w:tcPr>
          <w:p w14:paraId="4038572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24" w:type="dxa"/>
          </w:tcPr>
          <w:p w14:paraId="4C739223" w14:textId="77777777" w:rsidR="00BF18CF" w:rsidRDefault="00E51347">
            <w:r>
              <w:t xml:space="preserve">Cette classe comprend les instances de </w:t>
            </w:r>
            <w:r>
              <w:rPr>
                <w:rFonts w:ascii="Consolas" w:eastAsia="Consolas" w:hAnsi="Consolas" w:cs="Consolas"/>
                <w:sz w:val="22"/>
                <w:szCs w:val="22"/>
                <w:shd w:val="clear" w:color="auto" w:fill="EAEEF3"/>
              </w:rPr>
              <w:t>E59_Valeur_primitive</w:t>
            </w:r>
            <w:r>
              <w:t xml:space="preserve"> pour les volumes spatio-temporels qui doivent être implémentées avec les validations, précisions et références appropriées pour exprimer des géométries limitées et variables dans le temps sur ou relatives à la Terre ou tout autre regroupement stable de matière et pertinentes pour la documentation culturelle et scientifique</w:t>
            </w:r>
          </w:p>
          <w:p w14:paraId="08BA19F1" w14:textId="77777777" w:rsidR="00BF18CF" w:rsidRDefault="00E51347">
            <w:r>
              <w:t xml:space="preserve">Une instance de </w:t>
            </w:r>
            <w:r>
              <w:rPr>
                <w:rFonts w:ascii="Consolas" w:eastAsia="Consolas" w:hAnsi="Consolas" w:cs="Consolas"/>
                <w:sz w:val="22"/>
                <w:szCs w:val="22"/>
                <w:shd w:val="clear" w:color="auto" w:fill="EAEEF3"/>
              </w:rPr>
              <w:t>E95_Primitive_spatio-temporelle</w:t>
            </w:r>
            <w:r>
              <w:t xml:space="preserve"> peut être constituée d’une unique expression incluant des informations spatiales et temporelles, comme pour le langage Geography Markup Language (GML</w:t>
            </w:r>
            <w:proofErr w:type="gramStart"/>
            <w:r>
              <w:t>) ,</w:t>
            </w:r>
            <w:proofErr w:type="gramEnd"/>
            <w:r>
              <w:t xml:space="preserve"> ou d’une différente forme pour exprimer l’espace-temps de manière intégrée, comme dans une formule contenant les quatre dimensions.</w:t>
            </w:r>
          </w:p>
          <w:p w14:paraId="6681E221" w14:textId="77777777" w:rsidR="00BF18CF" w:rsidRDefault="00E51347">
            <w:r>
              <w:t xml:space="preserve">Une instance de </w:t>
            </w:r>
            <w:r>
              <w:rPr>
                <w:rFonts w:ascii="Consolas" w:eastAsia="Consolas" w:hAnsi="Consolas" w:cs="Consolas"/>
                <w:sz w:val="22"/>
                <w:szCs w:val="22"/>
                <w:shd w:val="clear" w:color="auto" w:fill="EAEEF3"/>
              </w:rPr>
              <w:t>E95_Primitive_spatio-temporelle</w:t>
            </w:r>
            <w:r>
              <w:t xml:space="preserve"> définit une instance de </w:t>
            </w:r>
            <w:r>
              <w:rPr>
                <w:rFonts w:ascii="Consolas" w:eastAsia="Consolas" w:hAnsi="Consolas" w:cs="Consolas"/>
                <w:sz w:val="22"/>
                <w:szCs w:val="22"/>
                <w:shd w:val="clear" w:color="auto" w:fill="EAEEF3"/>
              </w:rPr>
              <w:t>E92_Volume_spatio-temporel</w:t>
            </w:r>
            <w:r>
              <w:t xml:space="preserve"> dans le sens d’un volume spatio-temporel déclaratif, comme défini dans CRMgeo (Doerr et Hiebel, 2013), ce qui signifie que l’identité de l’instance de </w:t>
            </w:r>
            <w:r>
              <w:rPr>
                <w:rFonts w:ascii="Consolas" w:eastAsia="Consolas" w:hAnsi="Consolas" w:cs="Consolas"/>
                <w:sz w:val="22"/>
                <w:szCs w:val="22"/>
                <w:shd w:val="clear" w:color="auto" w:fill="EAEEF3"/>
              </w:rPr>
              <w:t>E92_Volume_spatio-temporel</w:t>
            </w:r>
            <w:r>
              <w:t xml:space="preserve"> est dérivée de ses définitions géométriques et temporelles. Ce volume spatio-temporel déclaratif permet l’application de toutes les propriétés de </w:t>
            </w:r>
            <w:r>
              <w:rPr>
                <w:rFonts w:ascii="Consolas" w:eastAsia="Consolas" w:hAnsi="Consolas" w:cs="Consolas"/>
                <w:sz w:val="22"/>
                <w:szCs w:val="22"/>
                <w:shd w:val="clear" w:color="auto" w:fill="EAEEF3"/>
              </w:rPr>
              <w:t>E92_Volume_spatio-temporel</w:t>
            </w:r>
            <w:r>
              <w:t xml:space="preserve"> pour relier les volumes spatio-temporels phénoménals des périodes et choses physiques aux propositions concernant leurs étendues spatiales et temporelles.</w:t>
            </w:r>
          </w:p>
          <w:p w14:paraId="1FCCF2F1" w14:textId="77777777" w:rsidR="00BF18CF" w:rsidRDefault="00E51347">
            <w:r>
              <w:t xml:space="preserve">Les instances de </w:t>
            </w:r>
            <w:r>
              <w:rPr>
                <w:rFonts w:ascii="Consolas" w:eastAsia="Consolas" w:hAnsi="Consolas" w:cs="Consolas"/>
                <w:sz w:val="22"/>
                <w:szCs w:val="22"/>
                <w:shd w:val="clear" w:color="auto" w:fill="EAEEF3"/>
              </w:rPr>
              <w:t>E92_Volume_spatio-temporel</w:t>
            </w:r>
            <w:r>
              <w:t xml:space="preserve"> définies par la propriété </w:t>
            </w:r>
            <w:r>
              <w:rPr>
                <w:rFonts w:ascii="Consolas" w:eastAsia="Consolas" w:hAnsi="Consolas" w:cs="Consolas"/>
                <w:sz w:val="22"/>
                <w:szCs w:val="22"/>
                <w:shd w:val="clear" w:color="auto" w:fill="EAEEF3"/>
              </w:rPr>
              <w:t>P169_définit_le_volume_spatio-temporel (volume_spatio-temporel_défini_par)</w:t>
            </w:r>
            <w:r>
              <w:t xml:space="preserve"> et utilisant des systèmes de référence spatio-temporels différents sont toujours considérées comme des instances différentes de </w:t>
            </w:r>
            <w:r>
              <w:rPr>
                <w:rFonts w:ascii="Consolas" w:eastAsia="Consolas" w:hAnsi="Consolas" w:cs="Consolas"/>
                <w:sz w:val="22"/>
                <w:szCs w:val="22"/>
                <w:shd w:val="clear" w:color="auto" w:fill="EAEEF3"/>
              </w:rPr>
              <w:t>E92_Volume_spatio-temporel</w:t>
            </w:r>
            <w:r>
              <w:t>.</w:t>
            </w:r>
          </w:p>
          <w:p w14:paraId="1490D10F" w14:textId="77777777" w:rsidR="00BF18CF" w:rsidRDefault="00E51347">
            <w:r>
              <w:t xml:space="preserve">Il est possible pour un volume spatio-temporel d’être défini par des phénomènes l’ayant causé, comme l’expansion ou en rétraction d’un royaume, une structure d’occupation, une bataille ou tout autre forme d’identification qui ne mobilisent pas une instance de </w:t>
            </w:r>
            <w:r>
              <w:rPr>
                <w:rFonts w:ascii="Consolas" w:eastAsia="Consolas" w:hAnsi="Consolas" w:cs="Consolas"/>
                <w:sz w:val="22"/>
                <w:szCs w:val="22"/>
                <w:shd w:val="clear" w:color="auto" w:fill="EAEEF3"/>
              </w:rPr>
              <w:t>E95_Primitive_spatio-temporelle</w:t>
            </w:r>
            <w:r>
              <w:t xml:space="preserve">. Toute approximation spatio-temporelle d’un tel phénomène par une instance de </w:t>
            </w:r>
            <w:r>
              <w:rPr>
                <w:rFonts w:ascii="Consolas" w:eastAsia="Consolas" w:hAnsi="Consolas" w:cs="Consolas"/>
                <w:sz w:val="22"/>
                <w:szCs w:val="22"/>
                <w:shd w:val="clear" w:color="auto" w:fill="EAEEF3"/>
              </w:rPr>
              <w:t>E95_Primitive_spatio-temporelle</w:t>
            </w:r>
            <w:r>
              <w:t xml:space="preserve"> constitue une instance de </w:t>
            </w:r>
            <w:r>
              <w:rPr>
                <w:rFonts w:ascii="Consolas" w:eastAsia="Consolas" w:hAnsi="Consolas" w:cs="Consolas"/>
                <w:sz w:val="22"/>
                <w:szCs w:val="22"/>
                <w:shd w:val="clear" w:color="auto" w:fill="EAEEF3"/>
              </w:rPr>
              <w:t>E92_Volume_spatio-temporel</w:t>
            </w:r>
            <w:r>
              <w:t xml:space="preserve"> à part entière.</w:t>
            </w:r>
          </w:p>
          <w:p w14:paraId="12B0E732" w14:textId="77777777" w:rsidR="00BF18CF" w:rsidRDefault="00E51347">
            <w:r>
              <w:t xml:space="preserve">La classe </w:t>
            </w:r>
            <w:r>
              <w:rPr>
                <w:rFonts w:ascii="Consolas" w:eastAsia="Consolas" w:hAnsi="Consolas" w:cs="Consolas"/>
                <w:sz w:val="22"/>
                <w:szCs w:val="22"/>
                <w:shd w:val="clear" w:color="auto" w:fill="EAEEF3"/>
              </w:rPr>
              <w:t>E95_Primitive_spatio-temporelle</w:t>
            </w:r>
            <w:r>
              <w:t xml:space="preserve"> n’est pas davantage élaborée au sein de ce modèle. Une compatibilité avec les standards du Open Geospatial Consortium (OGC) est recommandée.</w:t>
            </w:r>
          </w:p>
        </w:tc>
      </w:tr>
      <w:tr w:rsidR="00BF18CF" w14:paraId="3BE514FB" w14:textId="77777777" w:rsidTr="00BF18CF">
        <w:tc>
          <w:tcPr>
            <w:tcW w:w="1766" w:type="dxa"/>
          </w:tcPr>
          <w:p w14:paraId="1387765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24" w:type="dxa"/>
          </w:tcPr>
          <w:p w14:paraId="4ED426E6" w14:textId="44E04954" w:rsidR="00BF18CF" w:rsidRDefault="00E25267">
            <w:pPr>
              <w:numPr>
                <w:ilvl w:val="0"/>
                <w:numId w:val="19"/>
              </w:numPr>
            </w:pPr>
            <w:r w:rsidRPr="00E25267">
              <w:t>Les informations spatiales et temporelles dans le langage KML pour l’étendue maximum de l’empire Byzantin :</w:t>
            </w:r>
            <w:r w:rsidRPr="00E25267">
              <w:br/>
              <w:t>&lt;Placemark&gt;</w:t>
            </w:r>
            <w:r w:rsidRPr="00E25267">
              <w:br/>
            </w:r>
            <w:r w:rsidRPr="00E25267">
              <w:lastRenderedPageBreak/>
              <w:tab/>
              <w:t>&lt;name&gt; Byzantine Empire &lt;/name&gt;</w:t>
            </w:r>
            <w:r w:rsidRPr="00E25267">
              <w:br/>
            </w:r>
            <w:r w:rsidRPr="00E25267">
              <w:tab/>
            </w:r>
            <w:r w:rsidRPr="00E25267">
              <w:tab/>
              <w:t>&lt;styleUrl&gt;#style_1&lt;/styleUrl&gt;</w:t>
            </w:r>
            <w:r w:rsidRPr="00E25267">
              <w:br/>
            </w:r>
            <w:r w:rsidRPr="00E25267">
              <w:tab/>
            </w:r>
            <w:r w:rsidRPr="00E25267">
              <w:tab/>
              <w:t>&lt;TimeSpan&gt;</w:t>
            </w:r>
            <w:r w:rsidRPr="00E25267">
              <w:br/>
            </w:r>
            <w:r w:rsidRPr="00E25267">
              <w:tab/>
            </w:r>
            <w:r w:rsidRPr="00E25267">
              <w:tab/>
            </w:r>
            <w:r w:rsidRPr="00E25267">
              <w:tab/>
              <w:t>&lt;begin&gt;330&lt;/begin&gt;</w:t>
            </w:r>
            <w:r w:rsidRPr="00E25267">
              <w:br/>
            </w:r>
            <w:r w:rsidRPr="00E25267">
              <w:tab/>
            </w:r>
            <w:r w:rsidRPr="00E25267">
              <w:tab/>
            </w:r>
            <w:r w:rsidRPr="00E25267">
              <w:tab/>
              <w:t>&lt;end&gt;1453&lt;/end&gt;</w:t>
            </w:r>
            <w:r w:rsidRPr="00E25267">
              <w:br/>
            </w:r>
            <w:r w:rsidRPr="00E25267">
              <w:tab/>
            </w:r>
            <w:r w:rsidRPr="00E25267">
              <w:tab/>
              <w:t>&lt;/TimeSpan&gt;</w:t>
            </w:r>
            <w:r w:rsidRPr="00E25267">
              <w:br/>
            </w:r>
            <w:r w:rsidRPr="00E25267">
              <w:tab/>
              <w:t>&lt;Polygon&gt;&lt;altitudeMode&gt;clampToGround&lt;/altitudeMode&gt;&lt;outerBoundaryIs&gt;&lt;LinearRing&gt;</w:t>
            </w:r>
            <w:r w:rsidRPr="00E25267">
              <w:br/>
            </w:r>
            <w:r w:rsidRPr="00E25267">
              <w:tab/>
            </w:r>
            <w:r w:rsidRPr="00E25267">
              <w:tab/>
              <w:t>&lt;coordinates&gt;18,452787460,40.85553626,0 17.2223187,</w:t>
            </w:r>
            <w:proofErr w:type="gramStart"/>
            <w:r w:rsidRPr="00E25267">
              <w:t>40.589098,...</w:t>
            </w:r>
            <w:proofErr w:type="gramEnd"/>
            <w:r w:rsidRPr="00E25267">
              <w:t>0 17.2223,39.783</w:t>
            </w:r>
            <w:r w:rsidRPr="00E25267">
              <w:br/>
            </w:r>
            <w:r w:rsidRPr="00E25267">
              <w:tab/>
            </w:r>
            <w:r w:rsidRPr="00E25267">
              <w:tab/>
              <w:t>&lt;/coordinates&gt;</w:t>
            </w:r>
            <w:r w:rsidRPr="00E25267">
              <w:br/>
            </w:r>
            <w:r w:rsidRPr="00E25267">
              <w:tab/>
              <w:t>&lt;/Polygon&gt;</w:t>
            </w:r>
            <w:r w:rsidRPr="00E25267">
              <w:br/>
              <w:t>&lt;/Placemark&gt;</w:t>
            </w:r>
          </w:p>
        </w:tc>
      </w:tr>
      <w:tr w:rsidR="00BF18CF" w14:paraId="33CFA2DE" w14:textId="77777777" w:rsidTr="00BF18CF">
        <w:tc>
          <w:tcPr>
            <w:tcW w:w="1766" w:type="dxa"/>
          </w:tcPr>
          <w:p w14:paraId="5E62A957"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24" w:type="dxa"/>
          </w:tcPr>
          <w:p w14:paraId="0A074560" w14:textId="77777777" w:rsidR="00BF18CF" w:rsidRDefault="00E51347">
            <w:r>
              <w:t>E95(x) ⇒ E41(x)</w:t>
            </w:r>
          </w:p>
          <w:p w14:paraId="53FD3463" w14:textId="77777777" w:rsidR="00BF18CF" w:rsidRDefault="00E51347">
            <w:r>
              <w:t>E95(x) ⇒ E59(x)</w:t>
            </w:r>
          </w:p>
        </w:tc>
      </w:tr>
      <w:tr w:rsidR="00BF18CF" w14:paraId="16690762" w14:textId="77777777" w:rsidTr="00BF18CF">
        <w:tc>
          <w:tcPr>
            <w:tcW w:w="1766" w:type="dxa"/>
          </w:tcPr>
          <w:p w14:paraId="3FA7DD8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24" w:type="dxa"/>
          </w:tcPr>
          <w:p w14:paraId="25E9D3A4" w14:textId="77777777" w:rsidR="00BF18CF" w:rsidRDefault="00E51347">
            <w:r>
              <w:rPr>
                <w:rFonts w:ascii="Consolas" w:eastAsia="Consolas" w:hAnsi="Consolas" w:cs="Consolas"/>
                <w:sz w:val="22"/>
                <w:szCs w:val="22"/>
                <w:shd w:val="clear" w:color="auto" w:fill="EAEEF3"/>
              </w:rPr>
              <w:t>P169_définit_le_volume_spatio-temporel (volume_spatio-temporel_défini_par)</w:t>
            </w:r>
            <w:r>
              <w:t xml:space="preserve"> : </w:t>
            </w:r>
            <w:r>
              <w:rPr>
                <w:rFonts w:ascii="Consolas" w:eastAsia="Consolas" w:hAnsi="Consolas" w:cs="Consolas"/>
                <w:sz w:val="22"/>
                <w:szCs w:val="22"/>
                <w:shd w:val="clear" w:color="auto" w:fill="EAEEF3"/>
              </w:rPr>
              <w:t>E92_Volume_spatio-temporel</w:t>
            </w:r>
          </w:p>
        </w:tc>
      </w:tr>
      <w:tr w:rsidR="00BF18CF" w14:paraId="7880B668" w14:textId="77777777" w:rsidTr="00BF18CF">
        <w:tc>
          <w:tcPr>
            <w:tcW w:w="1766" w:type="dxa"/>
          </w:tcPr>
          <w:p w14:paraId="564CF50B" w14:textId="7F908E9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24" w:type="dxa"/>
          </w:tcPr>
          <w:p w14:paraId="61619AE9" w14:textId="77777777" w:rsidR="00BF18CF" w:rsidRDefault="00BF18CF">
            <w:pPr>
              <w:pBdr>
                <w:top w:val="nil"/>
                <w:left w:val="nil"/>
                <w:bottom w:val="nil"/>
                <w:right w:val="nil"/>
                <w:between w:val="nil"/>
              </w:pBdr>
              <w:spacing w:before="36" w:after="36"/>
              <w:rPr>
                <w:color w:val="000000"/>
              </w:rPr>
            </w:pPr>
          </w:p>
        </w:tc>
      </w:tr>
      <w:tr w:rsidR="00BF18CF" w14:paraId="742C3BC3" w14:textId="77777777" w:rsidTr="00BF18CF">
        <w:tc>
          <w:tcPr>
            <w:tcW w:w="1766" w:type="dxa"/>
          </w:tcPr>
          <w:p w14:paraId="7CE2A4D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24" w:type="dxa"/>
          </w:tcPr>
          <w:p w14:paraId="1DDAF66B" w14:textId="77777777" w:rsidR="00BF18CF" w:rsidRDefault="00BF18CF">
            <w:pPr>
              <w:pBdr>
                <w:top w:val="nil"/>
                <w:left w:val="nil"/>
                <w:bottom w:val="nil"/>
                <w:right w:val="nil"/>
                <w:between w:val="nil"/>
              </w:pBdr>
              <w:spacing w:before="36" w:after="36"/>
              <w:rPr>
                <w:color w:val="000000"/>
              </w:rPr>
            </w:pPr>
          </w:p>
        </w:tc>
      </w:tr>
    </w:tbl>
    <w:p w14:paraId="5FFDA053" w14:textId="77777777" w:rsidR="00BF18CF" w:rsidRDefault="00E51347">
      <w:pPr>
        <w:pStyle w:val="Heading3"/>
      </w:pPr>
      <w:bookmarkStart w:id="256" w:name="bookmark=id.4kx3h1s" w:colFirst="0" w:colLast="0"/>
      <w:bookmarkStart w:id="257" w:name="_Toc144360871"/>
      <w:bookmarkEnd w:id="256"/>
      <w:r>
        <w:t>E96 Achat</w:t>
      </w:r>
      <w:bookmarkEnd w:id="257"/>
    </w:p>
    <w:tbl>
      <w:tblPr>
        <w:tblStyle w:val="a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73"/>
        <w:gridCol w:w="8917"/>
      </w:tblGrid>
      <w:tr w:rsidR="00BF18CF" w14:paraId="12C6D6EF" w14:textId="77777777" w:rsidTr="00BF18CF">
        <w:tc>
          <w:tcPr>
            <w:tcW w:w="1773" w:type="dxa"/>
          </w:tcPr>
          <w:p w14:paraId="1FFC6CFE"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17" w:type="dxa"/>
          </w:tcPr>
          <w:p w14:paraId="31EE01C6" w14:textId="77777777" w:rsidR="00BF18CF" w:rsidRDefault="00E51347">
            <w:r>
              <w:rPr>
                <w:rFonts w:ascii="Consolas" w:eastAsia="Consolas" w:hAnsi="Consolas" w:cs="Consolas"/>
                <w:sz w:val="22"/>
                <w:szCs w:val="22"/>
                <w:shd w:val="clear" w:color="auto" w:fill="EAEEF3"/>
              </w:rPr>
              <w:t>E8_Acquisition</w:t>
            </w:r>
          </w:p>
        </w:tc>
      </w:tr>
      <w:tr w:rsidR="00BF18CF" w14:paraId="307F117D" w14:textId="77777777" w:rsidTr="00BF18CF">
        <w:tc>
          <w:tcPr>
            <w:tcW w:w="1773" w:type="dxa"/>
          </w:tcPr>
          <w:p w14:paraId="713045AB"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17" w:type="dxa"/>
          </w:tcPr>
          <w:p w14:paraId="63EDAFD3" w14:textId="77777777" w:rsidR="00BF18CF" w:rsidRDefault="00BF18CF">
            <w:pPr>
              <w:pBdr>
                <w:top w:val="nil"/>
                <w:left w:val="nil"/>
                <w:bottom w:val="nil"/>
                <w:right w:val="nil"/>
                <w:between w:val="nil"/>
              </w:pBdr>
              <w:spacing w:before="36" w:after="36"/>
              <w:rPr>
                <w:color w:val="000000"/>
              </w:rPr>
            </w:pPr>
          </w:p>
        </w:tc>
      </w:tr>
      <w:tr w:rsidR="00BF18CF" w14:paraId="66AFB015" w14:textId="77777777" w:rsidTr="00BF18CF">
        <w:tc>
          <w:tcPr>
            <w:tcW w:w="1773" w:type="dxa"/>
          </w:tcPr>
          <w:p w14:paraId="15CEA81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17" w:type="dxa"/>
          </w:tcPr>
          <w:p w14:paraId="3413B00F" w14:textId="77777777" w:rsidR="00BF18CF" w:rsidRDefault="00E51347">
            <w:r>
              <w:t xml:space="preserve">Cette classe comprend les transferts de propriété légale d’une ou de plusieurs instances de </w:t>
            </w:r>
            <w:r>
              <w:rPr>
                <w:rFonts w:ascii="Consolas" w:eastAsia="Consolas" w:hAnsi="Consolas" w:cs="Consolas"/>
                <w:sz w:val="22"/>
                <w:szCs w:val="22"/>
                <w:shd w:val="clear" w:color="auto" w:fill="EAEEF3"/>
              </w:rPr>
              <w:t>E39_Actant</w:t>
            </w:r>
            <w:r>
              <w:t xml:space="preserve"> à une ou plusieurs instances différentes de </w:t>
            </w:r>
            <w:r>
              <w:rPr>
                <w:rFonts w:ascii="Consolas" w:eastAsia="Consolas" w:hAnsi="Consolas" w:cs="Consolas"/>
                <w:sz w:val="22"/>
                <w:szCs w:val="22"/>
                <w:shd w:val="clear" w:color="auto" w:fill="EAEEF3"/>
              </w:rPr>
              <w:t>E39_Actant</w:t>
            </w:r>
            <w:r>
              <w:t xml:space="preserve">, lorsque la partie cédante est entièrement indemnisée par une valeur monétaire. Plus précisément, une entente d’achat établit dès le départ l’obligation monétaire de la partie destinataire à la partie cédante. Une instance de </w:t>
            </w:r>
            <w:r>
              <w:rPr>
                <w:rFonts w:ascii="Consolas" w:eastAsia="Consolas" w:hAnsi="Consolas" w:cs="Consolas"/>
                <w:sz w:val="22"/>
                <w:szCs w:val="22"/>
                <w:shd w:val="clear" w:color="auto" w:fill="EAEEF3"/>
              </w:rPr>
              <w:t>E96_Achat</w:t>
            </w:r>
            <w:r>
              <w:t xml:space="preserve"> débute avec la mise en place d’un contrat ou d’une entente d’achat équivalente et se termine par la réalisation de toutes les obligations contractuelles. Dans le cas où l’activité est abandonnée avant que les deux parties n’aient rempli leurs obligations, celle-ci n’est pas considérée comme une instance de </w:t>
            </w:r>
            <w:r>
              <w:rPr>
                <w:rFonts w:ascii="Consolas" w:eastAsia="Consolas" w:hAnsi="Consolas" w:cs="Consolas"/>
                <w:sz w:val="22"/>
                <w:szCs w:val="22"/>
                <w:shd w:val="clear" w:color="auto" w:fill="EAEEF3"/>
              </w:rPr>
              <w:t>E96_Achat</w:t>
            </w:r>
            <w:r>
              <w:t>.</w:t>
            </w:r>
          </w:p>
          <w:p w14:paraId="7255F548" w14:textId="77777777" w:rsidR="00BF18CF" w:rsidRDefault="00E51347">
            <w:r>
              <w:t xml:space="preserve">Cette classe est un cas très spécifique des pratiques sociales commerciales beaucoup plus complexes d’échanges de biens et de la création et satisfaction d’obligations sociales connexes. Les activités d’achat définissant des prix de vente par objet peuvent être modélisées en créant des instances de </w:t>
            </w:r>
            <w:r>
              <w:rPr>
                <w:rFonts w:ascii="Consolas" w:eastAsia="Consolas" w:hAnsi="Consolas" w:cs="Consolas"/>
                <w:sz w:val="22"/>
                <w:szCs w:val="22"/>
                <w:shd w:val="clear" w:color="auto" w:fill="EAEEF3"/>
              </w:rPr>
              <w:t>E96_Achat</w:t>
            </w:r>
            <w:r>
              <w:t xml:space="preserve"> pour chaque objet acheté, puis une instance de </w:t>
            </w:r>
            <w:r>
              <w:rPr>
                <w:rFonts w:ascii="Consolas" w:eastAsia="Consolas" w:hAnsi="Consolas" w:cs="Consolas"/>
                <w:sz w:val="22"/>
                <w:szCs w:val="22"/>
                <w:shd w:val="clear" w:color="auto" w:fill="EAEEF3"/>
              </w:rPr>
              <w:t>E96_Achat</w:t>
            </w:r>
            <w:r>
              <w:t xml:space="preserve"> pour la transaction globale.</w:t>
            </w:r>
          </w:p>
        </w:tc>
      </w:tr>
      <w:tr w:rsidR="00BF18CF" w14:paraId="591474A1" w14:textId="77777777" w:rsidTr="00BF18CF">
        <w:tc>
          <w:tcPr>
            <w:tcW w:w="1773" w:type="dxa"/>
          </w:tcPr>
          <w:p w14:paraId="7D03093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17" w:type="dxa"/>
          </w:tcPr>
          <w:p w14:paraId="788673C6" w14:textId="77777777" w:rsidR="00BF18CF" w:rsidRDefault="00E51347">
            <w:pPr>
              <w:numPr>
                <w:ilvl w:val="0"/>
                <w:numId w:val="19"/>
              </w:numPr>
            </w:pPr>
            <w:r>
              <w:t>L’achat de 10 oques de clous par le capitaine A. Syrmas le 18 septembre 1895 à Thessalonique</w:t>
            </w:r>
          </w:p>
        </w:tc>
      </w:tr>
      <w:tr w:rsidR="00BF18CF" w14:paraId="3AC8B936" w14:textId="77777777" w:rsidTr="00BF18CF">
        <w:tc>
          <w:tcPr>
            <w:tcW w:w="1773" w:type="dxa"/>
          </w:tcPr>
          <w:p w14:paraId="00CB2E84"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917" w:type="dxa"/>
          </w:tcPr>
          <w:p w14:paraId="0DC43242" w14:textId="77777777" w:rsidR="00BF18CF" w:rsidRDefault="00E51347">
            <w:r>
              <w:t>E96(x) ⇒ E8(x)</w:t>
            </w:r>
          </w:p>
        </w:tc>
      </w:tr>
      <w:tr w:rsidR="00BF18CF" w14:paraId="6A443AD7" w14:textId="77777777" w:rsidTr="00BF18CF">
        <w:tc>
          <w:tcPr>
            <w:tcW w:w="1773" w:type="dxa"/>
          </w:tcPr>
          <w:p w14:paraId="41762A8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17" w:type="dxa"/>
          </w:tcPr>
          <w:p w14:paraId="6D4AD116" w14:textId="77777777" w:rsidR="00BF18CF" w:rsidRDefault="00E51347">
            <w:r>
              <w:rPr>
                <w:rFonts w:ascii="Consolas" w:eastAsia="Consolas" w:hAnsi="Consolas" w:cs="Consolas"/>
                <w:sz w:val="22"/>
                <w:szCs w:val="22"/>
                <w:shd w:val="clear" w:color="auto" w:fill="EAEEF3"/>
              </w:rPr>
              <w:t>P179_a_eu_pour_prix_de_vente (a_été_le_prix_de_vente_de)</w:t>
            </w:r>
            <w:r>
              <w:t xml:space="preserve"> : </w:t>
            </w:r>
            <w:r>
              <w:rPr>
                <w:rFonts w:ascii="Consolas" w:eastAsia="Consolas" w:hAnsi="Consolas" w:cs="Consolas"/>
                <w:sz w:val="22"/>
                <w:szCs w:val="22"/>
                <w:shd w:val="clear" w:color="auto" w:fill="EAEEF3"/>
              </w:rPr>
              <w:t>E97_Valeur_monétaire</w:t>
            </w:r>
          </w:p>
        </w:tc>
      </w:tr>
      <w:tr w:rsidR="00BF18CF" w14:paraId="693CB7ED" w14:textId="77777777" w:rsidTr="00BF18CF">
        <w:tc>
          <w:tcPr>
            <w:tcW w:w="1773" w:type="dxa"/>
          </w:tcPr>
          <w:p w14:paraId="56924211" w14:textId="1D2C254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17" w:type="dxa"/>
          </w:tcPr>
          <w:p w14:paraId="43FD5899" w14:textId="77777777" w:rsidR="00BF18CF" w:rsidRDefault="00BF18CF">
            <w:pPr>
              <w:pBdr>
                <w:top w:val="nil"/>
                <w:left w:val="nil"/>
                <w:bottom w:val="nil"/>
                <w:right w:val="nil"/>
                <w:between w:val="nil"/>
              </w:pBdr>
              <w:spacing w:before="36" w:after="36"/>
              <w:rPr>
                <w:color w:val="000000"/>
              </w:rPr>
            </w:pPr>
          </w:p>
        </w:tc>
      </w:tr>
      <w:tr w:rsidR="00BF18CF" w14:paraId="661E046E" w14:textId="77777777" w:rsidTr="00BF18CF">
        <w:tc>
          <w:tcPr>
            <w:tcW w:w="1773" w:type="dxa"/>
          </w:tcPr>
          <w:p w14:paraId="5968F0D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17" w:type="dxa"/>
          </w:tcPr>
          <w:p w14:paraId="29EC379B" w14:textId="77777777" w:rsidR="00BF18CF" w:rsidRDefault="00BF18CF">
            <w:pPr>
              <w:pBdr>
                <w:top w:val="nil"/>
                <w:left w:val="nil"/>
                <w:bottom w:val="nil"/>
                <w:right w:val="nil"/>
                <w:between w:val="nil"/>
              </w:pBdr>
              <w:spacing w:before="36" w:after="36"/>
              <w:rPr>
                <w:color w:val="000000"/>
              </w:rPr>
            </w:pPr>
          </w:p>
        </w:tc>
      </w:tr>
    </w:tbl>
    <w:p w14:paraId="289CE8F9" w14:textId="77777777" w:rsidR="00BF18CF" w:rsidRDefault="00E51347">
      <w:pPr>
        <w:pStyle w:val="Heading3"/>
      </w:pPr>
      <w:bookmarkStart w:id="258" w:name="bookmark=id.302dr9l" w:colFirst="0" w:colLast="0"/>
      <w:bookmarkStart w:id="259" w:name="_Toc144360872"/>
      <w:bookmarkEnd w:id="258"/>
      <w:r>
        <w:t>E97 Valeur monétaire</w:t>
      </w:r>
      <w:bookmarkEnd w:id="259"/>
    </w:p>
    <w:tbl>
      <w:tblPr>
        <w:tblStyle w:val="a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61"/>
        <w:gridCol w:w="8929"/>
      </w:tblGrid>
      <w:tr w:rsidR="00BF18CF" w14:paraId="6ADEA8F4" w14:textId="77777777" w:rsidTr="00BF18CF">
        <w:tc>
          <w:tcPr>
            <w:tcW w:w="1761" w:type="dxa"/>
          </w:tcPr>
          <w:p w14:paraId="26A25959"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29" w:type="dxa"/>
          </w:tcPr>
          <w:p w14:paraId="3D4A6A59" w14:textId="77777777" w:rsidR="00BF18CF" w:rsidRDefault="00E51347">
            <w:r>
              <w:rPr>
                <w:rFonts w:ascii="Consolas" w:eastAsia="Consolas" w:hAnsi="Consolas" w:cs="Consolas"/>
                <w:sz w:val="22"/>
                <w:szCs w:val="22"/>
                <w:shd w:val="clear" w:color="auto" w:fill="EAEEF3"/>
              </w:rPr>
              <w:t>E54_Dimension</w:t>
            </w:r>
          </w:p>
        </w:tc>
      </w:tr>
      <w:tr w:rsidR="00BF18CF" w14:paraId="3C556D77" w14:textId="77777777" w:rsidTr="00BF18CF">
        <w:tc>
          <w:tcPr>
            <w:tcW w:w="1761" w:type="dxa"/>
          </w:tcPr>
          <w:p w14:paraId="7B04838F"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29" w:type="dxa"/>
          </w:tcPr>
          <w:p w14:paraId="77380CF1" w14:textId="77777777" w:rsidR="00BF18CF" w:rsidRDefault="00BF18CF">
            <w:pPr>
              <w:pBdr>
                <w:top w:val="nil"/>
                <w:left w:val="nil"/>
                <w:bottom w:val="nil"/>
                <w:right w:val="nil"/>
                <w:between w:val="nil"/>
              </w:pBdr>
              <w:spacing w:before="36" w:after="36"/>
              <w:rPr>
                <w:color w:val="000000"/>
              </w:rPr>
            </w:pPr>
          </w:p>
        </w:tc>
      </w:tr>
      <w:tr w:rsidR="00BF18CF" w14:paraId="026D6D03" w14:textId="77777777" w:rsidTr="00BF18CF">
        <w:tc>
          <w:tcPr>
            <w:tcW w:w="1761" w:type="dxa"/>
          </w:tcPr>
          <w:p w14:paraId="3455481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29" w:type="dxa"/>
          </w:tcPr>
          <w:p w14:paraId="46BAAC36" w14:textId="77777777" w:rsidR="00BF18CF" w:rsidRDefault="00E51347">
            <w:r>
              <w:t>Cette classe comprend la valeur nominale, exprimée dans une devise spécifique, d’une quantité de possessions monétaires ou d’obligations. Ces quantités peuvent être des unités comptables abstraites, la valeur nominale d’une pile de pièces de monnaie ou de billets de banque durant la période de leur validité dans une devise spécifique, la valeur nominale d’une lettre de change ou tout autre document attestant de créances monétaires ou d’obligations. Cette classe exclut spécifiquement les montants exprimés en termes de poids de biens de valeur, comme l’or ou les diamants, ou tout autre quantité de biens non-monétaires, comme des chèvres ou des actions et obligations.</w:t>
            </w:r>
          </w:p>
        </w:tc>
      </w:tr>
      <w:tr w:rsidR="00BF18CF" w14:paraId="7F78FCAB" w14:textId="77777777" w:rsidTr="00BF18CF">
        <w:tc>
          <w:tcPr>
            <w:tcW w:w="1761" w:type="dxa"/>
          </w:tcPr>
          <w:p w14:paraId="3AFBB3F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929" w:type="dxa"/>
          </w:tcPr>
          <w:p w14:paraId="65336365" w14:textId="77777777" w:rsidR="00BF18CF" w:rsidRDefault="00E51347">
            <w:pPr>
              <w:numPr>
                <w:ilvl w:val="0"/>
                <w:numId w:val="19"/>
              </w:numPr>
            </w:pPr>
            <w:r>
              <w:t xml:space="preserve">Le prix d’adjudication par Christie's de l’œuvre peinte </w:t>
            </w:r>
            <w:r>
              <w:rPr>
                <w:i/>
              </w:rPr>
              <w:t>Vase avec quinze tournesols</w:t>
            </w:r>
            <w:r>
              <w:t xml:space="preserve"> (</w:t>
            </w:r>
            <w:r>
              <w:rPr>
                <w:rFonts w:ascii="Consolas" w:eastAsia="Consolas" w:hAnsi="Consolas" w:cs="Consolas"/>
                <w:sz w:val="22"/>
                <w:szCs w:val="22"/>
                <w:shd w:val="clear" w:color="auto" w:fill="EAEEF3"/>
              </w:rPr>
              <w:t>E97_Valeur_monétaire</w:t>
            </w:r>
            <w:r>
              <w:t>) a pour unité monétaire (</w:t>
            </w:r>
            <w:r>
              <w:rPr>
                <w:rFonts w:ascii="Consolas" w:eastAsia="Consolas" w:hAnsi="Consolas" w:cs="Consolas"/>
                <w:sz w:val="22"/>
                <w:szCs w:val="22"/>
                <w:shd w:val="clear" w:color="auto" w:fill="EAEEF3"/>
              </w:rPr>
              <w:t>P180_a_pour_unité_monétaire</w:t>
            </w:r>
            <w:r>
              <w:t>) livre sterling (</w:t>
            </w:r>
            <w:r>
              <w:rPr>
                <w:rFonts w:ascii="Consolas" w:eastAsia="Consolas" w:hAnsi="Consolas" w:cs="Consolas"/>
                <w:sz w:val="22"/>
                <w:szCs w:val="22"/>
                <w:shd w:val="clear" w:color="auto" w:fill="EAEEF3"/>
              </w:rPr>
              <w:t>E98_Unité_monétaire</w:t>
            </w:r>
            <w:r>
              <w:t>)</w:t>
            </w:r>
          </w:p>
        </w:tc>
      </w:tr>
      <w:tr w:rsidR="00BF18CF" w14:paraId="7D4275FE" w14:textId="77777777" w:rsidTr="00BF18CF">
        <w:tc>
          <w:tcPr>
            <w:tcW w:w="1761" w:type="dxa"/>
          </w:tcPr>
          <w:p w14:paraId="5F822A4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29" w:type="dxa"/>
          </w:tcPr>
          <w:p w14:paraId="1F9DA151" w14:textId="77777777" w:rsidR="00BF18CF" w:rsidRDefault="00E51347">
            <w:r>
              <w:t>E97(x) ⇒ E54(x)</w:t>
            </w:r>
          </w:p>
        </w:tc>
      </w:tr>
      <w:tr w:rsidR="00BF18CF" w14:paraId="720FC350" w14:textId="77777777" w:rsidTr="00BF18CF">
        <w:tc>
          <w:tcPr>
            <w:tcW w:w="1761" w:type="dxa"/>
          </w:tcPr>
          <w:p w14:paraId="79B57BB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29" w:type="dxa"/>
          </w:tcPr>
          <w:p w14:paraId="42592C92" w14:textId="77777777" w:rsidR="00BF18CF" w:rsidRDefault="00E51347">
            <w:r>
              <w:rPr>
                <w:rFonts w:ascii="Consolas" w:eastAsia="Consolas" w:hAnsi="Consolas" w:cs="Consolas"/>
                <w:sz w:val="22"/>
                <w:szCs w:val="22"/>
                <w:shd w:val="clear" w:color="auto" w:fill="EAEEF3"/>
              </w:rPr>
              <w:t>P180_a_pour_unité_monétaire (était_l’unité_monétaire_de)</w:t>
            </w:r>
            <w:r>
              <w:t xml:space="preserve"> : </w:t>
            </w:r>
            <w:r>
              <w:rPr>
                <w:rFonts w:ascii="Consolas" w:eastAsia="Consolas" w:hAnsi="Consolas" w:cs="Consolas"/>
                <w:sz w:val="22"/>
                <w:szCs w:val="22"/>
                <w:shd w:val="clear" w:color="auto" w:fill="EAEEF3"/>
              </w:rPr>
              <w:t>E98_Unité_monétaire</w:t>
            </w:r>
          </w:p>
        </w:tc>
      </w:tr>
      <w:tr w:rsidR="00BF18CF" w14:paraId="424A97A7" w14:textId="77777777" w:rsidTr="00BF18CF">
        <w:tc>
          <w:tcPr>
            <w:tcW w:w="1761" w:type="dxa"/>
          </w:tcPr>
          <w:p w14:paraId="61C4D1F1" w14:textId="64C5D22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29" w:type="dxa"/>
          </w:tcPr>
          <w:p w14:paraId="56B6EA62" w14:textId="77777777" w:rsidR="00BF18CF" w:rsidRDefault="00BF18CF">
            <w:pPr>
              <w:pBdr>
                <w:top w:val="nil"/>
                <w:left w:val="nil"/>
                <w:bottom w:val="nil"/>
                <w:right w:val="nil"/>
                <w:between w:val="nil"/>
              </w:pBdr>
              <w:spacing w:before="36" w:after="36"/>
              <w:rPr>
                <w:color w:val="000000"/>
              </w:rPr>
            </w:pPr>
          </w:p>
        </w:tc>
      </w:tr>
      <w:tr w:rsidR="00BF18CF" w14:paraId="324C4DDC" w14:textId="77777777" w:rsidTr="00BF18CF">
        <w:tc>
          <w:tcPr>
            <w:tcW w:w="1761" w:type="dxa"/>
          </w:tcPr>
          <w:p w14:paraId="42A8CAA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29" w:type="dxa"/>
          </w:tcPr>
          <w:p w14:paraId="6072E1C6" w14:textId="77777777" w:rsidR="00BF18CF" w:rsidRDefault="00BF18CF">
            <w:pPr>
              <w:pBdr>
                <w:top w:val="nil"/>
                <w:left w:val="nil"/>
                <w:bottom w:val="nil"/>
                <w:right w:val="nil"/>
                <w:between w:val="nil"/>
              </w:pBdr>
              <w:spacing w:before="36" w:after="36"/>
              <w:rPr>
                <w:color w:val="000000"/>
              </w:rPr>
            </w:pPr>
          </w:p>
        </w:tc>
      </w:tr>
    </w:tbl>
    <w:p w14:paraId="3453BE19" w14:textId="77777777" w:rsidR="00BF18CF" w:rsidRDefault="00E51347">
      <w:pPr>
        <w:pStyle w:val="Heading3"/>
      </w:pPr>
      <w:bookmarkStart w:id="260" w:name="bookmark=id.1f7o1he" w:colFirst="0" w:colLast="0"/>
      <w:bookmarkStart w:id="261" w:name="_Toc144360873"/>
      <w:bookmarkEnd w:id="260"/>
      <w:r>
        <w:t>E98 Unité monétaire</w:t>
      </w:r>
      <w:bookmarkEnd w:id="261"/>
    </w:p>
    <w:tbl>
      <w:tblPr>
        <w:tblStyle w:val="a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90"/>
        <w:gridCol w:w="8900"/>
      </w:tblGrid>
      <w:tr w:rsidR="00BF18CF" w14:paraId="67909724" w14:textId="77777777" w:rsidTr="00BF18CF">
        <w:tc>
          <w:tcPr>
            <w:tcW w:w="1790" w:type="dxa"/>
          </w:tcPr>
          <w:p w14:paraId="0BB0A25F"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00" w:type="dxa"/>
          </w:tcPr>
          <w:p w14:paraId="1251CF76" w14:textId="77777777" w:rsidR="00BF18CF" w:rsidRDefault="00E51347">
            <w:r>
              <w:rPr>
                <w:rFonts w:ascii="Consolas" w:eastAsia="Consolas" w:hAnsi="Consolas" w:cs="Consolas"/>
                <w:sz w:val="22"/>
                <w:szCs w:val="22"/>
                <w:shd w:val="clear" w:color="auto" w:fill="EAEEF3"/>
              </w:rPr>
              <w:t>E58_Unité_de_mesure</w:t>
            </w:r>
          </w:p>
        </w:tc>
      </w:tr>
      <w:tr w:rsidR="00BF18CF" w14:paraId="575C6B2F" w14:textId="77777777" w:rsidTr="00BF18CF">
        <w:tc>
          <w:tcPr>
            <w:tcW w:w="1790" w:type="dxa"/>
          </w:tcPr>
          <w:p w14:paraId="31031F8A"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00" w:type="dxa"/>
          </w:tcPr>
          <w:p w14:paraId="5FDDB458" w14:textId="77777777" w:rsidR="00BF18CF" w:rsidRDefault="00BF18CF">
            <w:pPr>
              <w:pBdr>
                <w:top w:val="nil"/>
                <w:left w:val="nil"/>
                <w:bottom w:val="nil"/>
                <w:right w:val="nil"/>
                <w:between w:val="nil"/>
              </w:pBdr>
              <w:spacing w:before="36" w:after="36"/>
              <w:rPr>
                <w:color w:val="000000"/>
              </w:rPr>
            </w:pPr>
          </w:p>
        </w:tc>
      </w:tr>
      <w:tr w:rsidR="00BF18CF" w14:paraId="445ACBC7" w14:textId="77777777" w:rsidTr="00BF18CF">
        <w:tc>
          <w:tcPr>
            <w:tcW w:w="1790" w:type="dxa"/>
          </w:tcPr>
          <w:p w14:paraId="0F88D46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00" w:type="dxa"/>
          </w:tcPr>
          <w:p w14:paraId="0F491D3B" w14:textId="77777777" w:rsidR="00BF18CF" w:rsidRDefault="00E51347">
            <w:r>
              <w:t xml:space="preserve">Cette classe comprend les unités avec lesquelles un système monétaire, soutenu par une autorité administrative ou d’autres communautés, quantifie et compare arithmétiquement toutes les valeurs monétaires déclarées dans l’unité. L’unité d’un système monétaire doit décrire une valeur nominale qui est maintenue constante par son autorité administrative et un système bancaire associé, s’il existe, et non par sa valeur sur le marché. Par exemple, il est possible d’acheter un bien avec des grammes d’or, mais la valeur monétaire de ce bien aurait été convenue comme le </w:t>
            </w:r>
            <w:r>
              <w:lastRenderedPageBreak/>
              <w:t>prix de l’or en dollars américains le jour du paiement. Selon cette définition, des livres sterling, des dollars américains et des euros sont des exemples d’unité monétaire, mais « des grammes d’or » ne le sont pas. Un système monétaire a une seule et unique unité monétaire.</w:t>
            </w:r>
          </w:p>
          <w:p w14:paraId="02F3218D" w14:textId="77777777" w:rsidR="00BF18CF" w:rsidRDefault="00E51347">
            <w:r>
              <w:t xml:space="preserve">Les instances de cette classe ne doivent pas être confondues avec les dénominations de pièces, comme les « centimes » ou les « sesterces ». Les valeurs d’échanges monétaires exprimées en quantités d’un type particulier de bien, comme des vaches, ne constituent pas </w:t>
            </w:r>
            <w:proofErr w:type="gramStart"/>
            <w:r>
              <w:t>des unité monétaire</w:t>
            </w:r>
            <w:proofErr w:type="gramEnd"/>
            <w:r>
              <w:t>.</w:t>
            </w:r>
          </w:p>
        </w:tc>
      </w:tr>
      <w:tr w:rsidR="00BF18CF" w14:paraId="6F0F145B" w14:textId="77777777" w:rsidTr="00BF18CF">
        <w:tc>
          <w:tcPr>
            <w:tcW w:w="1790" w:type="dxa"/>
          </w:tcPr>
          <w:p w14:paraId="6A487BEA"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00" w:type="dxa"/>
          </w:tcPr>
          <w:p w14:paraId="79C6C30E" w14:textId="77777777" w:rsidR="00BF18CF" w:rsidRDefault="00E51347">
            <w:pPr>
              <w:numPr>
                <w:ilvl w:val="0"/>
                <w:numId w:val="19"/>
              </w:numPr>
            </w:pPr>
            <w:r>
              <w:t>« As » (unité monétaire de l’époque romaine républicaine)</w:t>
            </w:r>
          </w:p>
          <w:p w14:paraId="5935E460" w14:textId="77777777" w:rsidR="00BF18CF" w:rsidRDefault="00E51347">
            <w:pPr>
              <w:numPr>
                <w:ilvl w:val="0"/>
                <w:numId w:val="19"/>
              </w:numPr>
            </w:pPr>
            <w:r>
              <w:t>« Euro » (Temperton, 1997)</w:t>
            </w:r>
          </w:p>
          <w:p w14:paraId="03870D1F" w14:textId="77777777" w:rsidR="00BF18CF" w:rsidRDefault="00E51347">
            <w:pPr>
              <w:numPr>
                <w:ilvl w:val="0"/>
                <w:numId w:val="19"/>
              </w:numPr>
            </w:pPr>
            <w:r>
              <w:t>« Dollar américain » (Rose, 1978)</w:t>
            </w:r>
          </w:p>
        </w:tc>
      </w:tr>
      <w:tr w:rsidR="00BF18CF" w14:paraId="358D1343" w14:textId="77777777" w:rsidTr="00BF18CF">
        <w:tc>
          <w:tcPr>
            <w:tcW w:w="1790" w:type="dxa"/>
          </w:tcPr>
          <w:p w14:paraId="308CECC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00" w:type="dxa"/>
          </w:tcPr>
          <w:p w14:paraId="29657D85" w14:textId="77777777" w:rsidR="00BF18CF" w:rsidRDefault="00E51347">
            <w:r>
              <w:t>E98(x) ⇒ E58(x)</w:t>
            </w:r>
          </w:p>
        </w:tc>
      </w:tr>
      <w:tr w:rsidR="00BF18CF" w14:paraId="705D707A" w14:textId="77777777" w:rsidTr="00BF18CF">
        <w:tc>
          <w:tcPr>
            <w:tcW w:w="1790" w:type="dxa"/>
          </w:tcPr>
          <w:p w14:paraId="0028B0C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00" w:type="dxa"/>
          </w:tcPr>
          <w:p w14:paraId="3413A2E8" w14:textId="77777777" w:rsidR="00BF18CF" w:rsidRDefault="00BF18CF">
            <w:pPr>
              <w:pBdr>
                <w:top w:val="nil"/>
                <w:left w:val="nil"/>
                <w:bottom w:val="nil"/>
                <w:right w:val="nil"/>
                <w:between w:val="nil"/>
              </w:pBdr>
              <w:spacing w:before="36" w:after="36"/>
              <w:rPr>
                <w:color w:val="000000"/>
              </w:rPr>
            </w:pPr>
          </w:p>
        </w:tc>
      </w:tr>
      <w:tr w:rsidR="00BF18CF" w14:paraId="67CD4287" w14:textId="77777777" w:rsidTr="00BF18CF">
        <w:tc>
          <w:tcPr>
            <w:tcW w:w="1790" w:type="dxa"/>
          </w:tcPr>
          <w:p w14:paraId="4BB0EA83" w14:textId="41E7D2C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00" w:type="dxa"/>
          </w:tcPr>
          <w:p w14:paraId="5D217689" w14:textId="77777777" w:rsidR="00BF18CF" w:rsidRDefault="00BF18CF">
            <w:pPr>
              <w:pBdr>
                <w:top w:val="nil"/>
                <w:left w:val="nil"/>
                <w:bottom w:val="nil"/>
                <w:right w:val="nil"/>
                <w:between w:val="nil"/>
              </w:pBdr>
              <w:spacing w:before="36" w:after="36"/>
              <w:rPr>
                <w:color w:val="000000"/>
              </w:rPr>
            </w:pPr>
          </w:p>
        </w:tc>
      </w:tr>
      <w:tr w:rsidR="00BF18CF" w14:paraId="7515918D" w14:textId="77777777" w:rsidTr="00BF18CF">
        <w:tc>
          <w:tcPr>
            <w:tcW w:w="1790" w:type="dxa"/>
          </w:tcPr>
          <w:p w14:paraId="487E304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00" w:type="dxa"/>
          </w:tcPr>
          <w:p w14:paraId="2C0FCC18" w14:textId="77777777" w:rsidR="00BF18CF" w:rsidRDefault="00BF18CF">
            <w:pPr>
              <w:pBdr>
                <w:top w:val="nil"/>
                <w:left w:val="nil"/>
                <w:bottom w:val="nil"/>
                <w:right w:val="nil"/>
                <w:between w:val="nil"/>
              </w:pBdr>
              <w:spacing w:before="36" w:after="36"/>
              <w:rPr>
                <w:color w:val="000000"/>
              </w:rPr>
            </w:pPr>
          </w:p>
        </w:tc>
      </w:tr>
    </w:tbl>
    <w:p w14:paraId="577DD072" w14:textId="77777777" w:rsidR="00BF18CF" w:rsidRDefault="00E51347">
      <w:pPr>
        <w:pStyle w:val="Heading3"/>
      </w:pPr>
      <w:bookmarkStart w:id="262" w:name="bookmark=id.3z7bk57" w:colFirst="0" w:colLast="0"/>
      <w:bookmarkStart w:id="263" w:name="_Toc144360874"/>
      <w:bookmarkEnd w:id="262"/>
      <w:r>
        <w:t>E99 Modèle de produit</w:t>
      </w:r>
      <w:bookmarkEnd w:id="263"/>
    </w:p>
    <w:tbl>
      <w:tblPr>
        <w:tblStyle w:val="a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762"/>
        <w:gridCol w:w="8928"/>
      </w:tblGrid>
      <w:tr w:rsidR="00BF18CF" w14:paraId="4A57B4FC" w14:textId="77777777" w:rsidTr="00BF18CF">
        <w:tc>
          <w:tcPr>
            <w:tcW w:w="1762" w:type="dxa"/>
          </w:tcPr>
          <w:p w14:paraId="10B299EE" w14:textId="77777777" w:rsidR="00BF18CF" w:rsidRDefault="00E51347">
            <w:pPr>
              <w:pBdr>
                <w:top w:val="nil"/>
                <w:left w:val="nil"/>
                <w:bottom w:val="nil"/>
                <w:right w:val="nil"/>
                <w:between w:val="nil"/>
              </w:pBdr>
              <w:spacing w:before="36" w:after="36"/>
              <w:rPr>
                <w:color w:val="000000"/>
              </w:rPr>
            </w:pPr>
            <w:r>
              <w:rPr>
                <w:b/>
                <w:color w:val="000000"/>
              </w:rPr>
              <w:t>Sous-classe de</w:t>
            </w:r>
          </w:p>
        </w:tc>
        <w:tc>
          <w:tcPr>
            <w:tcW w:w="8928" w:type="dxa"/>
          </w:tcPr>
          <w:p w14:paraId="2EC8043F" w14:textId="77777777" w:rsidR="00BF18CF" w:rsidRDefault="00E51347">
            <w:r>
              <w:rPr>
                <w:rFonts w:ascii="Consolas" w:eastAsia="Consolas" w:hAnsi="Consolas" w:cs="Consolas"/>
                <w:sz w:val="22"/>
                <w:szCs w:val="22"/>
                <w:shd w:val="clear" w:color="auto" w:fill="EAEEF3"/>
              </w:rPr>
              <w:t>E55_Type</w:t>
            </w:r>
          </w:p>
        </w:tc>
      </w:tr>
      <w:tr w:rsidR="00BF18CF" w14:paraId="15728AE0" w14:textId="77777777" w:rsidTr="00BF18CF">
        <w:tc>
          <w:tcPr>
            <w:tcW w:w="1762" w:type="dxa"/>
          </w:tcPr>
          <w:p w14:paraId="21C7080F" w14:textId="77777777" w:rsidR="00BF18CF" w:rsidRDefault="00E51347">
            <w:pPr>
              <w:pBdr>
                <w:top w:val="nil"/>
                <w:left w:val="nil"/>
                <w:bottom w:val="nil"/>
                <w:right w:val="nil"/>
                <w:between w:val="nil"/>
              </w:pBdr>
              <w:spacing w:before="36" w:after="36"/>
              <w:rPr>
                <w:color w:val="000000"/>
              </w:rPr>
            </w:pPr>
            <w:r>
              <w:rPr>
                <w:b/>
                <w:color w:val="000000"/>
              </w:rPr>
              <w:t>Super-classe de</w:t>
            </w:r>
          </w:p>
        </w:tc>
        <w:tc>
          <w:tcPr>
            <w:tcW w:w="8928" w:type="dxa"/>
          </w:tcPr>
          <w:p w14:paraId="6B8CD920" w14:textId="77777777" w:rsidR="00BF18CF" w:rsidRDefault="00BF18CF">
            <w:pPr>
              <w:pBdr>
                <w:top w:val="nil"/>
                <w:left w:val="nil"/>
                <w:bottom w:val="nil"/>
                <w:right w:val="nil"/>
                <w:between w:val="nil"/>
              </w:pBdr>
              <w:spacing w:before="36" w:after="36"/>
              <w:rPr>
                <w:color w:val="000000"/>
              </w:rPr>
            </w:pPr>
          </w:p>
        </w:tc>
      </w:tr>
      <w:tr w:rsidR="00BF18CF" w14:paraId="3AE5A46C" w14:textId="77777777" w:rsidTr="00BF18CF">
        <w:tc>
          <w:tcPr>
            <w:tcW w:w="1762" w:type="dxa"/>
          </w:tcPr>
          <w:p w14:paraId="66467CB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928" w:type="dxa"/>
          </w:tcPr>
          <w:p w14:paraId="392BE51B" w14:textId="77777777" w:rsidR="00BF18CF" w:rsidRDefault="00E51347">
            <w:r>
              <w:t xml:space="preserve">Cette classe comprend les types servant de modèles pour les instances de </w:t>
            </w:r>
            <w:r>
              <w:rPr>
                <w:rFonts w:ascii="Consolas" w:eastAsia="Consolas" w:hAnsi="Consolas" w:cs="Consolas"/>
                <w:sz w:val="22"/>
                <w:szCs w:val="22"/>
                <w:shd w:val="clear" w:color="auto" w:fill="EAEEF3"/>
              </w:rPr>
              <w:t>E22_Objet_élaboré_par_l’humain</w:t>
            </w:r>
            <w:r>
              <w:t xml:space="preserve"> produites par des activités de production utilisant des plans suffisamment précis pour mener à une ou plusieurs séries d’objets uniformes, fonctionnellement et esthétiquement identiques et interchangeables.</w:t>
            </w:r>
          </w:p>
          <w:p w14:paraId="6401081C" w14:textId="77777777" w:rsidR="00BF18CF" w:rsidRDefault="00E51347">
            <w:r>
              <w:t xml:space="preserve">Le modèle de produit est la forme idéale prévue par le processus de fabrication. Généralement, les composantes d’une instance de </w:t>
            </w:r>
            <w:r>
              <w:rPr>
                <w:rFonts w:ascii="Consolas" w:eastAsia="Consolas" w:hAnsi="Consolas" w:cs="Consolas"/>
                <w:sz w:val="22"/>
                <w:szCs w:val="22"/>
                <w:shd w:val="clear" w:color="auto" w:fill="EAEEF3"/>
              </w:rPr>
              <w:t>E22_Objet_élaboré_par_l’humain</w:t>
            </w:r>
            <w:r>
              <w:t xml:space="preserve"> conforme à une instance de </w:t>
            </w:r>
            <w:r>
              <w:rPr>
                <w:rFonts w:ascii="Consolas" w:eastAsia="Consolas" w:hAnsi="Consolas" w:cs="Consolas"/>
                <w:sz w:val="22"/>
                <w:szCs w:val="22"/>
                <w:shd w:val="clear" w:color="auto" w:fill="EAEEF3"/>
              </w:rPr>
              <w:t>E99_Modèle_de_produit</w:t>
            </w:r>
            <w:r>
              <w:t xml:space="preserve"> sont interchangeables avec des composantes d’autres instances de </w:t>
            </w:r>
            <w:r>
              <w:rPr>
                <w:rFonts w:ascii="Consolas" w:eastAsia="Consolas" w:hAnsi="Consolas" w:cs="Consolas"/>
                <w:sz w:val="22"/>
                <w:szCs w:val="22"/>
                <w:shd w:val="clear" w:color="auto" w:fill="EAEEF3"/>
              </w:rPr>
              <w:t>E22_Objet_élaboré_par_l’humain</w:t>
            </w:r>
            <w:r>
              <w:t xml:space="preserve"> fabriquées à partir du modèle de la même instance de </w:t>
            </w:r>
            <w:r>
              <w:rPr>
                <w:rFonts w:ascii="Consolas" w:eastAsia="Consolas" w:hAnsi="Consolas" w:cs="Consolas"/>
                <w:sz w:val="22"/>
                <w:szCs w:val="22"/>
                <w:shd w:val="clear" w:color="auto" w:fill="EAEEF3"/>
              </w:rPr>
              <w:t>E99_Modèle_de_produit</w:t>
            </w:r>
            <w:r>
              <w:t xml:space="preserve">. Souvent, la production uniforme selon une instance de </w:t>
            </w:r>
            <w:r>
              <w:rPr>
                <w:rFonts w:ascii="Consolas" w:eastAsia="Consolas" w:hAnsi="Consolas" w:cs="Consolas"/>
                <w:sz w:val="22"/>
                <w:szCs w:val="22"/>
                <w:shd w:val="clear" w:color="auto" w:fill="EAEEF3"/>
              </w:rPr>
              <w:t>E99_Modèle_de_produit</w:t>
            </w:r>
            <w:r>
              <w:t xml:space="preserve"> est atteinte en créant des outils individuels, tels que des moules ou des plaques d’impression, qui portent en eux-mêmes le design du modèle de produit. Les outils modernes peuvent utiliser la flexibilité associée aux dispositifs contrôlés électroniquement afin d’atteindre une telle uniformité.</w:t>
            </w:r>
          </w:p>
          <w:p w14:paraId="16A10912" w14:textId="77777777" w:rsidR="00BF18CF" w:rsidRDefault="00E51347">
            <w:r>
              <w:t>Le modèle de produit lui-même, c.-à-d. la série potentiellement illimitée d’objets esthétiquement équivalents, peut être la cible d’un design artistique plutôt que l’objet individuel. Dans certains cas particuliers, une seule instance d’un modèle de produit peut avoir été produite, comme dans un processus d</w:t>
            </w:r>
            <w:proofErr w:type="gramStart"/>
            <w:r>
              <w:t>’«</w:t>
            </w:r>
            <w:proofErr w:type="gramEnd"/>
            <w:r>
              <w:t xml:space="preserve"> impression à la </w:t>
            </w:r>
            <w:r>
              <w:lastRenderedPageBreak/>
              <w:t>demande » qui n’a été déclenché qu’une seule fois. Cependant, il ne faut pas confondre cette situation avec les prototypes industriels, tels que les prototypes de voitures, qui sont produits avant la mise en place de la ligne de production ou qui testent la ligne de production.</w:t>
            </w:r>
          </w:p>
        </w:tc>
      </w:tr>
      <w:tr w:rsidR="00BF18CF" w14:paraId="5570698A" w14:textId="77777777" w:rsidTr="00BF18CF">
        <w:tc>
          <w:tcPr>
            <w:tcW w:w="1762" w:type="dxa"/>
          </w:tcPr>
          <w:p w14:paraId="16E19582"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928" w:type="dxa"/>
          </w:tcPr>
          <w:p w14:paraId="673160A2" w14:textId="77777777" w:rsidR="00BF18CF" w:rsidRDefault="00E51347">
            <w:pPr>
              <w:numPr>
                <w:ilvl w:val="0"/>
                <w:numId w:val="19"/>
              </w:numPr>
            </w:pPr>
            <w:r>
              <w:t>Volkswagen Type 11 (Beetle)</w:t>
            </w:r>
          </w:p>
          <w:p w14:paraId="6C5520D5" w14:textId="77777777" w:rsidR="00BF18CF" w:rsidRDefault="00E51347">
            <w:pPr>
              <w:numPr>
                <w:ilvl w:val="0"/>
                <w:numId w:val="19"/>
              </w:numPr>
            </w:pPr>
            <w:r>
              <w:t>Récipient samien Dragendorff 54</w:t>
            </w:r>
          </w:p>
          <w:p w14:paraId="18D9807F" w14:textId="77777777" w:rsidR="00BF18CF" w:rsidRDefault="00E51347">
            <w:pPr>
              <w:numPr>
                <w:ilvl w:val="0"/>
                <w:numId w:val="19"/>
              </w:numPr>
            </w:pPr>
            <w:r>
              <w:t>Pièce de trois pence en laiton de 1937 représentant Édouard VIII</w:t>
            </w:r>
          </w:p>
          <w:p w14:paraId="6B233803" w14:textId="77777777" w:rsidR="00BF18CF" w:rsidRDefault="00E51347">
            <w:pPr>
              <w:numPr>
                <w:ilvl w:val="0"/>
                <w:numId w:val="19"/>
              </w:numPr>
            </w:pPr>
            <w:r>
              <w:t>Partie B non-entaillée de la gâchette d’une arbalète de la dynastie Qin (Bg2u)</w:t>
            </w:r>
          </w:p>
          <w:p w14:paraId="4128CDEA" w14:textId="77777777" w:rsidR="00BF18CF" w:rsidRDefault="00E51347">
            <w:pPr>
              <w:numPr>
                <w:ilvl w:val="0"/>
                <w:numId w:val="19"/>
              </w:numPr>
            </w:pPr>
            <w:r>
              <w:t>Nokia Cityman 1320 (le premier téléphone cellulaire produit par Nokia)</w:t>
            </w:r>
          </w:p>
        </w:tc>
      </w:tr>
      <w:tr w:rsidR="00BF18CF" w14:paraId="41E38640" w14:textId="77777777" w:rsidTr="00BF18CF">
        <w:tc>
          <w:tcPr>
            <w:tcW w:w="1762" w:type="dxa"/>
          </w:tcPr>
          <w:p w14:paraId="548DC3A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928" w:type="dxa"/>
          </w:tcPr>
          <w:p w14:paraId="5D9896F1" w14:textId="77777777" w:rsidR="00BF18CF" w:rsidRDefault="00E51347">
            <w:r>
              <w:t>E99(x) ⇒ E55(x)</w:t>
            </w:r>
          </w:p>
        </w:tc>
      </w:tr>
      <w:tr w:rsidR="00BF18CF" w14:paraId="011FAB71" w14:textId="77777777" w:rsidTr="00BF18CF">
        <w:tc>
          <w:tcPr>
            <w:tcW w:w="1762" w:type="dxa"/>
          </w:tcPr>
          <w:p w14:paraId="50A211E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928" w:type="dxa"/>
          </w:tcPr>
          <w:p w14:paraId="74959DC9" w14:textId="77777777" w:rsidR="00BF18CF" w:rsidRDefault="00E51347">
            <w:r>
              <w:rPr>
                <w:rFonts w:ascii="Consolas" w:eastAsia="Consolas" w:hAnsi="Consolas" w:cs="Consolas"/>
                <w:sz w:val="22"/>
                <w:szCs w:val="22"/>
                <w:shd w:val="clear" w:color="auto" w:fill="EAEEF3"/>
              </w:rPr>
              <w:t>P187_a_pour_plan_de_production (est_le_plan_de_production_de)</w:t>
            </w:r>
            <w:r>
              <w:t xml:space="preserve"> : </w:t>
            </w:r>
            <w:r>
              <w:rPr>
                <w:rFonts w:ascii="Consolas" w:eastAsia="Consolas" w:hAnsi="Consolas" w:cs="Consolas"/>
                <w:sz w:val="22"/>
                <w:szCs w:val="22"/>
                <w:shd w:val="clear" w:color="auto" w:fill="EAEEF3"/>
              </w:rPr>
              <w:t>E29_Conceptualisation_ou_procédure</w:t>
            </w:r>
          </w:p>
          <w:p w14:paraId="2AD3242D" w14:textId="77777777" w:rsidR="00BF18CF" w:rsidRDefault="00E51347">
            <w:r>
              <w:rPr>
                <w:rFonts w:ascii="Consolas" w:eastAsia="Consolas" w:hAnsi="Consolas" w:cs="Consolas"/>
                <w:sz w:val="22"/>
                <w:szCs w:val="22"/>
                <w:shd w:val="clear" w:color="auto" w:fill="EAEEF3"/>
              </w:rPr>
              <w:t>P188_nécessite_l’outil (est_l’outil_de_production_de)</w:t>
            </w:r>
            <w:r>
              <w:t xml:space="preserve"> : </w:t>
            </w:r>
            <w:r>
              <w:rPr>
                <w:rFonts w:ascii="Consolas" w:eastAsia="Consolas" w:hAnsi="Consolas" w:cs="Consolas"/>
                <w:sz w:val="22"/>
                <w:szCs w:val="22"/>
                <w:shd w:val="clear" w:color="auto" w:fill="EAEEF3"/>
              </w:rPr>
              <w:t>E19_Objet_matériel</w:t>
            </w:r>
          </w:p>
        </w:tc>
      </w:tr>
      <w:tr w:rsidR="00BF18CF" w14:paraId="24E601FA" w14:textId="77777777" w:rsidTr="00BF18CF">
        <w:tc>
          <w:tcPr>
            <w:tcW w:w="1762" w:type="dxa"/>
          </w:tcPr>
          <w:p w14:paraId="3700C067" w14:textId="709BC19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928" w:type="dxa"/>
          </w:tcPr>
          <w:p w14:paraId="32E20BA8" w14:textId="77777777" w:rsidR="00BF18CF" w:rsidRDefault="00BF18CF">
            <w:pPr>
              <w:pBdr>
                <w:top w:val="nil"/>
                <w:left w:val="nil"/>
                <w:bottom w:val="nil"/>
                <w:right w:val="nil"/>
                <w:between w:val="nil"/>
              </w:pBdr>
              <w:spacing w:before="36" w:after="36"/>
              <w:rPr>
                <w:color w:val="000000"/>
              </w:rPr>
            </w:pPr>
          </w:p>
        </w:tc>
      </w:tr>
      <w:tr w:rsidR="00BF18CF" w14:paraId="628E4669" w14:textId="77777777" w:rsidTr="00BF18CF">
        <w:tc>
          <w:tcPr>
            <w:tcW w:w="1762" w:type="dxa"/>
          </w:tcPr>
          <w:p w14:paraId="26E6946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928" w:type="dxa"/>
          </w:tcPr>
          <w:p w14:paraId="76D849A5" w14:textId="77777777" w:rsidR="00BF18CF" w:rsidRDefault="00BF18CF">
            <w:pPr>
              <w:pBdr>
                <w:top w:val="nil"/>
                <w:left w:val="nil"/>
                <w:bottom w:val="nil"/>
                <w:right w:val="nil"/>
                <w:between w:val="nil"/>
              </w:pBdr>
              <w:spacing w:before="36" w:after="36"/>
              <w:rPr>
                <w:color w:val="000000"/>
              </w:rPr>
            </w:pPr>
          </w:p>
        </w:tc>
      </w:tr>
    </w:tbl>
    <w:p w14:paraId="07301393" w14:textId="77777777" w:rsidR="00BF18CF" w:rsidRDefault="00E51347">
      <w:pPr>
        <w:pStyle w:val="Heading1"/>
      </w:pPr>
      <w:bookmarkStart w:id="264" w:name="bookmark=id.2eclud0" w:colFirst="0" w:colLast="0"/>
      <w:bookmarkStart w:id="265" w:name="_Toc144360875"/>
      <w:bookmarkEnd w:id="264"/>
      <w:r>
        <w:t>Déclaration des propriétés du CIDOC CRM</w:t>
      </w:r>
      <w:bookmarkEnd w:id="265"/>
    </w:p>
    <w:tbl>
      <w:tblPr>
        <w:tblStyle w:val="a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5D1A68C1" w14:textId="77777777" w:rsidTr="00BF18CF">
        <w:tc>
          <w:tcPr>
            <w:tcW w:w="10690" w:type="dxa"/>
          </w:tcPr>
          <w:p w14:paraId="5A6B9151" w14:textId="77777777" w:rsidR="00BF18CF" w:rsidRDefault="00E51347">
            <w:r>
              <w:t>Les propriétés du CIDOC CRM sont déclarées ici selon la forme suivante :</w:t>
            </w:r>
          </w:p>
          <w:p w14:paraId="6BB2C2FD" w14:textId="77777777" w:rsidR="00BF18CF" w:rsidRDefault="00E51347">
            <w:pPr>
              <w:numPr>
                <w:ilvl w:val="0"/>
                <w:numId w:val="19"/>
              </w:numPr>
            </w:pPr>
            <w:r>
              <w:t>Les noms de propriété sont présentés comme des titres en gras précédés de l’identifiant unique de la propriété;</w:t>
            </w:r>
          </w:p>
          <w:p w14:paraId="43EF59B3" w14:textId="77777777" w:rsidR="00BF18CF" w:rsidRDefault="00E51347">
            <w:pPr>
              <w:numPr>
                <w:ilvl w:val="0"/>
                <w:numId w:val="19"/>
              </w:numPr>
            </w:pPr>
            <w:r>
              <w:t>La ligne « Domaine : » déclare la classe pour laquelle la propriété est définie;</w:t>
            </w:r>
          </w:p>
          <w:p w14:paraId="5050F02F" w14:textId="77777777" w:rsidR="00BF18CF" w:rsidRDefault="00E51347">
            <w:pPr>
              <w:numPr>
                <w:ilvl w:val="0"/>
                <w:numId w:val="19"/>
              </w:numPr>
            </w:pPr>
            <w:r>
              <w:t>La ligne « Portée : » déclare la classe vers laquelle la propriété pointe ou celle qui fournit les valeurs de la propriété;</w:t>
            </w:r>
          </w:p>
          <w:p w14:paraId="4C1B11D7" w14:textId="77777777" w:rsidR="00BF18CF" w:rsidRDefault="00E51347">
            <w:pPr>
              <w:numPr>
                <w:ilvl w:val="0"/>
                <w:numId w:val="19"/>
              </w:numPr>
            </w:pPr>
            <w:r>
              <w:t>La ligne « Super-propriété de : » est un co-référencement des sous-propriétés que peut avoir la propriété;</w:t>
            </w:r>
          </w:p>
          <w:p w14:paraId="45884BFB" w14:textId="77777777" w:rsidR="00BF18CF" w:rsidRDefault="00E51347">
            <w:pPr>
              <w:numPr>
                <w:ilvl w:val="0"/>
                <w:numId w:val="19"/>
              </w:numPr>
            </w:pPr>
            <w:r>
              <w:t>[</w:t>
            </w:r>
            <w:proofErr w:type="gramStart"/>
            <w:r>
              <w:t>n.d.t.</w:t>
            </w:r>
            <w:proofErr w:type="gramEnd"/>
            <w:r>
              <w:t xml:space="preserve"> La ligne « Sous-propriété de : » est un co-référencement des super-propriétés que peut avoir la propriété;]</w:t>
            </w:r>
          </w:p>
          <w:p w14:paraId="18D7C516" w14:textId="77777777" w:rsidR="00BF18CF" w:rsidRDefault="00E51347">
            <w:pPr>
              <w:numPr>
                <w:ilvl w:val="0"/>
                <w:numId w:val="19"/>
              </w:numPr>
            </w:pPr>
            <w:r>
              <w:t>La ligne « Quantification : » déclare le nombre possible d'occurrences d’instances de classes et de propriétés pour la propriété (les valeurs possibles sont : « 1 : plusieurs”, « plusieurs : plusieurs » et « plusieurs : 1”);</w:t>
            </w:r>
          </w:p>
          <w:p w14:paraId="28B09BDC" w14:textId="77777777" w:rsidR="00BF18CF" w:rsidRDefault="00E51347">
            <w:pPr>
              <w:numPr>
                <w:ilvl w:val="0"/>
                <w:numId w:val="19"/>
              </w:numPr>
            </w:pPr>
            <w:r>
              <w:t>La ligne « Domaine d’application : » contient la définition textuelle du concept que représente la propriété;</w:t>
            </w:r>
          </w:p>
          <w:p w14:paraId="1A58099C" w14:textId="77777777" w:rsidR="00BF18CF" w:rsidRDefault="00E51347">
            <w:pPr>
              <w:numPr>
                <w:ilvl w:val="0"/>
                <w:numId w:val="19"/>
              </w:numPr>
            </w:pPr>
            <w:r>
              <w:lastRenderedPageBreak/>
              <w:t>La ligne « Exemples : » contient une liste d’exemples d’instances de la propriété qui illustre comment elle devrait être utilisée, de plus :</w:t>
            </w:r>
          </w:p>
          <w:p w14:paraId="3E757279" w14:textId="77777777" w:rsidR="00BF18CF" w:rsidRDefault="00E51347">
            <w:pPr>
              <w:numPr>
                <w:ilvl w:val="0"/>
                <w:numId w:val="19"/>
              </w:numPr>
            </w:pPr>
            <w:r>
              <w:t>Si l’exemple illustre aussi l’instance d’une sous-propriété de la propriété, l’identifiant unique de cette sous-classe est indiqué entre parenthèses.</w:t>
            </w:r>
          </w:p>
          <w:p w14:paraId="3AB56CC4" w14:textId="77777777" w:rsidR="00BF18CF" w:rsidRDefault="00E51347">
            <w:pPr>
              <w:numPr>
                <w:ilvl w:val="0"/>
                <w:numId w:val="19"/>
              </w:numPr>
            </w:pPr>
            <w:r>
              <w:t>Si l’exemple illustre l’instanciation de deux propriétés, l’identifiant unique de chacune est indiqué entre parenthèses.</w:t>
            </w:r>
          </w:p>
        </w:tc>
      </w:tr>
    </w:tbl>
    <w:p w14:paraId="59318DE0" w14:textId="77777777" w:rsidR="00BF18CF" w:rsidRDefault="00BF18CF"/>
    <w:tbl>
      <w:tblPr>
        <w:tblStyle w:val="afffffffff5"/>
        <w:tblW w:w="1062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75"/>
        <w:gridCol w:w="8647"/>
      </w:tblGrid>
      <w:tr w:rsidR="00BF18CF" w14:paraId="37DB512A" w14:textId="77777777" w:rsidTr="00D573C0">
        <w:tc>
          <w:tcPr>
            <w:tcW w:w="1975" w:type="dxa"/>
          </w:tcPr>
          <w:p w14:paraId="5D1CBB71" w14:textId="14EDAF2C" w:rsidR="00BF18CF" w:rsidRDefault="00F27208">
            <w:r>
              <w:rPr>
                <w:i/>
              </w:rPr>
              <w:t>Note de traduction</w:t>
            </w:r>
          </w:p>
        </w:tc>
        <w:tc>
          <w:tcPr>
            <w:tcW w:w="8647" w:type="dxa"/>
          </w:tcPr>
          <w:p w14:paraId="324FBB90" w14:textId="77777777" w:rsidR="00BF18CF" w:rsidRDefault="00BF18CF">
            <w:pPr>
              <w:pBdr>
                <w:top w:val="nil"/>
                <w:left w:val="nil"/>
                <w:bottom w:val="nil"/>
                <w:right w:val="nil"/>
                <w:between w:val="nil"/>
              </w:pBdr>
              <w:spacing w:before="36" w:after="36"/>
              <w:rPr>
                <w:color w:val="000000"/>
              </w:rPr>
            </w:pPr>
          </w:p>
        </w:tc>
      </w:tr>
      <w:tr w:rsidR="00BF18CF" w14:paraId="59AF64FE" w14:textId="77777777" w:rsidTr="00D573C0">
        <w:tc>
          <w:tcPr>
            <w:tcW w:w="1975" w:type="dxa"/>
          </w:tcPr>
          <w:p w14:paraId="73C58787" w14:textId="77777777" w:rsidR="00BF18CF" w:rsidRDefault="00E51347">
            <w:r>
              <w:rPr>
                <w:i/>
              </w:rPr>
              <w:t>Références</w:t>
            </w:r>
          </w:p>
        </w:tc>
        <w:tc>
          <w:tcPr>
            <w:tcW w:w="8647" w:type="dxa"/>
          </w:tcPr>
          <w:p w14:paraId="7BED4CFC" w14:textId="77777777" w:rsidR="00BF18CF" w:rsidRDefault="00BF18CF">
            <w:pPr>
              <w:pBdr>
                <w:top w:val="nil"/>
                <w:left w:val="nil"/>
                <w:bottom w:val="nil"/>
                <w:right w:val="nil"/>
                <w:between w:val="nil"/>
              </w:pBdr>
              <w:spacing w:before="36" w:after="36"/>
              <w:rPr>
                <w:color w:val="000000"/>
              </w:rPr>
            </w:pPr>
          </w:p>
        </w:tc>
      </w:tr>
    </w:tbl>
    <w:p w14:paraId="38C25172" w14:textId="77777777" w:rsidR="00BF18CF" w:rsidRDefault="00E51347">
      <w:pPr>
        <w:pStyle w:val="Heading3"/>
      </w:pPr>
      <w:bookmarkStart w:id="266" w:name="_Toc144360876"/>
      <w:r>
        <w:t>P1 est identifié par (identifie)</w:t>
      </w:r>
      <w:bookmarkEnd w:id="266"/>
    </w:p>
    <w:tbl>
      <w:tblPr>
        <w:tblStyle w:val="a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7"/>
        <w:gridCol w:w="8803"/>
      </w:tblGrid>
      <w:tr w:rsidR="00BF18CF" w14:paraId="134EEE7C" w14:textId="77777777" w:rsidTr="00BF18CF">
        <w:tc>
          <w:tcPr>
            <w:tcW w:w="1887" w:type="dxa"/>
          </w:tcPr>
          <w:p w14:paraId="11BB4ED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3" w:type="dxa"/>
          </w:tcPr>
          <w:p w14:paraId="59CC726F" w14:textId="77777777" w:rsidR="00BF18CF" w:rsidRDefault="00E51347">
            <w:r>
              <w:rPr>
                <w:rFonts w:ascii="Consolas" w:eastAsia="Consolas" w:hAnsi="Consolas" w:cs="Consolas"/>
                <w:sz w:val="22"/>
                <w:szCs w:val="22"/>
                <w:shd w:val="clear" w:color="auto" w:fill="EAEEF3"/>
              </w:rPr>
              <w:t>E1_Entité_CRM</w:t>
            </w:r>
          </w:p>
        </w:tc>
      </w:tr>
      <w:tr w:rsidR="00BF18CF" w14:paraId="753D50ED" w14:textId="77777777" w:rsidTr="00BF18CF">
        <w:tc>
          <w:tcPr>
            <w:tcW w:w="1887" w:type="dxa"/>
          </w:tcPr>
          <w:p w14:paraId="561FBC9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3" w:type="dxa"/>
          </w:tcPr>
          <w:p w14:paraId="1A922FB7" w14:textId="77777777" w:rsidR="00BF18CF" w:rsidRDefault="00E51347">
            <w:r>
              <w:rPr>
                <w:rFonts w:ascii="Consolas" w:eastAsia="Consolas" w:hAnsi="Consolas" w:cs="Consolas"/>
                <w:sz w:val="22"/>
                <w:szCs w:val="22"/>
                <w:shd w:val="clear" w:color="auto" w:fill="EAEEF3"/>
              </w:rPr>
              <w:t>E41_Appellation</w:t>
            </w:r>
          </w:p>
        </w:tc>
      </w:tr>
      <w:tr w:rsidR="00BF18CF" w14:paraId="1360B33C" w14:textId="77777777" w:rsidTr="00BF18CF">
        <w:tc>
          <w:tcPr>
            <w:tcW w:w="1887" w:type="dxa"/>
          </w:tcPr>
          <w:p w14:paraId="4C567EF2"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3" w:type="dxa"/>
          </w:tcPr>
          <w:p w14:paraId="2D50E4A7" w14:textId="77777777" w:rsidR="00BF18CF" w:rsidRDefault="00BF18CF">
            <w:pPr>
              <w:pBdr>
                <w:top w:val="nil"/>
                <w:left w:val="nil"/>
                <w:bottom w:val="nil"/>
                <w:right w:val="nil"/>
                <w:between w:val="nil"/>
              </w:pBdr>
              <w:spacing w:before="36" w:after="36"/>
              <w:rPr>
                <w:color w:val="000000"/>
              </w:rPr>
            </w:pPr>
          </w:p>
        </w:tc>
      </w:tr>
      <w:tr w:rsidR="00BF18CF" w14:paraId="3C185208" w14:textId="77777777" w:rsidTr="00BF18CF">
        <w:tc>
          <w:tcPr>
            <w:tcW w:w="1887" w:type="dxa"/>
          </w:tcPr>
          <w:p w14:paraId="7FC8D318"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3" w:type="dxa"/>
          </w:tcPr>
          <w:p w14:paraId="565738CD"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P48_a_pour_identifiant_préférentiel (est_l'identifiant_préférentiel_de)</w:t>
            </w:r>
            <w:r>
              <w:t xml:space="preserve"> : </w:t>
            </w:r>
            <w:r>
              <w:rPr>
                <w:rFonts w:ascii="Consolas" w:eastAsia="Consolas" w:hAnsi="Consolas" w:cs="Consolas"/>
                <w:sz w:val="22"/>
                <w:szCs w:val="22"/>
                <w:shd w:val="clear" w:color="auto" w:fill="EAEEF3"/>
              </w:rPr>
              <w:t>E42_Identifiant</w:t>
            </w:r>
          </w:p>
          <w:p w14:paraId="6B2AFEB1" w14:textId="77777777" w:rsidR="00BF18CF" w:rsidRDefault="00E51347">
            <w:r>
              <w:rPr>
                <w:rFonts w:ascii="Consolas" w:eastAsia="Consolas" w:hAnsi="Consolas" w:cs="Consolas"/>
                <w:sz w:val="22"/>
                <w:szCs w:val="22"/>
                <w:shd w:val="clear" w:color="auto" w:fill="EAEEF3"/>
              </w:rPr>
              <w:t>E71_Chose_élaborée_par_l’humain</w:t>
            </w:r>
            <w:r>
              <w:t xml:space="preserve">. </w:t>
            </w:r>
            <w:r>
              <w:rPr>
                <w:rFonts w:ascii="Consolas" w:eastAsia="Consolas" w:hAnsi="Consolas" w:cs="Consolas"/>
                <w:sz w:val="22"/>
                <w:szCs w:val="22"/>
                <w:shd w:val="clear" w:color="auto" w:fill="EAEEF3"/>
              </w:rPr>
              <w:t xml:space="preserve">P102_a_pour_titre (est_le_titre_de) </w:t>
            </w:r>
            <w:r>
              <w:t xml:space="preserve">: </w:t>
            </w:r>
            <w:r>
              <w:rPr>
                <w:rFonts w:ascii="Consolas" w:eastAsia="Consolas" w:hAnsi="Consolas" w:cs="Consolas"/>
                <w:sz w:val="22"/>
                <w:szCs w:val="22"/>
                <w:shd w:val="clear" w:color="auto" w:fill="EAEEF3"/>
              </w:rPr>
              <w:t>E35_Titre</w:t>
            </w:r>
          </w:p>
          <w:p w14:paraId="6B79AD8E" w14:textId="77777777" w:rsidR="00BF18CF" w:rsidRDefault="00E51347">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 xml:space="preserve">P168_lieu_défini_par (définit_le_lieu) </w:t>
            </w:r>
            <w:r>
              <w:t xml:space="preserve">: </w:t>
            </w:r>
            <w:r>
              <w:rPr>
                <w:rFonts w:ascii="Consolas" w:eastAsia="Consolas" w:hAnsi="Consolas" w:cs="Consolas"/>
                <w:sz w:val="22"/>
                <w:szCs w:val="22"/>
                <w:shd w:val="clear" w:color="auto" w:fill="EAEEF3"/>
              </w:rPr>
              <w:t>E94_Primitive_spatiale</w:t>
            </w:r>
          </w:p>
          <w:p w14:paraId="36041819" w14:textId="77777777" w:rsidR="00BF18CF" w:rsidRDefault="00E51347">
            <w:r>
              <w:rPr>
                <w:rFonts w:ascii="Consolas" w:eastAsia="Consolas" w:hAnsi="Consolas" w:cs="Consolas"/>
                <w:sz w:val="22"/>
                <w:szCs w:val="22"/>
                <w:shd w:val="clear" w:color="auto" w:fill="EAEEF3"/>
              </w:rPr>
              <w:t>E95_Primitive_spatio-temporelle</w:t>
            </w:r>
            <w:r>
              <w:t xml:space="preserve">. </w:t>
            </w:r>
            <w:r>
              <w:rPr>
                <w:rFonts w:ascii="Consolas" w:eastAsia="Consolas" w:hAnsi="Consolas" w:cs="Consolas"/>
                <w:sz w:val="22"/>
                <w:szCs w:val="22"/>
                <w:shd w:val="clear" w:color="auto" w:fill="EAEEF3"/>
              </w:rPr>
              <w:t xml:space="preserve">P169i_volume_spatio-temporel_défini_par </w:t>
            </w:r>
            <w:r>
              <w:t xml:space="preserve">: </w:t>
            </w:r>
            <w:r>
              <w:rPr>
                <w:rFonts w:ascii="Consolas" w:eastAsia="Consolas" w:hAnsi="Consolas" w:cs="Consolas"/>
                <w:sz w:val="22"/>
                <w:szCs w:val="22"/>
                <w:shd w:val="clear" w:color="auto" w:fill="EAEEF3"/>
              </w:rPr>
              <w:t>E92_Volume_spatio-temporel</w:t>
            </w:r>
          </w:p>
          <w:p w14:paraId="561D4621" w14:textId="77777777" w:rsidR="00BF18CF" w:rsidRDefault="00E51347">
            <w:r>
              <w:rPr>
                <w:rFonts w:ascii="Consolas" w:eastAsia="Consolas" w:hAnsi="Consolas" w:cs="Consolas"/>
                <w:sz w:val="22"/>
                <w:szCs w:val="22"/>
                <w:shd w:val="clear" w:color="auto" w:fill="EAEEF3"/>
              </w:rPr>
              <w:t>E61_Primitive_temporelle</w:t>
            </w:r>
            <w:r>
              <w:t xml:space="preserve">. </w:t>
            </w:r>
            <w:r>
              <w:rPr>
                <w:rFonts w:ascii="Consolas" w:eastAsia="Consolas" w:hAnsi="Consolas" w:cs="Consolas"/>
                <w:sz w:val="22"/>
                <w:szCs w:val="22"/>
                <w:shd w:val="clear" w:color="auto" w:fill="EAEEF3"/>
              </w:rPr>
              <w:t xml:space="preserve">P170i_définit_le_temps </w:t>
            </w:r>
            <w:r>
              <w:t xml:space="preserve">: </w:t>
            </w:r>
            <w:r>
              <w:rPr>
                <w:rFonts w:ascii="Consolas" w:eastAsia="Consolas" w:hAnsi="Consolas" w:cs="Consolas"/>
                <w:sz w:val="22"/>
                <w:szCs w:val="22"/>
                <w:shd w:val="clear" w:color="auto" w:fill="EAEEF3"/>
              </w:rPr>
              <w:t>E52_Intervalle_temporel</w:t>
            </w:r>
          </w:p>
        </w:tc>
      </w:tr>
      <w:tr w:rsidR="00BF18CF" w14:paraId="32D92E3C" w14:textId="77777777" w:rsidTr="00BF18CF">
        <w:tc>
          <w:tcPr>
            <w:tcW w:w="1887" w:type="dxa"/>
          </w:tcPr>
          <w:p w14:paraId="0C0FC1E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3" w:type="dxa"/>
          </w:tcPr>
          <w:p w14:paraId="538F1303" w14:textId="77777777" w:rsidR="00BF18CF" w:rsidRDefault="00E51347">
            <w:proofErr w:type="gramStart"/>
            <w:r>
              <w:t>plusieurs</w:t>
            </w:r>
            <w:proofErr w:type="gramEnd"/>
            <w:r>
              <w:t xml:space="preserve"> à plusieurs (0,n:0,n)</w:t>
            </w:r>
          </w:p>
        </w:tc>
      </w:tr>
      <w:tr w:rsidR="00BF18CF" w14:paraId="35BA4E9F" w14:textId="77777777" w:rsidTr="00BF18CF">
        <w:tc>
          <w:tcPr>
            <w:tcW w:w="1887" w:type="dxa"/>
          </w:tcPr>
          <w:p w14:paraId="50CF8CF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3" w:type="dxa"/>
          </w:tcPr>
          <w:p w14:paraId="455F990D" w14:textId="77777777" w:rsidR="00BF18CF" w:rsidRDefault="00E51347">
            <w:r>
              <w:t>Cette propriété décrit la dénomination ou l’identification de n’importe quelle entité du monde réel par un nom ou tout autre identifiant.</w:t>
            </w:r>
          </w:p>
          <w:p w14:paraId="7F7F5FD6" w14:textId="77777777" w:rsidR="00BF18CF" w:rsidRDefault="00E51347">
            <w:r>
              <w:t xml:space="preserve">Cette propriété est destinée aux identifiants d’usage général, qui font partie du monde que le modèle vise à décrire, et pas seulement aux identifiants internes utilisés au sein de bases de données et qui sont spécifiques à un système technique, à moins que ces derniers aient aussi une utilisation plus générale qui ne se limite pas au contexte technique. Cette propriété comprend notamment l’identification à l’aide d’expressions mathématiques, tels que les systèmes de coordonnées utilisés pour l’identification d’instances de </w:t>
            </w:r>
            <w:r>
              <w:rPr>
                <w:rFonts w:ascii="Consolas" w:eastAsia="Consolas" w:hAnsi="Consolas" w:cs="Consolas"/>
                <w:sz w:val="22"/>
                <w:szCs w:val="22"/>
                <w:shd w:val="clear" w:color="auto" w:fill="EAEEF3"/>
              </w:rPr>
              <w:t>E53_Lieu</w:t>
            </w:r>
            <w:r>
              <w:t xml:space="preserve">. Cette propriété ne révèle rien sur quand, où et par qui cet identifiant a été utilisé. Une représentation plus détaillée peut être construite en utilisant le chemin sémantique complètement développé (c.-à-d. indirect) par l’intermédiaire de la classe </w:t>
            </w:r>
            <w:r>
              <w:rPr>
                <w:rFonts w:ascii="Consolas" w:eastAsia="Consolas" w:hAnsi="Consolas" w:cs="Consolas"/>
                <w:sz w:val="22"/>
                <w:szCs w:val="22"/>
                <w:shd w:val="clear" w:color="auto" w:fill="EAEEF3"/>
              </w:rPr>
              <w:t>E15_Assignation_d'identifiant</w:t>
            </w:r>
            <w:r>
              <w:t>.</w:t>
            </w:r>
          </w:p>
          <w:p w14:paraId="548C85F5" w14:textId="77777777" w:rsidR="00BF18CF" w:rsidRDefault="00E51347">
            <w:r>
              <w:rPr>
                <w:rFonts w:ascii="Consolas" w:eastAsia="Consolas" w:hAnsi="Consolas" w:cs="Consolas"/>
                <w:sz w:val="22"/>
                <w:szCs w:val="22"/>
                <w:shd w:val="clear" w:color="auto" w:fill="EAEEF3"/>
              </w:rPr>
              <w:lastRenderedPageBreak/>
              <w:t>P1_est_identifié_par (identifie)</w:t>
            </w:r>
            <w:r>
              <w:t xml:space="preserve"> est un raccourci du chemin sémantique suivant :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P140i_a_reçu_l'attribut_par</w:t>
            </w:r>
            <w:r>
              <w:t xml:space="preserve">, </w:t>
            </w:r>
            <w:r>
              <w:rPr>
                <w:rFonts w:ascii="Consolas" w:eastAsia="Consolas" w:hAnsi="Consolas" w:cs="Consolas"/>
                <w:sz w:val="22"/>
                <w:szCs w:val="22"/>
                <w:shd w:val="clear" w:color="auto" w:fill="EAEEF3"/>
              </w:rPr>
              <w:t>E15_Assignation_d'identifiant</w:t>
            </w:r>
            <w:r>
              <w:t xml:space="preserve">, </w:t>
            </w:r>
            <w:r>
              <w:rPr>
                <w:rFonts w:ascii="Consolas" w:eastAsia="Consolas" w:hAnsi="Consolas" w:cs="Consolas"/>
                <w:sz w:val="22"/>
                <w:szCs w:val="22"/>
                <w:shd w:val="clear" w:color="auto" w:fill="EAEEF3"/>
              </w:rPr>
              <w:t>P37_a_assigné (a_été_assigné_par)</w:t>
            </w:r>
            <w:r>
              <w:t xml:space="preserve">, </w:t>
            </w:r>
            <w:r>
              <w:rPr>
                <w:rFonts w:ascii="Consolas" w:eastAsia="Consolas" w:hAnsi="Consolas" w:cs="Consolas"/>
                <w:sz w:val="22"/>
                <w:szCs w:val="22"/>
                <w:shd w:val="clear" w:color="auto" w:fill="EAEEF3"/>
              </w:rPr>
              <w:t>E42_Identifiant</w:t>
            </w:r>
            <w:r>
              <w:t>.</w:t>
            </w:r>
          </w:p>
          <w:p w14:paraId="2DFBF387" w14:textId="77777777" w:rsidR="00BF18CF" w:rsidRDefault="00E51347">
            <w:r>
              <w:t xml:space="preserve">Il s’agit aussi d’un raccourci du chemin sémantique suivant :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P1_est_identifié_par (identifie)</w:t>
            </w:r>
            <w:r>
              <w:t xml:space="preserve">, </w:t>
            </w:r>
            <w:r>
              <w:rPr>
                <w:rFonts w:ascii="Consolas" w:eastAsia="Consolas" w:hAnsi="Consolas" w:cs="Consolas"/>
                <w:sz w:val="22"/>
                <w:szCs w:val="22"/>
                <w:shd w:val="clear" w:color="auto" w:fill="EAEEF3"/>
              </w:rPr>
              <w:t>E41_Appellation</w:t>
            </w:r>
            <w:r>
              <w:t xml:space="preserve">, </w:t>
            </w:r>
            <w:r>
              <w:rPr>
                <w:rFonts w:ascii="Consolas" w:eastAsia="Consolas" w:hAnsi="Consolas" w:cs="Consolas"/>
                <w:sz w:val="22"/>
                <w:szCs w:val="22"/>
                <w:shd w:val="clear" w:color="auto" w:fill="EAEEF3"/>
              </w:rPr>
              <w:t>P139_a_pour_forme_alternative</w:t>
            </w:r>
            <w:r>
              <w:t xml:space="preserve">, </w:t>
            </w:r>
            <w:r>
              <w:rPr>
                <w:rFonts w:ascii="Consolas" w:eastAsia="Consolas" w:hAnsi="Consolas" w:cs="Consolas"/>
                <w:sz w:val="22"/>
                <w:szCs w:val="22"/>
                <w:shd w:val="clear" w:color="auto" w:fill="EAEEF3"/>
              </w:rPr>
              <w:t>E41_Appellation</w:t>
            </w:r>
            <w:r>
              <w:t>.</w:t>
            </w:r>
          </w:p>
        </w:tc>
      </w:tr>
      <w:tr w:rsidR="00BF18CF" w14:paraId="007C57E6" w14:textId="77777777" w:rsidTr="00BF18CF">
        <w:tc>
          <w:tcPr>
            <w:tcW w:w="1887" w:type="dxa"/>
          </w:tcPr>
          <w:p w14:paraId="4766F5AA"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03" w:type="dxa"/>
          </w:tcPr>
          <w:p w14:paraId="53EB54AC" w14:textId="77777777" w:rsidR="00BF18CF" w:rsidRDefault="00E51347">
            <w:pPr>
              <w:numPr>
                <w:ilvl w:val="0"/>
                <w:numId w:val="19"/>
              </w:numPr>
            </w:pPr>
            <w:r>
              <w:t>La capitale de l’Italie (</w:t>
            </w:r>
            <w:r>
              <w:rPr>
                <w:rFonts w:ascii="Consolas" w:eastAsia="Consolas" w:hAnsi="Consolas" w:cs="Consolas"/>
                <w:sz w:val="22"/>
                <w:szCs w:val="22"/>
                <w:shd w:val="clear" w:color="auto" w:fill="EAEEF3"/>
              </w:rPr>
              <w:t>E53_Lieu</w:t>
            </w:r>
            <w:r>
              <w:t>) est identifiée par (</w:t>
            </w:r>
            <w:r>
              <w:rPr>
                <w:rFonts w:ascii="Consolas" w:eastAsia="Consolas" w:hAnsi="Consolas" w:cs="Consolas"/>
                <w:sz w:val="22"/>
                <w:szCs w:val="22"/>
                <w:shd w:val="clear" w:color="auto" w:fill="EAEEF3"/>
              </w:rPr>
              <w:t>P1_est_identifié_par</w:t>
            </w:r>
            <w:r>
              <w:t>) « Rome » (</w:t>
            </w:r>
            <w:r>
              <w:rPr>
                <w:rFonts w:ascii="Consolas" w:eastAsia="Consolas" w:hAnsi="Consolas" w:cs="Consolas"/>
                <w:sz w:val="22"/>
                <w:szCs w:val="22"/>
                <w:shd w:val="clear" w:color="auto" w:fill="EAEEF3"/>
              </w:rPr>
              <w:t>E41_Appellation</w:t>
            </w:r>
            <w:r>
              <w:t>) (Leach, 2017)</w:t>
            </w:r>
          </w:p>
          <w:p w14:paraId="061C2321" w14:textId="77777777" w:rsidR="00BF18CF" w:rsidRDefault="00E51347">
            <w:pPr>
              <w:numPr>
                <w:ilvl w:val="0"/>
                <w:numId w:val="19"/>
              </w:numPr>
            </w:pPr>
            <w:r>
              <w:t>Le texte 25014-32 (</w:t>
            </w:r>
            <w:r>
              <w:rPr>
                <w:rFonts w:ascii="Consolas" w:eastAsia="Consolas" w:hAnsi="Consolas" w:cs="Consolas"/>
                <w:sz w:val="22"/>
                <w:szCs w:val="22"/>
                <w:shd w:val="clear" w:color="auto" w:fill="EAEEF3"/>
              </w:rPr>
              <w:t>E33_Objet_linguistique</w:t>
            </w:r>
            <w:r>
              <w:t>) est identifié par (</w:t>
            </w:r>
            <w:r>
              <w:rPr>
                <w:rFonts w:ascii="Consolas" w:eastAsia="Consolas" w:hAnsi="Consolas" w:cs="Consolas"/>
                <w:sz w:val="22"/>
                <w:szCs w:val="22"/>
                <w:shd w:val="clear" w:color="auto" w:fill="EAEEF3"/>
              </w:rPr>
              <w:t>P1_est_identifié_par</w:t>
            </w:r>
            <w:r>
              <w:t xml:space="preserve">) </w:t>
            </w:r>
            <w:r>
              <w:rPr>
                <w:i/>
              </w:rPr>
              <w:t>The Decline and Fall of the Roman Empire</w:t>
            </w:r>
            <w:r>
              <w:t xml:space="preserve"> (</w:t>
            </w:r>
            <w:r>
              <w:rPr>
                <w:rFonts w:ascii="Consolas" w:eastAsia="Consolas" w:hAnsi="Consolas" w:cs="Consolas"/>
                <w:sz w:val="22"/>
                <w:szCs w:val="22"/>
                <w:shd w:val="clear" w:color="auto" w:fill="EAEEF3"/>
              </w:rPr>
              <w:t>E35_Titre</w:t>
            </w:r>
            <w:r>
              <w:t>) (Gibbon, 2013)</w:t>
            </w:r>
          </w:p>
        </w:tc>
      </w:tr>
      <w:tr w:rsidR="00BF18CF" w14:paraId="4595FC8C" w14:textId="77777777" w:rsidTr="00BF18CF">
        <w:tc>
          <w:tcPr>
            <w:tcW w:w="1887" w:type="dxa"/>
          </w:tcPr>
          <w:p w14:paraId="3D44BAC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3" w:type="dxa"/>
          </w:tcPr>
          <w:p w14:paraId="10BEC5FB" w14:textId="77777777" w:rsidR="00BF18CF" w:rsidRDefault="00E51347">
            <w:r>
              <w:t>P1(</w:t>
            </w:r>
            <w:proofErr w:type="gramStart"/>
            <w:r>
              <w:t>x,y</w:t>
            </w:r>
            <w:proofErr w:type="gramEnd"/>
            <w:r>
              <w:t>) ⇒ E1(x)</w:t>
            </w:r>
          </w:p>
          <w:p w14:paraId="01BDF106" w14:textId="77777777" w:rsidR="00BF18CF" w:rsidRDefault="00E51347">
            <w:r>
              <w:t>P1(</w:t>
            </w:r>
            <w:proofErr w:type="gramStart"/>
            <w:r>
              <w:t>x,y</w:t>
            </w:r>
            <w:proofErr w:type="gramEnd"/>
            <w:r>
              <w:t>) ⇒ E41(y)</w:t>
            </w:r>
          </w:p>
          <w:p w14:paraId="6ED4278D" w14:textId="77777777" w:rsidR="00BF18CF" w:rsidRDefault="00E51347">
            <w:r>
              <w:t>P1(</w:t>
            </w:r>
            <w:proofErr w:type="gramStart"/>
            <w:r>
              <w:t>x,y</w:t>
            </w:r>
            <w:proofErr w:type="gramEnd"/>
            <w:r>
              <w:t>) ⇐ (∃z) [E15(z)˄ P140i(x,z) ˄ P37(z,y)]</w:t>
            </w:r>
          </w:p>
          <w:p w14:paraId="5BFE4B27" w14:textId="77777777" w:rsidR="00BF18CF" w:rsidRDefault="00E51347">
            <w:r>
              <w:t>P1(</w:t>
            </w:r>
            <w:proofErr w:type="gramStart"/>
            <w:r>
              <w:t>x,y</w:t>
            </w:r>
            <w:proofErr w:type="gramEnd"/>
            <w:r>
              <w:t>) ⇐ (∃z) [E41(z)˄ P1(x,z) ˄ P139(z,y)]</w:t>
            </w:r>
          </w:p>
        </w:tc>
      </w:tr>
      <w:tr w:rsidR="00BF18CF" w14:paraId="0EF2BFDE" w14:textId="77777777" w:rsidTr="00BF18CF">
        <w:tc>
          <w:tcPr>
            <w:tcW w:w="1887" w:type="dxa"/>
          </w:tcPr>
          <w:p w14:paraId="2606577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3" w:type="dxa"/>
          </w:tcPr>
          <w:p w14:paraId="5C56F49B" w14:textId="77777777" w:rsidR="00BF18CF" w:rsidRDefault="00BF18CF">
            <w:pPr>
              <w:pBdr>
                <w:top w:val="nil"/>
                <w:left w:val="nil"/>
                <w:bottom w:val="nil"/>
                <w:right w:val="nil"/>
                <w:between w:val="nil"/>
              </w:pBdr>
              <w:spacing w:before="36" w:after="36"/>
              <w:rPr>
                <w:color w:val="000000"/>
              </w:rPr>
            </w:pPr>
          </w:p>
        </w:tc>
      </w:tr>
      <w:tr w:rsidR="00BF18CF" w14:paraId="23CEC93B" w14:textId="77777777" w:rsidTr="00BF18CF">
        <w:tc>
          <w:tcPr>
            <w:tcW w:w="1887" w:type="dxa"/>
          </w:tcPr>
          <w:p w14:paraId="11B76E29" w14:textId="4B52E12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3" w:type="dxa"/>
          </w:tcPr>
          <w:p w14:paraId="4509CB73" w14:textId="77777777" w:rsidR="00BF18CF" w:rsidRDefault="00BF18CF">
            <w:pPr>
              <w:pBdr>
                <w:top w:val="nil"/>
                <w:left w:val="nil"/>
                <w:bottom w:val="nil"/>
                <w:right w:val="nil"/>
                <w:between w:val="nil"/>
              </w:pBdr>
              <w:spacing w:before="36" w:after="36"/>
              <w:rPr>
                <w:color w:val="000000"/>
              </w:rPr>
            </w:pPr>
          </w:p>
        </w:tc>
      </w:tr>
      <w:tr w:rsidR="00BF18CF" w14:paraId="503D33DD" w14:textId="77777777" w:rsidTr="00BF18CF">
        <w:tc>
          <w:tcPr>
            <w:tcW w:w="1887" w:type="dxa"/>
          </w:tcPr>
          <w:p w14:paraId="4F0A96B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3" w:type="dxa"/>
          </w:tcPr>
          <w:p w14:paraId="6445438C" w14:textId="77777777" w:rsidR="00BF18CF" w:rsidRDefault="00BF18CF">
            <w:pPr>
              <w:pBdr>
                <w:top w:val="nil"/>
                <w:left w:val="nil"/>
                <w:bottom w:val="nil"/>
                <w:right w:val="nil"/>
                <w:between w:val="nil"/>
              </w:pBdr>
              <w:spacing w:before="36" w:after="36"/>
              <w:rPr>
                <w:color w:val="000000"/>
              </w:rPr>
            </w:pPr>
          </w:p>
        </w:tc>
      </w:tr>
    </w:tbl>
    <w:p w14:paraId="56FB959A" w14:textId="77777777" w:rsidR="00BF18CF" w:rsidRDefault="00E51347">
      <w:pPr>
        <w:pStyle w:val="Heading3"/>
      </w:pPr>
      <w:bookmarkStart w:id="267" w:name="bookmark=id.thw4kt" w:colFirst="0" w:colLast="0"/>
      <w:bookmarkStart w:id="268" w:name="_Toc144360877"/>
      <w:bookmarkEnd w:id="267"/>
      <w:r>
        <w:t>P2 a pour type (est le type de)</w:t>
      </w:r>
      <w:bookmarkEnd w:id="268"/>
    </w:p>
    <w:tbl>
      <w:tblPr>
        <w:tblStyle w:val="afffffffff7"/>
        <w:tblW w:w="10690" w:type="dxa"/>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104"/>
        <w:gridCol w:w="8586"/>
      </w:tblGrid>
      <w:tr w:rsidR="00BF18CF" w14:paraId="2935B40F" w14:textId="77777777" w:rsidTr="00BF18CF">
        <w:tc>
          <w:tcPr>
            <w:tcW w:w="2104" w:type="dxa"/>
          </w:tcPr>
          <w:p w14:paraId="0CA7198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86" w:type="dxa"/>
          </w:tcPr>
          <w:p w14:paraId="018A1434" w14:textId="77777777" w:rsidR="00BF18CF" w:rsidRDefault="00E51347">
            <w:r>
              <w:rPr>
                <w:rFonts w:ascii="Consolas" w:eastAsia="Consolas" w:hAnsi="Consolas" w:cs="Consolas"/>
                <w:sz w:val="22"/>
                <w:szCs w:val="22"/>
                <w:shd w:val="clear" w:color="auto" w:fill="EAEEF3"/>
              </w:rPr>
              <w:t>E1_Entité_CRM</w:t>
            </w:r>
          </w:p>
        </w:tc>
      </w:tr>
      <w:tr w:rsidR="00BF18CF" w14:paraId="4B56DCDB" w14:textId="77777777" w:rsidTr="00BF18CF">
        <w:tc>
          <w:tcPr>
            <w:tcW w:w="2104" w:type="dxa"/>
          </w:tcPr>
          <w:p w14:paraId="0C495A8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86" w:type="dxa"/>
          </w:tcPr>
          <w:p w14:paraId="7522990F" w14:textId="77777777" w:rsidR="00BF18CF" w:rsidRDefault="00E51347">
            <w:r>
              <w:rPr>
                <w:rFonts w:ascii="Consolas" w:eastAsia="Consolas" w:hAnsi="Consolas" w:cs="Consolas"/>
                <w:sz w:val="22"/>
                <w:szCs w:val="22"/>
                <w:shd w:val="clear" w:color="auto" w:fill="EAEEF3"/>
              </w:rPr>
              <w:t>E55_Type</w:t>
            </w:r>
          </w:p>
        </w:tc>
      </w:tr>
      <w:tr w:rsidR="00BF18CF" w14:paraId="0D34C7E7" w14:textId="77777777" w:rsidTr="00BF18CF">
        <w:tc>
          <w:tcPr>
            <w:tcW w:w="2104" w:type="dxa"/>
          </w:tcPr>
          <w:p w14:paraId="5E639E4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86" w:type="dxa"/>
          </w:tcPr>
          <w:p w14:paraId="2EBC69D4" w14:textId="77777777" w:rsidR="00BF18CF" w:rsidRDefault="00BF18CF">
            <w:pPr>
              <w:pBdr>
                <w:top w:val="nil"/>
                <w:left w:val="nil"/>
                <w:bottom w:val="nil"/>
                <w:right w:val="nil"/>
                <w:between w:val="nil"/>
              </w:pBdr>
              <w:spacing w:before="36" w:after="36"/>
              <w:rPr>
                <w:color w:val="000000"/>
              </w:rPr>
            </w:pPr>
          </w:p>
        </w:tc>
      </w:tr>
      <w:tr w:rsidR="00BF18CF" w14:paraId="7A02BF6A" w14:textId="77777777" w:rsidTr="00BF18CF">
        <w:tc>
          <w:tcPr>
            <w:tcW w:w="2104" w:type="dxa"/>
          </w:tcPr>
          <w:p w14:paraId="3CE5B33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86" w:type="dxa"/>
          </w:tcPr>
          <w:p w14:paraId="531A58EB"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P137_exemplifie (est_exemplifié_par)</w:t>
            </w:r>
            <w:r>
              <w:t xml:space="preserve"> : </w:t>
            </w:r>
            <w:r>
              <w:rPr>
                <w:rFonts w:ascii="Consolas" w:eastAsia="Consolas" w:hAnsi="Consolas" w:cs="Consolas"/>
                <w:sz w:val="22"/>
                <w:szCs w:val="22"/>
                <w:shd w:val="clear" w:color="auto" w:fill="EAEEF3"/>
              </w:rPr>
              <w:t>E55_Type</w:t>
            </w:r>
          </w:p>
          <w:p w14:paraId="34D211D4" w14:textId="77777777" w:rsidR="00BF18CF" w:rsidRDefault="00E51347">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P177_a_assigné_le_type_de_propriété (est_le_type_de_la_propriété_assigné)</w:t>
            </w:r>
            <w:r>
              <w:t xml:space="preserve"> : </w:t>
            </w:r>
            <w:r>
              <w:rPr>
                <w:rFonts w:ascii="Consolas" w:eastAsia="Consolas" w:hAnsi="Consolas" w:cs="Consolas"/>
                <w:sz w:val="22"/>
                <w:szCs w:val="22"/>
                <w:shd w:val="clear" w:color="auto" w:fill="EAEEF3"/>
              </w:rPr>
              <w:t>E55_Type</w:t>
            </w:r>
          </w:p>
        </w:tc>
      </w:tr>
      <w:tr w:rsidR="00BF18CF" w14:paraId="0D834D39" w14:textId="77777777" w:rsidTr="00BF18CF">
        <w:tc>
          <w:tcPr>
            <w:tcW w:w="2104" w:type="dxa"/>
          </w:tcPr>
          <w:p w14:paraId="567637B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86" w:type="dxa"/>
          </w:tcPr>
          <w:p w14:paraId="1043A0FA" w14:textId="77777777" w:rsidR="00BF18CF" w:rsidRDefault="00E51347">
            <w:proofErr w:type="gramStart"/>
            <w:r>
              <w:t>plusieurs</w:t>
            </w:r>
            <w:proofErr w:type="gramEnd"/>
            <w:r>
              <w:t xml:space="preserve"> à plusieurs (0,n:0,n)</w:t>
            </w:r>
          </w:p>
        </w:tc>
      </w:tr>
      <w:tr w:rsidR="00BF18CF" w14:paraId="32E23DD8" w14:textId="77777777" w:rsidTr="00BF18CF">
        <w:tc>
          <w:tcPr>
            <w:tcW w:w="2104" w:type="dxa"/>
          </w:tcPr>
          <w:p w14:paraId="0136323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86" w:type="dxa"/>
          </w:tcPr>
          <w:p w14:paraId="17322049" w14:textId="77777777" w:rsidR="00BF18CF" w:rsidRDefault="00E51347">
            <w:r>
              <w:t>Cette propriété permet le sous-typage d’entités du CIDOC CRM — une forme de spécialisation — grâce à l’utilisation d’un thésaurus ou d’une hiérarchie terminologique.</w:t>
            </w:r>
          </w:p>
          <w:p w14:paraId="790D46FE" w14:textId="77777777" w:rsidR="00BF18CF" w:rsidRDefault="00E51347">
            <w:r>
              <w:t xml:space="preserve">Le CIDOC CRM porte principalement sur les entités de haut niveau et les relations qui sont nécessaires à la description des structures de données. À cet égard, le modèle ne précise pas les entités par des spécialisations supplémentaires au-delà de ce qui est nécessaire à ses objectifs. Les entités relevant d’une hiérarchie </w:t>
            </w:r>
            <w:r>
              <w:rPr>
                <w:rFonts w:ascii="Consolas" w:eastAsia="Consolas" w:hAnsi="Consolas" w:cs="Consolas"/>
                <w:sz w:val="22"/>
                <w:szCs w:val="22"/>
                <w:shd w:val="clear" w:color="auto" w:fill="EAEEF3"/>
              </w:rPr>
              <w:t>estUn</w:t>
            </w:r>
            <w:r>
              <w:t xml:space="preserve"> peuvent néanmoins être précisées par plusieurs sous-entités qui peuvent </w:t>
            </w:r>
            <w:r>
              <w:lastRenderedPageBreak/>
              <w:t xml:space="preserve">être définies dans une hiérarchie de </w:t>
            </w:r>
            <w:r>
              <w:rPr>
                <w:rFonts w:ascii="Consolas" w:eastAsia="Consolas" w:hAnsi="Consolas" w:cs="Consolas"/>
                <w:sz w:val="22"/>
                <w:szCs w:val="22"/>
                <w:shd w:val="clear" w:color="auto" w:fill="EAEEF3"/>
              </w:rPr>
              <w:t>E55_Type</w:t>
            </w:r>
            <w:r>
              <w:t xml:space="preserve">. Par exemple, </w:t>
            </w:r>
            <w:r>
              <w:rPr>
                <w:rFonts w:ascii="Consolas" w:eastAsia="Consolas" w:hAnsi="Consolas" w:cs="Consolas"/>
                <w:sz w:val="22"/>
                <w:szCs w:val="22"/>
                <w:shd w:val="clear" w:color="auto" w:fill="EAEEF3"/>
              </w:rPr>
              <w:t>E41_Appellation</w:t>
            </w:r>
            <w:r>
              <w:t xml:space="preserve"> peut être précisée [n.d.t. des types] « adresse courriel », « numéro de téléphone », « boîte postale » ou « URL » sans que ceux-ci ne se trouvent explicitement dans la hiérarchie du CIDOC CRM.</w:t>
            </w:r>
          </w:p>
          <w:p w14:paraId="0D6965A4" w14:textId="77777777" w:rsidR="00BF18CF" w:rsidRDefault="00E51347">
            <w:r>
              <w:t xml:space="preserve">Une explication exhaustive de la manière de préciser des concepts du CIDOC CRM en utilisant la classe </w:t>
            </w:r>
            <w:r>
              <w:rPr>
                <w:rFonts w:ascii="Consolas" w:eastAsia="Consolas" w:hAnsi="Consolas" w:cs="Consolas"/>
                <w:sz w:val="22"/>
                <w:szCs w:val="22"/>
                <w:shd w:val="clear" w:color="auto" w:fill="EAEEF3"/>
              </w:rPr>
              <w:t>E55_Type</w:t>
            </w:r>
            <w:r>
              <w:t xml:space="preserve"> se trouve dans la sous-section « Des types » de la section « Construits spécifiques de modélisation ».</w:t>
            </w:r>
          </w:p>
          <w:p w14:paraId="1F6CFAE7" w14:textId="77777777" w:rsidR="00BF18CF" w:rsidRDefault="00E51347">
            <w:r>
              <w:rPr>
                <w:rFonts w:ascii="Consolas" w:eastAsia="Consolas" w:hAnsi="Consolas" w:cs="Consolas"/>
                <w:sz w:val="22"/>
                <w:szCs w:val="22"/>
                <w:shd w:val="clear" w:color="auto" w:fill="EAEEF3"/>
              </w:rPr>
              <w:t>P2_a_pour_type (est_le_type_de)</w:t>
            </w:r>
            <w:r>
              <w:t xml:space="preserve"> est un raccourci du chemin sémantique suivant :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P41i_a_été_classifié_par</w:t>
            </w:r>
            <w:r>
              <w:t xml:space="preserve">, </w:t>
            </w:r>
            <w:r>
              <w:rPr>
                <w:rFonts w:ascii="Consolas" w:eastAsia="Consolas" w:hAnsi="Consolas" w:cs="Consolas"/>
                <w:sz w:val="22"/>
                <w:szCs w:val="22"/>
                <w:shd w:val="clear" w:color="auto" w:fill="EAEEF3"/>
              </w:rPr>
              <w:t>E17_Assignation_de_type</w:t>
            </w:r>
            <w:r>
              <w:t xml:space="preserve">, </w:t>
            </w:r>
            <w:r>
              <w:rPr>
                <w:rFonts w:ascii="Consolas" w:eastAsia="Consolas" w:hAnsi="Consolas" w:cs="Consolas"/>
                <w:sz w:val="22"/>
                <w:szCs w:val="22"/>
                <w:shd w:val="clear" w:color="auto" w:fill="EAEEF3"/>
              </w:rPr>
              <w:t>P42_a_assigné</w:t>
            </w:r>
            <w:r>
              <w:t xml:space="preserve">, </w:t>
            </w:r>
            <w:r>
              <w:rPr>
                <w:rFonts w:ascii="Consolas" w:eastAsia="Consolas" w:hAnsi="Consolas" w:cs="Consolas"/>
                <w:sz w:val="22"/>
                <w:szCs w:val="22"/>
                <w:shd w:val="clear" w:color="auto" w:fill="EAEEF3"/>
              </w:rPr>
              <w:t>E55_Type</w:t>
            </w:r>
            <w:r>
              <w:t>.</w:t>
            </w:r>
          </w:p>
        </w:tc>
      </w:tr>
      <w:tr w:rsidR="00BF18CF" w14:paraId="74B86C25" w14:textId="77777777" w:rsidTr="00BF18CF">
        <w:tc>
          <w:tcPr>
            <w:tcW w:w="2104" w:type="dxa"/>
          </w:tcPr>
          <w:p w14:paraId="2C6B5DB6"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86" w:type="dxa"/>
          </w:tcPr>
          <w:p w14:paraId="2DF6EB95" w14:textId="77777777" w:rsidR="00BF18CF" w:rsidRDefault="00E51347">
            <w:pPr>
              <w:numPr>
                <w:ilvl w:val="0"/>
                <w:numId w:val="19"/>
              </w:numPr>
            </w:pPr>
            <w:r>
              <w:t>« </w:t>
            </w:r>
            <w:proofErr w:type="gramStart"/>
            <w:r>
              <w:t>enquiries@cidoc-crm.org</w:t>
            </w:r>
            <w:proofErr w:type="gramEnd"/>
            <w:r>
              <w:t> » (</w:t>
            </w:r>
            <w:r>
              <w:rPr>
                <w:rFonts w:ascii="Consolas" w:eastAsia="Consolas" w:hAnsi="Consolas" w:cs="Consolas"/>
                <w:sz w:val="22"/>
                <w:szCs w:val="22"/>
                <w:shd w:val="clear" w:color="auto" w:fill="EAEEF3"/>
              </w:rPr>
              <w:t>E41_Appellation</w:t>
            </w:r>
            <w:r>
              <w:t>) a pour type (</w:t>
            </w:r>
            <w:r>
              <w:rPr>
                <w:rFonts w:ascii="Consolas" w:eastAsia="Consolas" w:hAnsi="Consolas" w:cs="Consolas"/>
                <w:sz w:val="22"/>
                <w:szCs w:val="22"/>
                <w:shd w:val="clear" w:color="auto" w:fill="EAEEF3"/>
              </w:rPr>
              <w:t>P2_a_pour_type</w:t>
            </w:r>
            <w:r>
              <w:t>) adresse courriel (</w:t>
            </w:r>
            <w:r>
              <w:rPr>
                <w:rFonts w:ascii="Consolas" w:eastAsia="Consolas" w:hAnsi="Consolas" w:cs="Consolas"/>
                <w:sz w:val="22"/>
                <w:szCs w:val="22"/>
                <w:shd w:val="clear" w:color="auto" w:fill="EAEEF3"/>
              </w:rPr>
              <w:t>E55_Type</w:t>
            </w:r>
            <w:r>
              <w:t>) (fictive)</w:t>
            </w:r>
          </w:p>
        </w:tc>
      </w:tr>
      <w:tr w:rsidR="00BF18CF" w14:paraId="5D561DA7" w14:textId="77777777" w:rsidTr="00BF18CF">
        <w:tc>
          <w:tcPr>
            <w:tcW w:w="2104" w:type="dxa"/>
          </w:tcPr>
          <w:p w14:paraId="6219D06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86" w:type="dxa"/>
          </w:tcPr>
          <w:p w14:paraId="135D277C" w14:textId="77777777" w:rsidR="00BF18CF" w:rsidRDefault="00E51347">
            <w:r>
              <w:t>P2(</w:t>
            </w:r>
            <w:proofErr w:type="gramStart"/>
            <w:r>
              <w:t>x,y</w:t>
            </w:r>
            <w:proofErr w:type="gramEnd"/>
            <w:r>
              <w:t>) ⇒ E1(x)</w:t>
            </w:r>
          </w:p>
          <w:p w14:paraId="77C083A1" w14:textId="77777777" w:rsidR="00BF18CF" w:rsidRDefault="00E51347">
            <w:r>
              <w:t>P2(</w:t>
            </w:r>
            <w:proofErr w:type="gramStart"/>
            <w:r>
              <w:t>x,y</w:t>
            </w:r>
            <w:proofErr w:type="gramEnd"/>
            <w:r>
              <w:t>) ⇒ E55(y)</w:t>
            </w:r>
          </w:p>
          <w:p w14:paraId="2F86B18C" w14:textId="77777777" w:rsidR="00BF18CF" w:rsidRDefault="00E51347">
            <w:r>
              <w:t>P2(</w:t>
            </w:r>
            <w:proofErr w:type="gramStart"/>
            <w:r>
              <w:t>x,y</w:t>
            </w:r>
            <w:proofErr w:type="gramEnd"/>
            <w:r>
              <w:t>) ⇐ (∃z) [E17(z)] ˄ P41i(x,z) ˄ P42(z,y)]</w:t>
            </w:r>
          </w:p>
        </w:tc>
      </w:tr>
      <w:tr w:rsidR="00BF18CF" w14:paraId="6B9FD125" w14:textId="77777777" w:rsidTr="00BF18CF">
        <w:tc>
          <w:tcPr>
            <w:tcW w:w="2104" w:type="dxa"/>
          </w:tcPr>
          <w:p w14:paraId="4BBC68A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86" w:type="dxa"/>
          </w:tcPr>
          <w:p w14:paraId="1608D353" w14:textId="77777777" w:rsidR="00BF18CF" w:rsidRDefault="00BF18CF">
            <w:pPr>
              <w:pBdr>
                <w:top w:val="nil"/>
                <w:left w:val="nil"/>
                <w:bottom w:val="nil"/>
                <w:right w:val="nil"/>
                <w:between w:val="nil"/>
              </w:pBdr>
              <w:spacing w:before="36" w:after="36"/>
              <w:rPr>
                <w:color w:val="000000"/>
              </w:rPr>
            </w:pPr>
          </w:p>
        </w:tc>
      </w:tr>
      <w:tr w:rsidR="00BF18CF" w14:paraId="743F1A54" w14:textId="77777777" w:rsidTr="00BF18CF">
        <w:tc>
          <w:tcPr>
            <w:tcW w:w="2104" w:type="dxa"/>
          </w:tcPr>
          <w:p w14:paraId="6D2768E8" w14:textId="7B622E5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86" w:type="dxa"/>
          </w:tcPr>
          <w:p w14:paraId="1BF07ED9" w14:textId="77777777" w:rsidR="00BF18CF" w:rsidRDefault="00E51347">
            <w:r>
              <w:t>Dans des phrases telles que « Consequently, it does not specialise entities any further than is required for this immediate purpose », le terme « specialise » a été traduit par « précise » car il s’agit d’une clarification de type plutôt que de d’espèces ou de connaissances.</w:t>
            </w:r>
          </w:p>
        </w:tc>
      </w:tr>
      <w:tr w:rsidR="00BF18CF" w14:paraId="686E5A59" w14:textId="77777777" w:rsidTr="00BF18CF">
        <w:tc>
          <w:tcPr>
            <w:tcW w:w="2104" w:type="dxa"/>
          </w:tcPr>
          <w:p w14:paraId="33E1FE01"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86" w:type="dxa"/>
          </w:tcPr>
          <w:p w14:paraId="7FDA3F01" w14:textId="77777777" w:rsidR="00BF18CF" w:rsidRDefault="00E51347">
            <w:r>
              <w:t xml:space="preserve">Antidote. « </w:t>
            </w:r>
            <w:proofErr w:type="gramStart"/>
            <w:r>
              <w:t>précision</w:t>
            </w:r>
            <w:proofErr w:type="gramEnd"/>
            <w:r>
              <w:t xml:space="preserve"> ». Dans </w:t>
            </w:r>
            <w:r>
              <w:rPr>
                <w:i/>
              </w:rPr>
              <w:t>Antidote</w:t>
            </w:r>
            <w:r>
              <w:t>. Montreal, CA-QC: Druide Informatique, 2022.</w:t>
            </w:r>
          </w:p>
          <w:p w14:paraId="72B016FA" w14:textId="77777777" w:rsidR="00BF18CF" w:rsidRDefault="00E51347">
            <w:r>
              <w:t xml:space="preserve">———. « </w:t>
            </w:r>
            <w:proofErr w:type="gramStart"/>
            <w:r>
              <w:t>spécialisation</w:t>
            </w:r>
            <w:proofErr w:type="gramEnd"/>
            <w:r>
              <w:t xml:space="preserve"> ». Dans </w:t>
            </w:r>
            <w:r>
              <w:rPr>
                <w:i/>
              </w:rPr>
              <w:t>Antidote</w:t>
            </w:r>
            <w:r>
              <w:t>. Montreal, CA-QC: Druide Informatique, 2022.</w:t>
            </w:r>
            <w:hyperlink r:id="rId402">
              <w:r>
                <w:rPr>
                  <w:color w:val="4F81BD"/>
                </w:rPr>
                <w:t xml:space="preserve"> https://antidote.app/dictionnaires/fr/definitions/FRUAgAAAABGUgBDZAAAQ2QAAC0AAACDTm9thmFjdGFudICAgA%3D%3Dd707/RlLvh7cyNTY2N%2B%2BHt05vbQ%3D%3D/RlLvh7cyNTY2N%2B%2BHt05vbe%2BHt2FjdGFudO%2BHt2FjdGFudA%3D%3D</w:t>
              </w:r>
            </w:hyperlink>
            <w:r>
              <w:t>.</w:t>
            </w:r>
          </w:p>
        </w:tc>
      </w:tr>
    </w:tbl>
    <w:p w14:paraId="6C8CE6F7" w14:textId="77777777" w:rsidR="00BF18CF" w:rsidRDefault="00E51347">
      <w:pPr>
        <w:pStyle w:val="Heading3"/>
      </w:pPr>
      <w:bookmarkStart w:id="269" w:name="bookmark=id.3dhjn8m" w:colFirst="0" w:colLast="0"/>
      <w:bookmarkStart w:id="270" w:name="_Toc144360878"/>
      <w:bookmarkEnd w:id="269"/>
      <w:r>
        <w:t>P3 a pour note</w:t>
      </w:r>
      <w:bookmarkEnd w:id="270"/>
    </w:p>
    <w:tbl>
      <w:tblPr>
        <w:tblStyle w:val="af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3"/>
        <w:gridCol w:w="8797"/>
      </w:tblGrid>
      <w:tr w:rsidR="00BF18CF" w14:paraId="52FDD341" w14:textId="77777777" w:rsidTr="00BF18CF">
        <w:tc>
          <w:tcPr>
            <w:tcW w:w="1893" w:type="dxa"/>
          </w:tcPr>
          <w:p w14:paraId="74857B60"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7" w:type="dxa"/>
          </w:tcPr>
          <w:p w14:paraId="3FDB1693" w14:textId="77777777" w:rsidR="00BF18CF" w:rsidRDefault="00E51347">
            <w:r>
              <w:rPr>
                <w:rFonts w:ascii="Consolas" w:eastAsia="Consolas" w:hAnsi="Consolas" w:cs="Consolas"/>
                <w:sz w:val="22"/>
                <w:szCs w:val="22"/>
                <w:shd w:val="clear" w:color="auto" w:fill="EAEEF3"/>
              </w:rPr>
              <w:t>E1_Entité_CRM</w:t>
            </w:r>
          </w:p>
        </w:tc>
      </w:tr>
      <w:tr w:rsidR="00BF18CF" w14:paraId="23F2E772" w14:textId="77777777" w:rsidTr="00BF18CF">
        <w:tc>
          <w:tcPr>
            <w:tcW w:w="1893" w:type="dxa"/>
          </w:tcPr>
          <w:p w14:paraId="6E9E33E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7" w:type="dxa"/>
          </w:tcPr>
          <w:p w14:paraId="46396C0C" w14:textId="77777777" w:rsidR="00BF18CF" w:rsidRDefault="00E51347">
            <w:r>
              <w:rPr>
                <w:rFonts w:ascii="Consolas" w:eastAsia="Consolas" w:hAnsi="Consolas" w:cs="Consolas"/>
                <w:sz w:val="22"/>
                <w:szCs w:val="22"/>
                <w:shd w:val="clear" w:color="auto" w:fill="EAEEF3"/>
              </w:rPr>
              <w:t>E62_Chaîne_de_caractères</w:t>
            </w:r>
          </w:p>
        </w:tc>
      </w:tr>
      <w:tr w:rsidR="00BF18CF" w14:paraId="058A6CCB" w14:textId="77777777" w:rsidTr="00BF18CF">
        <w:tc>
          <w:tcPr>
            <w:tcW w:w="1893" w:type="dxa"/>
          </w:tcPr>
          <w:p w14:paraId="38A5C726"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7" w:type="dxa"/>
          </w:tcPr>
          <w:p w14:paraId="4AD5C243" w14:textId="77777777" w:rsidR="00BF18CF" w:rsidRDefault="00E51347">
            <w:r>
              <w:t>-</w:t>
            </w:r>
          </w:p>
        </w:tc>
      </w:tr>
      <w:tr w:rsidR="00BF18CF" w14:paraId="72C7EFCF" w14:textId="77777777" w:rsidTr="00BF18CF">
        <w:tc>
          <w:tcPr>
            <w:tcW w:w="1893" w:type="dxa"/>
          </w:tcPr>
          <w:p w14:paraId="2A7C632A"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7" w:type="dxa"/>
          </w:tcPr>
          <w:p w14:paraId="00F51DAD" w14:textId="77777777" w:rsidR="00BF18CF" w:rsidRDefault="00E51347">
            <w:r>
              <w:rPr>
                <w:rFonts w:ascii="Consolas" w:eastAsia="Consolas" w:hAnsi="Consolas" w:cs="Consolas"/>
                <w:sz w:val="22"/>
                <w:szCs w:val="22"/>
                <w:shd w:val="clear" w:color="auto" w:fill="EAEEF3"/>
              </w:rPr>
              <w:t>E52_Intervalle_temporel</w:t>
            </w:r>
            <w:r>
              <w:t xml:space="preserve">. </w:t>
            </w:r>
            <w:r>
              <w:rPr>
                <w:rFonts w:ascii="Consolas" w:eastAsia="Consolas" w:hAnsi="Consolas" w:cs="Consolas"/>
                <w:sz w:val="22"/>
                <w:szCs w:val="22"/>
                <w:shd w:val="clear" w:color="auto" w:fill="EAEEF3"/>
              </w:rPr>
              <w:t>P79_a_son_début_qualifié_par</w:t>
            </w:r>
            <w:r>
              <w:t xml:space="preserve"> : </w:t>
            </w:r>
            <w:r>
              <w:rPr>
                <w:rFonts w:ascii="Consolas" w:eastAsia="Consolas" w:hAnsi="Consolas" w:cs="Consolas"/>
                <w:sz w:val="22"/>
                <w:szCs w:val="22"/>
                <w:shd w:val="clear" w:color="auto" w:fill="EAEEF3"/>
              </w:rPr>
              <w:t>E62_Chaîne_de_caractères</w:t>
            </w:r>
          </w:p>
          <w:p w14:paraId="56801A09" w14:textId="77777777" w:rsidR="00BF18CF" w:rsidRDefault="00E51347">
            <w:r>
              <w:rPr>
                <w:rFonts w:ascii="Consolas" w:eastAsia="Consolas" w:hAnsi="Consolas" w:cs="Consolas"/>
                <w:sz w:val="22"/>
                <w:szCs w:val="22"/>
                <w:shd w:val="clear" w:color="auto" w:fill="EAEEF3"/>
              </w:rPr>
              <w:t>E52_Intervalle_temporel</w:t>
            </w:r>
            <w:r>
              <w:t xml:space="preserve">. </w:t>
            </w:r>
            <w:r>
              <w:rPr>
                <w:rFonts w:ascii="Consolas" w:eastAsia="Consolas" w:hAnsi="Consolas" w:cs="Consolas"/>
                <w:sz w:val="22"/>
                <w:szCs w:val="22"/>
                <w:shd w:val="clear" w:color="auto" w:fill="EAEEF3"/>
              </w:rPr>
              <w:t>P80_a_sa_fin_qualifiée_par</w:t>
            </w:r>
            <w:r>
              <w:t xml:space="preserve"> : </w:t>
            </w:r>
            <w:r>
              <w:rPr>
                <w:rFonts w:ascii="Consolas" w:eastAsia="Consolas" w:hAnsi="Consolas" w:cs="Consolas"/>
                <w:sz w:val="22"/>
                <w:szCs w:val="22"/>
                <w:shd w:val="clear" w:color="auto" w:fill="EAEEF3"/>
              </w:rPr>
              <w:t>E62_Chaîne_de_caractères</w:t>
            </w:r>
          </w:p>
          <w:p w14:paraId="0B73C136" w14:textId="77777777" w:rsidR="00BF18CF" w:rsidRDefault="00E51347">
            <w:r>
              <w:rPr>
                <w:rFonts w:ascii="Consolas" w:eastAsia="Consolas" w:hAnsi="Consolas" w:cs="Consolas"/>
                <w:sz w:val="22"/>
                <w:szCs w:val="22"/>
                <w:shd w:val="clear" w:color="auto" w:fill="EAEEF3"/>
              </w:rPr>
              <w:lastRenderedPageBreak/>
              <w:t>E90_Objet_symbolique</w:t>
            </w:r>
            <w:r>
              <w:t xml:space="preserve">. </w:t>
            </w:r>
            <w:r>
              <w:rPr>
                <w:rFonts w:ascii="Consolas" w:eastAsia="Consolas" w:hAnsi="Consolas" w:cs="Consolas"/>
                <w:sz w:val="22"/>
                <w:szCs w:val="22"/>
                <w:shd w:val="clear" w:color="auto" w:fill="EAEEF3"/>
              </w:rPr>
              <w:t>P190_a_pour_contenu_symbolique</w:t>
            </w:r>
            <w:r>
              <w:t xml:space="preserve"> : </w:t>
            </w:r>
            <w:r>
              <w:rPr>
                <w:rFonts w:ascii="Consolas" w:eastAsia="Consolas" w:hAnsi="Consolas" w:cs="Consolas"/>
                <w:sz w:val="22"/>
                <w:szCs w:val="22"/>
                <w:shd w:val="clear" w:color="auto" w:fill="EAEEF3"/>
              </w:rPr>
              <w:t>E62_Chaîne_de_caractères</w:t>
            </w:r>
          </w:p>
        </w:tc>
      </w:tr>
      <w:tr w:rsidR="00BF18CF" w14:paraId="00E6A8E7" w14:textId="77777777" w:rsidTr="00BF18CF">
        <w:tc>
          <w:tcPr>
            <w:tcW w:w="1893" w:type="dxa"/>
          </w:tcPr>
          <w:p w14:paraId="7B47C511"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797" w:type="dxa"/>
          </w:tcPr>
          <w:p w14:paraId="0B601A89" w14:textId="77777777" w:rsidR="00BF18CF" w:rsidRDefault="00E51347">
            <w:proofErr w:type="gramStart"/>
            <w:r>
              <w:t>un</w:t>
            </w:r>
            <w:proofErr w:type="gramEnd"/>
            <w:r>
              <w:t xml:space="preserve"> à plusieurs (0,n:0,1)</w:t>
            </w:r>
          </w:p>
        </w:tc>
      </w:tr>
      <w:tr w:rsidR="00BF18CF" w14:paraId="05437C9F" w14:textId="77777777" w:rsidTr="00BF18CF">
        <w:tc>
          <w:tcPr>
            <w:tcW w:w="1893" w:type="dxa"/>
          </w:tcPr>
          <w:p w14:paraId="2BEA631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7" w:type="dxa"/>
          </w:tcPr>
          <w:p w14:paraId="59E718AE" w14:textId="77777777" w:rsidR="00BF18CF" w:rsidRDefault="00E51347">
            <w:r>
              <w:t>Cette propriété renferme toutes les descriptions informelles d’un objet qui n’ont pas été exprimées selon les structures du CIDOC CRM.</w:t>
            </w:r>
          </w:p>
          <w:p w14:paraId="11AAB593" w14:textId="77777777" w:rsidR="00BF18CF" w:rsidRDefault="00E51347">
            <w:r>
              <w:t>En particulier, elle documente les informations qui caractérisent l’entité elle-même, comme sa structure interne, son apparence, etc. Ainsi, une entité peut posséder plusieurs notes, mais une note est rattachée à une seule entité.</w:t>
            </w:r>
          </w:p>
          <w:p w14:paraId="5D0488D7" w14:textId="77777777" w:rsidR="00BF18CF" w:rsidRDefault="00E51347">
            <w:r>
              <w:t xml:space="preserve">Tout comme la propriété </w:t>
            </w:r>
            <w:r>
              <w:rPr>
                <w:rFonts w:ascii="Consolas" w:eastAsia="Consolas" w:hAnsi="Consolas" w:cs="Consolas"/>
                <w:sz w:val="22"/>
                <w:szCs w:val="22"/>
                <w:shd w:val="clear" w:color="auto" w:fill="EAEEF3"/>
              </w:rPr>
              <w:t>P2_a_pour_type (est_le_type_de)</w:t>
            </w:r>
            <w:r>
              <w:t>, cette propriété est une conséquence de la portée restreinte du CIDOC CRM dont le but n’est pas de documenter, sous une forme structurée, tout ce qui peut être énoncé à propos d’une entité. En effet, le formalisme du CIDOC CRM n’est pas considéré comme suffisant pour exprimer tout ce qui peut être dit.</w:t>
            </w:r>
          </w:p>
          <w:p w14:paraId="1202820A" w14:textId="77777777" w:rsidR="00BF18CF" w:rsidRDefault="00E51347">
            <w:r>
              <w:t xml:space="preserve">Une bonne pratique nécessite l’utilisation de champs de notes distincts pour les différents aspects de la caractérisation d’une entité. La propriété </w:t>
            </w:r>
            <w:r>
              <w:rPr>
                <w:rFonts w:ascii="Consolas" w:eastAsia="Consolas" w:hAnsi="Consolas" w:cs="Consolas"/>
                <w:sz w:val="22"/>
                <w:szCs w:val="22"/>
                <w:shd w:val="clear" w:color="auto" w:fill="EAEEF3"/>
              </w:rPr>
              <w:t>P3.1_has_type</w:t>
            </w:r>
            <w:r>
              <w:t xml:space="preserve">, qui a pour domaine la propriété </w:t>
            </w:r>
            <w:r>
              <w:rPr>
                <w:rFonts w:ascii="Consolas" w:eastAsia="Consolas" w:hAnsi="Consolas" w:cs="Consolas"/>
                <w:sz w:val="22"/>
                <w:szCs w:val="22"/>
                <w:shd w:val="clear" w:color="auto" w:fill="EAEEF3"/>
              </w:rPr>
              <w:t>P3_has_note</w:t>
            </w:r>
            <w:r>
              <w:t>, permet la différenciation de notes spécifiques, par exemple « construction », « décoration », etc.</w:t>
            </w:r>
          </w:p>
        </w:tc>
      </w:tr>
      <w:tr w:rsidR="00BF18CF" w14:paraId="06851720" w14:textId="77777777" w:rsidTr="00BF18CF">
        <w:tc>
          <w:tcPr>
            <w:tcW w:w="1893" w:type="dxa"/>
          </w:tcPr>
          <w:p w14:paraId="0910A21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7" w:type="dxa"/>
          </w:tcPr>
          <w:p w14:paraId="5E268339" w14:textId="77777777" w:rsidR="00BF18CF" w:rsidRDefault="00E51347">
            <w:pPr>
              <w:numPr>
                <w:ilvl w:val="0"/>
                <w:numId w:val="19"/>
              </w:numPr>
            </w:pPr>
            <w:r>
              <w:t>La tasse à café « OXCMS:1983.1.1 » (</w:t>
            </w:r>
            <w:r>
              <w:rPr>
                <w:rFonts w:ascii="Consolas" w:eastAsia="Consolas" w:hAnsi="Consolas" w:cs="Consolas"/>
                <w:sz w:val="22"/>
                <w:szCs w:val="22"/>
                <w:shd w:val="clear" w:color="auto" w:fill="EAEEF3"/>
              </w:rPr>
              <w:t>E19_Objet_matériel</w:t>
            </w:r>
            <w:r>
              <w:t>) a pour note (</w:t>
            </w:r>
            <w:r>
              <w:rPr>
                <w:rFonts w:ascii="Consolas" w:eastAsia="Consolas" w:hAnsi="Consolas" w:cs="Consolas"/>
                <w:sz w:val="22"/>
                <w:szCs w:val="22"/>
                <w:shd w:val="clear" w:color="auto" w:fill="EAEEF3"/>
              </w:rPr>
              <w:t>P3_a_pour_note</w:t>
            </w:r>
            <w:r>
              <w:t>) « ébréchée sur le bord de l’anse » (</w:t>
            </w:r>
            <w:r>
              <w:rPr>
                <w:rFonts w:ascii="Consolas" w:eastAsia="Consolas" w:hAnsi="Consolas" w:cs="Consolas"/>
                <w:sz w:val="22"/>
                <w:szCs w:val="22"/>
                <w:shd w:val="clear" w:color="auto" w:fill="EAEEF3"/>
              </w:rPr>
              <w:t>E62_Chaîne_de_caractères</w:t>
            </w:r>
            <w:r>
              <w:t>) a pour type (</w:t>
            </w:r>
            <w:r>
              <w:rPr>
                <w:rFonts w:ascii="Consolas" w:eastAsia="Consolas" w:hAnsi="Consolas" w:cs="Consolas"/>
                <w:sz w:val="22"/>
                <w:szCs w:val="22"/>
                <w:shd w:val="clear" w:color="auto" w:fill="EAEEF3"/>
              </w:rPr>
              <w:t>P2_a_pour_type</w:t>
            </w:r>
            <w:r>
              <w:t>) condition (</w:t>
            </w:r>
            <w:r>
              <w:rPr>
                <w:rFonts w:ascii="Consolas" w:eastAsia="Consolas" w:hAnsi="Consolas" w:cs="Consolas"/>
                <w:sz w:val="22"/>
                <w:szCs w:val="22"/>
                <w:shd w:val="clear" w:color="auto" w:fill="EAEEF3"/>
              </w:rPr>
              <w:t>E55_Type</w:t>
            </w:r>
            <w:r>
              <w:t>)</w:t>
            </w:r>
          </w:p>
        </w:tc>
      </w:tr>
      <w:tr w:rsidR="00BF18CF" w14:paraId="275BD343" w14:textId="77777777" w:rsidTr="00BF18CF">
        <w:tc>
          <w:tcPr>
            <w:tcW w:w="1893" w:type="dxa"/>
          </w:tcPr>
          <w:p w14:paraId="3AD4CBF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7" w:type="dxa"/>
          </w:tcPr>
          <w:p w14:paraId="10A0A190" w14:textId="77777777" w:rsidR="00BF18CF" w:rsidRDefault="00E51347">
            <w:r>
              <w:t>P3(</w:t>
            </w:r>
            <w:proofErr w:type="gramStart"/>
            <w:r>
              <w:t>x,y</w:t>
            </w:r>
            <w:proofErr w:type="gramEnd"/>
            <w:r>
              <w:t>) ⊃ E1(x)</w:t>
            </w:r>
          </w:p>
          <w:p w14:paraId="7D62CFF3" w14:textId="77777777" w:rsidR="00BF18CF" w:rsidRDefault="00E51347">
            <w:r>
              <w:t>P3(</w:t>
            </w:r>
            <w:proofErr w:type="gramStart"/>
            <w:r>
              <w:t>x,y</w:t>
            </w:r>
            <w:proofErr w:type="gramEnd"/>
            <w:r>
              <w:t>) ⊃ E62(y)</w:t>
            </w:r>
          </w:p>
          <w:p w14:paraId="52D097C9" w14:textId="77777777" w:rsidR="00BF18CF" w:rsidRDefault="00E51347">
            <w:r>
              <w:t>P3(</w:t>
            </w:r>
            <w:proofErr w:type="gramStart"/>
            <w:r>
              <w:t>x,y</w:t>
            </w:r>
            <w:proofErr w:type="gramEnd"/>
            <w:r>
              <w:t>,z) ⊃ [P3(x,y) ∧ E55(z)]</w:t>
            </w:r>
          </w:p>
        </w:tc>
      </w:tr>
      <w:tr w:rsidR="00BF18CF" w14:paraId="2C6DBD47" w14:textId="77777777" w:rsidTr="00BF18CF">
        <w:tc>
          <w:tcPr>
            <w:tcW w:w="1893" w:type="dxa"/>
          </w:tcPr>
          <w:p w14:paraId="08C471A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7" w:type="dxa"/>
          </w:tcPr>
          <w:p w14:paraId="7348017B" w14:textId="77777777" w:rsidR="00BF18CF" w:rsidRDefault="00E51347">
            <w:r>
              <w:rPr>
                <w:rFonts w:ascii="Consolas" w:eastAsia="Consolas" w:hAnsi="Consolas" w:cs="Consolas"/>
                <w:sz w:val="22"/>
                <w:szCs w:val="22"/>
                <w:shd w:val="clear" w:color="auto" w:fill="EAEEF3"/>
              </w:rPr>
              <w:t>P3.1_a_pour_type</w:t>
            </w:r>
            <w:r>
              <w:t xml:space="preserve"> : </w:t>
            </w:r>
            <w:r>
              <w:rPr>
                <w:rFonts w:ascii="Consolas" w:eastAsia="Consolas" w:hAnsi="Consolas" w:cs="Consolas"/>
                <w:sz w:val="22"/>
                <w:szCs w:val="22"/>
                <w:shd w:val="clear" w:color="auto" w:fill="EAEEF3"/>
              </w:rPr>
              <w:t>E55_Type</w:t>
            </w:r>
          </w:p>
        </w:tc>
      </w:tr>
      <w:tr w:rsidR="00BF18CF" w14:paraId="2893777F" w14:textId="77777777" w:rsidTr="00BF18CF">
        <w:tc>
          <w:tcPr>
            <w:tcW w:w="1893" w:type="dxa"/>
          </w:tcPr>
          <w:p w14:paraId="09030E5C" w14:textId="2CFB687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7" w:type="dxa"/>
          </w:tcPr>
          <w:p w14:paraId="554A906D" w14:textId="77777777" w:rsidR="00BF18CF" w:rsidRDefault="00BF18CF">
            <w:pPr>
              <w:pBdr>
                <w:top w:val="nil"/>
                <w:left w:val="nil"/>
                <w:bottom w:val="nil"/>
                <w:right w:val="nil"/>
                <w:between w:val="nil"/>
              </w:pBdr>
              <w:spacing w:before="36" w:after="36"/>
              <w:rPr>
                <w:color w:val="000000"/>
              </w:rPr>
            </w:pPr>
          </w:p>
        </w:tc>
      </w:tr>
      <w:tr w:rsidR="00BF18CF" w14:paraId="4855034B" w14:textId="77777777" w:rsidTr="00BF18CF">
        <w:tc>
          <w:tcPr>
            <w:tcW w:w="1893" w:type="dxa"/>
          </w:tcPr>
          <w:p w14:paraId="3C5C0B1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7" w:type="dxa"/>
          </w:tcPr>
          <w:p w14:paraId="32217367" w14:textId="77777777" w:rsidR="00BF18CF" w:rsidRDefault="00BF18CF">
            <w:pPr>
              <w:pBdr>
                <w:top w:val="nil"/>
                <w:left w:val="nil"/>
                <w:bottom w:val="nil"/>
                <w:right w:val="nil"/>
                <w:between w:val="nil"/>
              </w:pBdr>
              <w:spacing w:before="36" w:after="36"/>
              <w:rPr>
                <w:color w:val="000000"/>
              </w:rPr>
            </w:pPr>
          </w:p>
        </w:tc>
      </w:tr>
    </w:tbl>
    <w:p w14:paraId="006C3C07" w14:textId="77777777" w:rsidR="00BF18CF" w:rsidRDefault="00E51347">
      <w:pPr>
        <w:pStyle w:val="Heading3"/>
      </w:pPr>
      <w:bookmarkStart w:id="271" w:name="bookmark=id.1smtxgf" w:colFirst="0" w:colLast="0"/>
      <w:bookmarkStart w:id="272" w:name="_Toc144360879"/>
      <w:bookmarkEnd w:id="271"/>
      <w:r>
        <w:t>P4 a pour intervalle temporel (est l’intervalle temporel de)</w:t>
      </w:r>
      <w:bookmarkEnd w:id="272"/>
    </w:p>
    <w:tbl>
      <w:tblPr>
        <w:tblStyle w:val="a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4"/>
        <w:gridCol w:w="8806"/>
      </w:tblGrid>
      <w:tr w:rsidR="00BF18CF" w14:paraId="45DFA335" w14:textId="77777777" w:rsidTr="00BF18CF">
        <w:tc>
          <w:tcPr>
            <w:tcW w:w="1884" w:type="dxa"/>
          </w:tcPr>
          <w:p w14:paraId="53477B9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6" w:type="dxa"/>
          </w:tcPr>
          <w:p w14:paraId="785DE9CF" w14:textId="77777777" w:rsidR="00BF18CF" w:rsidRDefault="00E51347">
            <w:r>
              <w:rPr>
                <w:rFonts w:ascii="Consolas" w:eastAsia="Consolas" w:hAnsi="Consolas" w:cs="Consolas"/>
                <w:sz w:val="22"/>
                <w:szCs w:val="22"/>
                <w:shd w:val="clear" w:color="auto" w:fill="EAEEF3"/>
              </w:rPr>
              <w:t>E2_Entité_temporelle</w:t>
            </w:r>
          </w:p>
        </w:tc>
      </w:tr>
      <w:tr w:rsidR="00BF18CF" w14:paraId="69395E09" w14:textId="77777777" w:rsidTr="00BF18CF">
        <w:tc>
          <w:tcPr>
            <w:tcW w:w="1884" w:type="dxa"/>
          </w:tcPr>
          <w:p w14:paraId="2F850F9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6" w:type="dxa"/>
          </w:tcPr>
          <w:p w14:paraId="1EB38D1D" w14:textId="77777777" w:rsidR="00BF18CF" w:rsidRDefault="00E51347">
            <w:r>
              <w:rPr>
                <w:rFonts w:ascii="Consolas" w:eastAsia="Consolas" w:hAnsi="Consolas" w:cs="Consolas"/>
                <w:sz w:val="22"/>
                <w:szCs w:val="22"/>
                <w:shd w:val="clear" w:color="auto" w:fill="EAEEF3"/>
              </w:rPr>
              <w:t>E52_Intervalle_temporel</w:t>
            </w:r>
          </w:p>
        </w:tc>
      </w:tr>
      <w:tr w:rsidR="00BF18CF" w14:paraId="753F9061" w14:textId="77777777" w:rsidTr="00BF18CF">
        <w:tc>
          <w:tcPr>
            <w:tcW w:w="1884" w:type="dxa"/>
          </w:tcPr>
          <w:p w14:paraId="58D96A91"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6" w:type="dxa"/>
          </w:tcPr>
          <w:p w14:paraId="27DA1AB6" w14:textId="77777777" w:rsidR="00BF18CF" w:rsidRDefault="00BF18CF">
            <w:pPr>
              <w:pBdr>
                <w:top w:val="nil"/>
                <w:left w:val="nil"/>
                <w:bottom w:val="nil"/>
                <w:right w:val="nil"/>
                <w:between w:val="nil"/>
              </w:pBdr>
              <w:spacing w:before="36" w:after="36"/>
              <w:rPr>
                <w:color w:val="000000"/>
              </w:rPr>
            </w:pPr>
          </w:p>
        </w:tc>
      </w:tr>
      <w:tr w:rsidR="00BF18CF" w14:paraId="4E21C8FF" w14:textId="77777777" w:rsidTr="00BF18CF">
        <w:tc>
          <w:tcPr>
            <w:tcW w:w="1884" w:type="dxa"/>
          </w:tcPr>
          <w:p w14:paraId="2292D86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6" w:type="dxa"/>
          </w:tcPr>
          <w:p w14:paraId="7684579B" w14:textId="77777777" w:rsidR="00BF18CF" w:rsidRDefault="00BF18CF">
            <w:pPr>
              <w:pBdr>
                <w:top w:val="nil"/>
                <w:left w:val="nil"/>
                <w:bottom w:val="nil"/>
                <w:right w:val="nil"/>
                <w:between w:val="nil"/>
              </w:pBdr>
              <w:spacing w:before="36" w:after="36"/>
              <w:rPr>
                <w:color w:val="000000"/>
              </w:rPr>
            </w:pPr>
          </w:p>
        </w:tc>
      </w:tr>
      <w:tr w:rsidR="00BF18CF" w14:paraId="43D56D4C" w14:textId="77777777" w:rsidTr="00BF18CF">
        <w:tc>
          <w:tcPr>
            <w:tcW w:w="1884" w:type="dxa"/>
          </w:tcPr>
          <w:p w14:paraId="0128C9D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6" w:type="dxa"/>
          </w:tcPr>
          <w:p w14:paraId="14D4D3FE" w14:textId="77777777" w:rsidR="00BF18CF" w:rsidRDefault="00E51347">
            <w:proofErr w:type="gramStart"/>
            <w:r>
              <w:t>plusieurs</w:t>
            </w:r>
            <w:proofErr w:type="gramEnd"/>
            <w:r>
              <w:t xml:space="preserve"> à un, nécessaire (1,1:0,n)</w:t>
            </w:r>
          </w:p>
        </w:tc>
      </w:tr>
      <w:tr w:rsidR="00BF18CF" w14:paraId="705806AC" w14:textId="77777777" w:rsidTr="00BF18CF">
        <w:tc>
          <w:tcPr>
            <w:tcW w:w="1884" w:type="dxa"/>
          </w:tcPr>
          <w:p w14:paraId="6DCEE086"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806" w:type="dxa"/>
          </w:tcPr>
          <w:p w14:paraId="34886A05" w14:textId="77777777" w:rsidR="00BF18CF" w:rsidRDefault="00E51347">
            <w:r>
              <w:t xml:space="preserve">Cette propriété associe une instance de </w:t>
            </w:r>
            <w:r>
              <w:rPr>
                <w:rFonts w:ascii="Consolas" w:eastAsia="Consolas" w:hAnsi="Consolas" w:cs="Consolas"/>
                <w:sz w:val="22"/>
                <w:szCs w:val="22"/>
                <w:shd w:val="clear" w:color="auto" w:fill="EAEEF3"/>
              </w:rPr>
              <w:t>E2_Entité_temporelle</w:t>
            </w:r>
            <w:r>
              <w:t xml:space="preserve"> à l’instance de </w:t>
            </w:r>
            <w:r>
              <w:rPr>
                <w:rFonts w:ascii="Consolas" w:eastAsia="Consolas" w:hAnsi="Consolas" w:cs="Consolas"/>
                <w:sz w:val="22"/>
                <w:szCs w:val="22"/>
                <w:shd w:val="clear" w:color="auto" w:fill="EAEEF3"/>
              </w:rPr>
              <w:t>E52_Intervalle_temporel</w:t>
            </w:r>
            <w:r>
              <w:t xml:space="preserve"> durant laquelle elle était en cours. L’instance de </w:t>
            </w:r>
            <w:r>
              <w:rPr>
                <w:rFonts w:ascii="Consolas" w:eastAsia="Consolas" w:hAnsi="Consolas" w:cs="Consolas"/>
                <w:sz w:val="22"/>
                <w:szCs w:val="22"/>
                <w:shd w:val="clear" w:color="auto" w:fill="EAEEF3"/>
              </w:rPr>
              <w:t>E52_Intervalle_temporel</w:t>
            </w:r>
            <w:r>
              <w:t xml:space="preserve"> associée est comprise comme l’intervalle temporel réel durant lequel les phénomènes constituant l’instance de </w:t>
            </w:r>
            <w:r>
              <w:rPr>
                <w:rFonts w:ascii="Consolas" w:eastAsia="Consolas" w:hAnsi="Consolas" w:cs="Consolas"/>
                <w:sz w:val="22"/>
                <w:szCs w:val="22"/>
                <w:shd w:val="clear" w:color="auto" w:fill="EAEEF3"/>
              </w:rPr>
              <w:t>E2_Entité_temporelle</w:t>
            </w:r>
            <w:r>
              <w:t xml:space="preserve"> étaient actifs. Plus d’une instance de </w:t>
            </w:r>
            <w:r>
              <w:rPr>
                <w:rFonts w:ascii="Consolas" w:eastAsia="Consolas" w:hAnsi="Consolas" w:cs="Consolas"/>
                <w:sz w:val="22"/>
                <w:szCs w:val="22"/>
                <w:shd w:val="clear" w:color="auto" w:fill="EAEEF3"/>
              </w:rPr>
              <w:t>E2_Entité_temporelle</w:t>
            </w:r>
            <w:r>
              <w:t xml:space="preserve"> peut partager une même instance de </w:t>
            </w:r>
            <w:r>
              <w:rPr>
                <w:rFonts w:ascii="Consolas" w:eastAsia="Consolas" w:hAnsi="Consolas" w:cs="Consolas"/>
                <w:sz w:val="22"/>
                <w:szCs w:val="22"/>
                <w:shd w:val="clear" w:color="auto" w:fill="EAEEF3"/>
              </w:rPr>
              <w:t>E52_Intervalle_temporel</w:t>
            </w:r>
            <w:r>
              <w:t>, mais uniquement si elles commencent et se terminent à cause de déclarations ou d’évènements identiques.</w:t>
            </w:r>
          </w:p>
        </w:tc>
      </w:tr>
      <w:tr w:rsidR="00BF18CF" w14:paraId="6D870CEC" w14:textId="77777777" w:rsidTr="00BF18CF">
        <w:tc>
          <w:tcPr>
            <w:tcW w:w="1884" w:type="dxa"/>
          </w:tcPr>
          <w:p w14:paraId="7C04F1E9"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6" w:type="dxa"/>
          </w:tcPr>
          <w:p w14:paraId="64C17A8B" w14:textId="77777777" w:rsidR="00BF18CF" w:rsidRDefault="00E51347">
            <w:pPr>
              <w:numPr>
                <w:ilvl w:val="0"/>
                <w:numId w:val="19"/>
              </w:numPr>
            </w:pPr>
            <w:r>
              <w:t>La Conférence de Yalta (</w:t>
            </w:r>
            <w:r>
              <w:rPr>
                <w:rFonts w:ascii="Consolas" w:eastAsia="Consolas" w:hAnsi="Consolas" w:cs="Consolas"/>
                <w:sz w:val="22"/>
                <w:szCs w:val="22"/>
                <w:shd w:val="clear" w:color="auto" w:fill="EAEEF3"/>
              </w:rPr>
              <w:t>E7_Activité</w:t>
            </w:r>
            <w:r>
              <w:t>) a pour intervalle temporel (</w:t>
            </w:r>
            <w:r>
              <w:rPr>
                <w:rFonts w:ascii="Consolas" w:eastAsia="Consolas" w:hAnsi="Consolas" w:cs="Consolas"/>
                <w:sz w:val="22"/>
                <w:szCs w:val="22"/>
                <w:shd w:val="clear" w:color="auto" w:fill="EAEEF3"/>
              </w:rPr>
              <w:t>P4_a_pour_intervalle_temporel</w:t>
            </w:r>
            <w:r>
              <w:t>) l’intervalle temporel de la Conférence de Yalta (</w:t>
            </w:r>
            <w:r>
              <w:rPr>
                <w:rFonts w:ascii="Consolas" w:eastAsia="Consolas" w:hAnsi="Consolas" w:cs="Consolas"/>
                <w:sz w:val="22"/>
                <w:szCs w:val="22"/>
                <w:shd w:val="clear" w:color="auto" w:fill="EAEEF3"/>
              </w:rPr>
              <w:t>E52_Intervalle_temporel</w:t>
            </w:r>
            <w:r>
              <w:t>) (Harbutt, 2010)</w:t>
            </w:r>
          </w:p>
        </w:tc>
      </w:tr>
      <w:tr w:rsidR="00BF18CF" w14:paraId="588B388D" w14:textId="77777777" w:rsidTr="00BF18CF">
        <w:tc>
          <w:tcPr>
            <w:tcW w:w="1884" w:type="dxa"/>
          </w:tcPr>
          <w:p w14:paraId="71079F2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6" w:type="dxa"/>
          </w:tcPr>
          <w:p w14:paraId="4C72CC2E" w14:textId="77777777" w:rsidR="00BF18CF" w:rsidRDefault="00E51347">
            <w:r>
              <w:t>P4(</w:t>
            </w:r>
            <w:proofErr w:type="gramStart"/>
            <w:r>
              <w:t>x,y</w:t>
            </w:r>
            <w:proofErr w:type="gramEnd"/>
            <w:r>
              <w:t>) ⇒ E2(x)</w:t>
            </w:r>
          </w:p>
          <w:p w14:paraId="6B0FCF29" w14:textId="77777777" w:rsidR="00BF18CF" w:rsidRDefault="00E51347">
            <w:r>
              <w:t>P4(</w:t>
            </w:r>
            <w:proofErr w:type="gramStart"/>
            <w:r>
              <w:t>x,y</w:t>
            </w:r>
            <w:proofErr w:type="gramEnd"/>
            <w:r>
              <w:t>) ⇒ E52(y)</w:t>
            </w:r>
          </w:p>
        </w:tc>
      </w:tr>
      <w:tr w:rsidR="00BF18CF" w14:paraId="26616AA8" w14:textId="77777777" w:rsidTr="00BF18CF">
        <w:tc>
          <w:tcPr>
            <w:tcW w:w="1884" w:type="dxa"/>
          </w:tcPr>
          <w:p w14:paraId="70055F5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6" w:type="dxa"/>
          </w:tcPr>
          <w:p w14:paraId="1927C947" w14:textId="77777777" w:rsidR="00BF18CF" w:rsidRDefault="00BF18CF">
            <w:pPr>
              <w:pBdr>
                <w:top w:val="nil"/>
                <w:left w:val="nil"/>
                <w:bottom w:val="nil"/>
                <w:right w:val="nil"/>
                <w:between w:val="nil"/>
              </w:pBdr>
              <w:spacing w:before="36" w:after="36"/>
              <w:rPr>
                <w:color w:val="000000"/>
              </w:rPr>
            </w:pPr>
          </w:p>
        </w:tc>
      </w:tr>
      <w:tr w:rsidR="00BF18CF" w14:paraId="684517E1" w14:textId="77777777" w:rsidTr="00BF18CF">
        <w:tc>
          <w:tcPr>
            <w:tcW w:w="1884" w:type="dxa"/>
          </w:tcPr>
          <w:p w14:paraId="02457BE9" w14:textId="2750C62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6" w:type="dxa"/>
          </w:tcPr>
          <w:p w14:paraId="3EAF5B0F" w14:textId="77777777" w:rsidR="00BF18CF" w:rsidRDefault="00BF18CF">
            <w:pPr>
              <w:pBdr>
                <w:top w:val="nil"/>
                <w:left w:val="nil"/>
                <w:bottom w:val="nil"/>
                <w:right w:val="nil"/>
                <w:between w:val="nil"/>
              </w:pBdr>
              <w:spacing w:before="36" w:after="36"/>
              <w:rPr>
                <w:color w:val="000000"/>
              </w:rPr>
            </w:pPr>
          </w:p>
        </w:tc>
      </w:tr>
      <w:tr w:rsidR="00BF18CF" w14:paraId="00273514" w14:textId="77777777" w:rsidTr="00BF18CF">
        <w:tc>
          <w:tcPr>
            <w:tcW w:w="1884" w:type="dxa"/>
          </w:tcPr>
          <w:p w14:paraId="3DB203E1"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6" w:type="dxa"/>
          </w:tcPr>
          <w:p w14:paraId="714BB337" w14:textId="77777777" w:rsidR="00BF18CF" w:rsidRDefault="00BF18CF">
            <w:pPr>
              <w:pBdr>
                <w:top w:val="nil"/>
                <w:left w:val="nil"/>
                <w:bottom w:val="nil"/>
                <w:right w:val="nil"/>
                <w:between w:val="nil"/>
              </w:pBdr>
              <w:spacing w:before="36" w:after="36"/>
              <w:rPr>
                <w:color w:val="000000"/>
              </w:rPr>
            </w:pPr>
          </w:p>
        </w:tc>
      </w:tr>
    </w:tbl>
    <w:p w14:paraId="7B2BE98C" w14:textId="77777777" w:rsidR="00BF18CF" w:rsidRDefault="00E51347">
      <w:pPr>
        <w:pStyle w:val="Heading3"/>
      </w:pPr>
      <w:bookmarkStart w:id="273" w:name="bookmark=id.4cmhg48" w:colFirst="0" w:colLast="0"/>
      <w:bookmarkStart w:id="274" w:name="_Toc144360880"/>
      <w:bookmarkEnd w:id="273"/>
      <w:r>
        <w:t>P5 comprend (fait partie de)</w:t>
      </w:r>
      <w:bookmarkEnd w:id="274"/>
    </w:p>
    <w:tbl>
      <w:tblPr>
        <w:tblStyle w:val="a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8"/>
        <w:gridCol w:w="8782"/>
      </w:tblGrid>
      <w:tr w:rsidR="00BF18CF" w14:paraId="23ACB9E8" w14:textId="77777777" w:rsidTr="00BF18CF">
        <w:tc>
          <w:tcPr>
            <w:tcW w:w="1908" w:type="dxa"/>
          </w:tcPr>
          <w:p w14:paraId="5EABA34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82" w:type="dxa"/>
          </w:tcPr>
          <w:p w14:paraId="79A4004E" w14:textId="77777777" w:rsidR="00BF18CF" w:rsidRDefault="00E51347">
            <w:r>
              <w:rPr>
                <w:rFonts w:ascii="Consolas" w:eastAsia="Consolas" w:hAnsi="Consolas" w:cs="Consolas"/>
                <w:sz w:val="22"/>
                <w:szCs w:val="22"/>
                <w:shd w:val="clear" w:color="auto" w:fill="EAEEF3"/>
              </w:rPr>
              <w:t>E3_État_matériel</w:t>
            </w:r>
          </w:p>
        </w:tc>
      </w:tr>
      <w:tr w:rsidR="00BF18CF" w14:paraId="0879A7A5" w14:textId="77777777" w:rsidTr="00BF18CF">
        <w:tc>
          <w:tcPr>
            <w:tcW w:w="1908" w:type="dxa"/>
          </w:tcPr>
          <w:p w14:paraId="3464BFA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82" w:type="dxa"/>
          </w:tcPr>
          <w:p w14:paraId="1818BF90" w14:textId="77777777" w:rsidR="00BF18CF" w:rsidRDefault="00E51347">
            <w:r>
              <w:rPr>
                <w:rFonts w:ascii="Consolas" w:eastAsia="Consolas" w:hAnsi="Consolas" w:cs="Consolas"/>
                <w:sz w:val="22"/>
                <w:szCs w:val="22"/>
                <w:shd w:val="clear" w:color="auto" w:fill="EAEEF3"/>
              </w:rPr>
              <w:t>E3_État_matériel</w:t>
            </w:r>
          </w:p>
        </w:tc>
      </w:tr>
      <w:tr w:rsidR="00BF18CF" w14:paraId="3FF43908" w14:textId="77777777" w:rsidTr="00BF18CF">
        <w:tc>
          <w:tcPr>
            <w:tcW w:w="1908" w:type="dxa"/>
          </w:tcPr>
          <w:p w14:paraId="3E211E7D"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82" w:type="dxa"/>
          </w:tcPr>
          <w:p w14:paraId="179B6812" w14:textId="77777777" w:rsidR="00BF18CF" w:rsidRDefault="00BF18CF">
            <w:pPr>
              <w:pBdr>
                <w:top w:val="nil"/>
                <w:left w:val="nil"/>
                <w:bottom w:val="nil"/>
                <w:right w:val="nil"/>
                <w:between w:val="nil"/>
              </w:pBdr>
              <w:spacing w:before="36" w:after="36"/>
              <w:rPr>
                <w:color w:val="000000"/>
              </w:rPr>
            </w:pPr>
          </w:p>
        </w:tc>
      </w:tr>
      <w:tr w:rsidR="00BF18CF" w14:paraId="5C034F7C" w14:textId="77777777" w:rsidTr="00BF18CF">
        <w:tc>
          <w:tcPr>
            <w:tcW w:w="1908" w:type="dxa"/>
          </w:tcPr>
          <w:p w14:paraId="173CAE1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82" w:type="dxa"/>
          </w:tcPr>
          <w:p w14:paraId="0DF06FF2" w14:textId="77777777" w:rsidR="00BF18CF" w:rsidRDefault="00BF18CF">
            <w:pPr>
              <w:pBdr>
                <w:top w:val="nil"/>
                <w:left w:val="nil"/>
                <w:bottom w:val="nil"/>
                <w:right w:val="nil"/>
                <w:between w:val="nil"/>
              </w:pBdr>
              <w:spacing w:before="36" w:after="36"/>
              <w:rPr>
                <w:color w:val="000000"/>
              </w:rPr>
            </w:pPr>
          </w:p>
        </w:tc>
      </w:tr>
      <w:tr w:rsidR="00BF18CF" w14:paraId="150D1D58" w14:textId="77777777" w:rsidTr="00BF18CF">
        <w:tc>
          <w:tcPr>
            <w:tcW w:w="1908" w:type="dxa"/>
          </w:tcPr>
          <w:p w14:paraId="060D273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82" w:type="dxa"/>
          </w:tcPr>
          <w:p w14:paraId="41A5E9F4" w14:textId="77777777" w:rsidR="00BF18CF" w:rsidRDefault="00E51347">
            <w:proofErr w:type="gramStart"/>
            <w:r>
              <w:t>plusieurs</w:t>
            </w:r>
            <w:proofErr w:type="gramEnd"/>
            <w:r>
              <w:t xml:space="preserve"> à plusieurs (0,n:0,n)</w:t>
            </w:r>
          </w:p>
        </w:tc>
      </w:tr>
      <w:tr w:rsidR="00BF18CF" w14:paraId="0451F792" w14:textId="77777777" w:rsidTr="00BF18CF">
        <w:tc>
          <w:tcPr>
            <w:tcW w:w="1908" w:type="dxa"/>
          </w:tcPr>
          <w:p w14:paraId="332B7B6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82" w:type="dxa"/>
          </w:tcPr>
          <w:p w14:paraId="262B0939" w14:textId="77777777" w:rsidR="00BF18CF" w:rsidRDefault="00E51347">
            <w:r>
              <w:t xml:space="preserve">Cette propriété décrit la décomposition d’une instance de </w:t>
            </w:r>
            <w:r>
              <w:rPr>
                <w:rFonts w:ascii="Consolas" w:eastAsia="Consolas" w:hAnsi="Consolas" w:cs="Consolas"/>
                <w:sz w:val="22"/>
                <w:szCs w:val="22"/>
                <w:shd w:val="clear" w:color="auto" w:fill="EAEEF3"/>
              </w:rPr>
              <w:t>E3_État_matériel</w:t>
            </w:r>
            <w:r>
              <w:t xml:space="preserve"> en des états discrets et auxiliaires.</w:t>
            </w:r>
          </w:p>
          <w:p w14:paraId="5C0D9683" w14:textId="77777777" w:rsidR="00BF18CF" w:rsidRDefault="00E51347">
            <w:r>
              <w:t>On suppose que les sous-états dans lesquels l’état matériel est analysé forment un tout logique — bien que l’ensemble de ces sous-états puisse ne pas être complètement connu — et que ceux-ci sont en fait constitutifs de l’état matériel général. Par exemple, un état matériel général « en ruines » peut être décomposé en stades de décomposition individuels.</w:t>
            </w:r>
          </w:p>
          <w:p w14:paraId="10541262" w14:textId="77777777" w:rsidR="00BF18CF" w:rsidRDefault="00E51347">
            <w:r>
              <w:t>Cette propriété est transitive et non réflexive.</w:t>
            </w:r>
          </w:p>
        </w:tc>
      </w:tr>
      <w:tr w:rsidR="00BF18CF" w14:paraId="12365962" w14:textId="77777777" w:rsidTr="00BF18CF">
        <w:tc>
          <w:tcPr>
            <w:tcW w:w="1908" w:type="dxa"/>
          </w:tcPr>
          <w:p w14:paraId="579357D5"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82" w:type="dxa"/>
          </w:tcPr>
          <w:p w14:paraId="4A9D5E45" w14:textId="77777777" w:rsidR="00BF18CF" w:rsidRDefault="00E51347">
            <w:pPr>
              <w:numPr>
                <w:ilvl w:val="0"/>
                <w:numId w:val="19"/>
              </w:numPr>
            </w:pPr>
            <w:r>
              <w:t>L’état matériel des ruines du Parthénon (</w:t>
            </w:r>
            <w:r>
              <w:rPr>
                <w:rFonts w:ascii="Consolas" w:eastAsia="Consolas" w:hAnsi="Consolas" w:cs="Consolas"/>
                <w:sz w:val="22"/>
                <w:szCs w:val="22"/>
                <w:shd w:val="clear" w:color="auto" w:fill="EAEEF3"/>
              </w:rPr>
              <w:t>E3_État_matériel</w:t>
            </w:r>
            <w:r>
              <w:t>) comprend (</w:t>
            </w:r>
            <w:r>
              <w:rPr>
                <w:rFonts w:ascii="Consolas" w:eastAsia="Consolas" w:hAnsi="Consolas" w:cs="Consolas"/>
                <w:sz w:val="22"/>
                <w:szCs w:val="22"/>
                <w:shd w:val="clear" w:color="auto" w:fill="EAEEF3"/>
              </w:rPr>
              <w:t>P5_comprend</w:t>
            </w:r>
            <w:r>
              <w:t>) l’état « bombardé » à la suite de l’explosion d’un obus vénitien en 1687 (</w:t>
            </w:r>
            <w:r>
              <w:rPr>
                <w:rFonts w:ascii="Consolas" w:eastAsia="Consolas" w:hAnsi="Consolas" w:cs="Consolas"/>
                <w:sz w:val="22"/>
                <w:szCs w:val="22"/>
                <w:shd w:val="clear" w:color="auto" w:fill="EAEEF3"/>
              </w:rPr>
              <w:t>E3_État_matériel</w:t>
            </w:r>
            <w:r>
              <w:t>) (Mommsen, 1941)</w:t>
            </w:r>
          </w:p>
        </w:tc>
      </w:tr>
      <w:tr w:rsidR="00BF18CF" w14:paraId="7DF2C9FF" w14:textId="77777777" w:rsidTr="00BF18CF">
        <w:tc>
          <w:tcPr>
            <w:tcW w:w="1908" w:type="dxa"/>
          </w:tcPr>
          <w:p w14:paraId="4A0FAFA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82" w:type="dxa"/>
          </w:tcPr>
          <w:p w14:paraId="56D3B76C" w14:textId="77777777" w:rsidR="00BF18CF" w:rsidRDefault="00E51347">
            <w:r>
              <w:t>P5(</w:t>
            </w:r>
            <w:proofErr w:type="gramStart"/>
            <w:r>
              <w:t>x,y</w:t>
            </w:r>
            <w:proofErr w:type="gramEnd"/>
            <w:r>
              <w:t>) ⇒ E3(x)</w:t>
            </w:r>
          </w:p>
          <w:p w14:paraId="133084D3" w14:textId="77777777" w:rsidR="00BF18CF" w:rsidRDefault="00E51347">
            <w:r>
              <w:t>P5(</w:t>
            </w:r>
            <w:proofErr w:type="gramStart"/>
            <w:r>
              <w:t>x,y</w:t>
            </w:r>
            <w:proofErr w:type="gramEnd"/>
            <w:r>
              <w:t>) ⇒ E3(y)</w:t>
            </w:r>
          </w:p>
          <w:p w14:paraId="47645D48" w14:textId="77777777" w:rsidR="00BF18CF" w:rsidRDefault="00E51347">
            <w:r>
              <w:lastRenderedPageBreak/>
              <w:t>[P5(</w:t>
            </w:r>
            <w:proofErr w:type="gramStart"/>
            <w:r>
              <w:t>x,y</w:t>
            </w:r>
            <w:proofErr w:type="gramEnd"/>
            <w:r>
              <w:t>) ∧ P5(y,z)] ⇒ P5(x,z)</w:t>
            </w:r>
          </w:p>
          <w:p w14:paraId="705B69B2" w14:textId="77777777" w:rsidR="00BF18CF" w:rsidRDefault="00E51347">
            <w:r>
              <w:t>P5(</w:t>
            </w:r>
            <w:proofErr w:type="gramStart"/>
            <w:r>
              <w:t>x,y</w:t>
            </w:r>
            <w:proofErr w:type="gramEnd"/>
            <w:r>
              <w:t>) ⇒ ¬P5(y,x)</w:t>
            </w:r>
          </w:p>
        </w:tc>
      </w:tr>
      <w:tr w:rsidR="00BF18CF" w14:paraId="641D934C" w14:textId="77777777" w:rsidTr="00BF18CF">
        <w:tc>
          <w:tcPr>
            <w:tcW w:w="1908" w:type="dxa"/>
          </w:tcPr>
          <w:p w14:paraId="663C310C"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782" w:type="dxa"/>
          </w:tcPr>
          <w:p w14:paraId="2E328B7A" w14:textId="77777777" w:rsidR="00BF18CF" w:rsidRDefault="00BF18CF">
            <w:pPr>
              <w:pBdr>
                <w:top w:val="nil"/>
                <w:left w:val="nil"/>
                <w:bottom w:val="nil"/>
                <w:right w:val="nil"/>
                <w:between w:val="nil"/>
              </w:pBdr>
              <w:spacing w:before="36" w:after="36"/>
              <w:rPr>
                <w:color w:val="000000"/>
              </w:rPr>
            </w:pPr>
          </w:p>
        </w:tc>
      </w:tr>
      <w:tr w:rsidR="00BF18CF" w14:paraId="4F4E73E3" w14:textId="77777777" w:rsidTr="00BF18CF">
        <w:tc>
          <w:tcPr>
            <w:tcW w:w="1908" w:type="dxa"/>
          </w:tcPr>
          <w:p w14:paraId="5DA8AB7D" w14:textId="7E904C2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82" w:type="dxa"/>
          </w:tcPr>
          <w:p w14:paraId="2AC7D54B" w14:textId="77777777" w:rsidR="00BF18CF" w:rsidRDefault="00BF18CF">
            <w:pPr>
              <w:pBdr>
                <w:top w:val="nil"/>
                <w:left w:val="nil"/>
                <w:bottom w:val="nil"/>
                <w:right w:val="nil"/>
                <w:between w:val="nil"/>
              </w:pBdr>
              <w:spacing w:before="36" w:after="36"/>
              <w:rPr>
                <w:color w:val="000000"/>
              </w:rPr>
            </w:pPr>
          </w:p>
        </w:tc>
      </w:tr>
      <w:tr w:rsidR="00BF18CF" w14:paraId="79F738AC" w14:textId="77777777" w:rsidTr="00BF18CF">
        <w:tc>
          <w:tcPr>
            <w:tcW w:w="1908" w:type="dxa"/>
          </w:tcPr>
          <w:p w14:paraId="0FC0BCE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82" w:type="dxa"/>
          </w:tcPr>
          <w:p w14:paraId="701BEA44" w14:textId="77777777" w:rsidR="00BF18CF" w:rsidRDefault="00BF18CF">
            <w:pPr>
              <w:pBdr>
                <w:top w:val="nil"/>
                <w:left w:val="nil"/>
                <w:bottom w:val="nil"/>
                <w:right w:val="nil"/>
                <w:between w:val="nil"/>
              </w:pBdr>
              <w:spacing w:before="36" w:after="36"/>
              <w:rPr>
                <w:color w:val="000000"/>
              </w:rPr>
            </w:pPr>
          </w:p>
        </w:tc>
      </w:tr>
    </w:tbl>
    <w:p w14:paraId="1C4615FF" w14:textId="77777777" w:rsidR="00BF18CF" w:rsidRDefault="00E51347">
      <w:pPr>
        <w:pStyle w:val="Heading3"/>
      </w:pPr>
      <w:bookmarkStart w:id="275" w:name="bookmark=id.2rrrqc1" w:colFirst="0" w:colLast="0"/>
      <w:bookmarkStart w:id="276" w:name="_Toc144360881"/>
      <w:bookmarkEnd w:id="275"/>
      <w:r>
        <w:t>P7 a eu lieu dans (a été témoin de)</w:t>
      </w:r>
      <w:bookmarkEnd w:id="276"/>
    </w:p>
    <w:tbl>
      <w:tblPr>
        <w:tblStyle w:val="af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3"/>
        <w:gridCol w:w="8797"/>
      </w:tblGrid>
      <w:tr w:rsidR="00BF18CF" w14:paraId="26476769" w14:textId="77777777" w:rsidTr="00BF18CF">
        <w:tc>
          <w:tcPr>
            <w:tcW w:w="1893" w:type="dxa"/>
          </w:tcPr>
          <w:p w14:paraId="47C6A6B0"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7" w:type="dxa"/>
          </w:tcPr>
          <w:p w14:paraId="2AF5799E" w14:textId="77777777" w:rsidR="00BF18CF" w:rsidRDefault="00E51347">
            <w:r>
              <w:rPr>
                <w:rFonts w:ascii="Consolas" w:eastAsia="Consolas" w:hAnsi="Consolas" w:cs="Consolas"/>
                <w:sz w:val="22"/>
                <w:szCs w:val="22"/>
                <w:shd w:val="clear" w:color="auto" w:fill="EAEEF3"/>
              </w:rPr>
              <w:t>E4_Période</w:t>
            </w:r>
          </w:p>
        </w:tc>
      </w:tr>
      <w:tr w:rsidR="00BF18CF" w14:paraId="1C0A386D" w14:textId="77777777" w:rsidTr="00BF18CF">
        <w:tc>
          <w:tcPr>
            <w:tcW w:w="1893" w:type="dxa"/>
          </w:tcPr>
          <w:p w14:paraId="1C56E5C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7" w:type="dxa"/>
          </w:tcPr>
          <w:p w14:paraId="4CBA242A" w14:textId="77777777" w:rsidR="00BF18CF" w:rsidRDefault="00E51347">
            <w:r>
              <w:rPr>
                <w:rFonts w:ascii="Consolas" w:eastAsia="Consolas" w:hAnsi="Consolas" w:cs="Consolas"/>
                <w:sz w:val="22"/>
                <w:szCs w:val="22"/>
                <w:shd w:val="clear" w:color="auto" w:fill="EAEEF3"/>
              </w:rPr>
              <w:t>E53_Lieu</w:t>
            </w:r>
          </w:p>
        </w:tc>
      </w:tr>
      <w:tr w:rsidR="00BF18CF" w14:paraId="7CE80F43" w14:textId="77777777" w:rsidTr="00BF18CF">
        <w:tc>
          <w:tcPr>
            <w:tcW w:w="1893" w:type="dxa"/>
          </w:tcPr>
          <w:p w14:paraId="4F2366E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7" w:type="dxa"/>
          </w:tcPr>
          <w:p w14:paraId="1C301D7D" w14:textId="77777777" w:rsidR="00BF18CF" w:rsidRDefault="00E51347">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P161_a_pour_projection_spatiale (est_la_projection_spatiale_de)</w:t>
            </w:r>
            <w:r>
              <w:t xml:space="preserve"> : </w:t>
            </w:r>
            <w:r>
              <w:rPr>
                <w:rFonts w:ascii="Consolas" w:eastAsia="Consolas" w:hAnsi="Consolas" w:cs="Consolas"/>
                <w:sz w:val="22"/>
                <w:szCs w:val="22"/>
                <w:shd w:val="clear" w:color="auto" w:fill="EAEEF3"/>
              </w:rPr>
              <w:t>E53_Lieu</w:t>
            </w:r>
          </w:p>
        </w:tc>
      </w:tr>
      <w:tr w:rsidR="00BF18CF" w14:paraId="797EEA1C" w14:textId="77777777" w:rsidTr="00BF18CF">
        <w:tc>
          <w:tcPr>
            <w:tcW w:w="1893" w:type="dxa"/>
          </w:tcPr>
          <w:p w14:paraId="6D9E68C9"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7" w:type="dxa"/>
          </w:tcPr>
          <w:p w14:paraId="7126D323" w14:textId="77777777" w:rsidR="00BF18CF" w:rsidRDefault="00BF18CF">
            <w:pPr>
              <w:pBdr>
                <w:top w:val="nil"/>
                <w:left w:val="nil"/>
                <w:bottom w:val="nil"/>
                <w:right w:val="nil"/>
                <w:between w:val="nil"/>
              </w:pBdr>
              <w:spacing w:before="36" w:after="36"/>
              <w:rPr>
                <w:color w:val="000000"/>
              </w:rPr>
            </w:pPr>
          </w:p>
        </w:tc>
      </w:tr>
      <w:tr w:rsidR="00BF18CF" w14:paraId="04F3264F" w14:textId="77777777" w:rsidTr="00BF18CF">
        <w:tc>
          <w:tcPr>
            <w:tcW w:w="1893" w:type="dxa"/>
          </w:tcPr>
          <w:p w14:paraId="14E832E1"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7" w:type="dxa"/>
          </w:tcPr>
          <w:p w14:paraId="2AF49B36" w14:textId="77777777" w:rsidR="00BF18CF" w:rsidRDefault="00E51347">
            <w:proofErr w:type="gramStart"/>
            <w:r>
              <w:t>plusieurs</w:t>
            </w:r>
            <w:proofErr w:type="gramEnd"/>
            <w:r>
              <w:t xml:space="preserve"> à plusieurs, nécessaire (1,n:0,n)</w:t>
            </w:r>
          </w:p>
        </w:tc>
      </w:tr>
      <w:tr w:rsidR="00BF18CF" w14:paraId="75E9D3D6" w14:textId="77777777" w:rsidTr="00BF18CF">
        <w:tc>
          <w:tcPr>
            <w:tcW w:w="1893" w:type="dxa"/>
          </w:tcPr>
          <w:p w14:paraId="7F11674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7" w:type="dxa"/>
          </w:tcPr>
          <w:p w14:paraId="59B52DE5" w14:textId="77777777" w:rsidR="00BF18CF" w:rsidRDefault="00E51347">
            <w:r>
              <w:t xml:space="preserve">Cette propriété décrit la localisation spatiale d’une instance de </w:t>
            </w:r>
            <w:r>
              <w:rPr>
                <w:rFonts w:ascii="Consolas" w:eastAsia="Consolas" w:hAnsi="Consolas" w:cs="Consolas"/>
                <w:sz w:val="22"/>
                <w:szCs w:val="22"/>
                <w:shd w:val="clear" w:color="auto" w:fill="EAEEF3"/>
              </w:rPr>
              <w:t>E4_Période</w:t>
            </w:r>
            <w:r>
              <w:t>.</w:t>
            </w:r>
          </w:p>
          <w:p w14:paraId="16AE8F1F" w14:textId="77777777" w:rsidR="00BF18CF" w:rsidRDefault="00E51347">
            <w:r>
              <w:t xml:space="preserve">L’instance de </w:t>
            </w:r>
            <w:r>
              <w:rPr>
                <w:rFonts w:ascii="Consolas" w:eastAsia="Consolas" w:hAnsi="Consolas" w:cs="Consolas"/>
                <w:sz w:val="22"/>
                <w:szCs w:val="22"/>
                <w:shd w:val="clear" w:color="auto" w:fill="EAEEF3"/>
              </w:rPr>
              <w:t>E53_Lieu</w:t>
            </w:r>
            <w:r>
              <w:t xml:space="preserve"> à laquelle la propriété est liée doit être considérée comme une approximation plus large de l’étendue géométrique dans laquelle les phénomènes qui caractérisent la période en question se sont produits. Voir ci-dessous.</w:t>
            </w:r>
          </w:p>
          <w:p w14:paraId="41B56570" w14:textId="77777777" w:rsidR="00BF18CF" w:rsidRDefault="00E51347">
            <w:r>
              <w:rPr>
                <w:rFonts w:ascii="Consolas" w:eastAsia="Consolas" w:hAnsi="Consolas" w:cs="Consolas"/>
                <w:sz w:val="22"/>
                <w:szCs w:val="22"/>
                <w:shd w:val="clear" w:color="auto" w:fill="EAEEF3"/>
              </w:rPr>
              <w:t>P7_a_eu_lieu_dans (a_été_témoin_de)</w:t>
            </w:r>
            <w:r>
              <w:t xml:space="preserve"> ne véhicule aucune autre signification que le positionnement spatial d’une instance de </w:t>
            </w:r>
            <w:r>
              <w:rPr>
                <w:rFonts w:ascii="Consolas" w:eastAsia="Consolas" w:hAnsi="Consolas" w:cs="Consolas"/>
                <w:sz w:val="22"/>
                <w:szCs w:val="22"/>
                <w:shd w:val="clear" w:color="auto" w:fill="EAEEF3"/>
              </w:rPr>
              <w:t>E4_Période</w:t>
            </w:r>
            <w:r>
              <w:t xml:space="preserve"> (souvent à la surface de la terre). Par exemple, on peut dire que la période « Révolution française » a eu lieu en « France en 1789 ». On peut aussi dire que l’époque « victorienne » a eu lieu en « Grande-Bretagne de 1837 à 1901 », mais aussi dans ses colonies ainsi que d’autres parties de l’Europe et de l’Amérique du Nord. Une instance de </w:t>
            </w:r>
            <w:r>
              <w:rPr>
                <w:rFonts w:ascii="Consolas" w:eastAsia="Consolas" w:hAnsi="Consolas" w:cs="Consolas"/>
                <w:sz w:val="22"/>
                <w:szCs w:val="22"/>
                <w:shd w:val="clear" w:color="auto" w:fill="EAEEF3"/>
              </w:rPr>
              <w:t>E4_Période</w:t>
            </w:r>
            <w:r>
              <w:t xml:space="preserve"> peut avoir lieu dans plusieurs localisations qui ne sont ni adjacentes ni se chevauchent.</w:t>
            </w:r>
          </w:p>
          <w:p w14:paraId="670156F9"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E4_Période</w:t>
            </w:r>
            <w:r>
              <w:t xml:space="preserve">, </w:t>
            </w:r>
            <w:r>
              <w:rPr>
                <w:rFonts w:ascii="Consolas" w:eastAsia="Consolas" w:hAnsi="Consolas" w:cs="Consolas"/>
                <w:sz w:val="22"/>
                <w:szCs w:val="22"/>
                <w:shd w:val="clear" w:color="auto" w:fill="EAEEF3"/>
              </w:rPr>
              <w:t>P161_a_pour_projection_spatiale (est_la_projection_spatiale_de)</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P89_s’insère_dans (contient)</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E4_Période</w:t>
            </w:r>
            <w:r>
              <w:t xml:space="preserve"> est une sous-classe de </w:t>
            </w:r>
            <w:r>
              <w:rPr>
                <w:rFonts w:ascii="Consolas" w:eastAsia="Consolas" w:hAnsi="Consolas" w:cs="Consolas"/>
                <w:sz w:val="22"/>
                <w:szCs w:val="22"/>
                <w:shd w:val="clear" w:color="auto" w:fill="EAEEF3"/>
              </w:rPr>
              <w:t>E92_Volume_spatio-temporel</w:t>
            </w:r>
            <w:r>
              <w:t>.</w:t>
            </w:r>
          </w:p>
          <w:p w14:paraId="39726DC4" w14:textId="77777777" w:rsidR="00BF18CF" w:rsidRDefault="00E51347">
            <w:r>
              <w:t xml:space="preserve">Selon la définition de </w:t>
            </w:r>
            <w:r>
              <w:rPr>
                <w:rFonts w:ascii="Consolas" w:eastAsia="Consolas" w:hAnsi="Consolas" w:cs="Consolas"/>
                <w:sz w:val="22"/>
                <w:szCs w:val="22"/>
                <w:shd w:val="clear" w:color="auto" w:fill="EAEEF3"/>
              </w:rPr>
              <w:t>P161_a_pour_projection_spatiale (est_la_projection_spatiale_de)</w:t>
            </w:r>
            <w:r>
              <w:t xml:space="preserve">, une instance de </w:t>
            </w:r>
            <w:r>
              <w:rPr>
                <w:rFonts w:ascii="Consolas" w:eastAsia="Consolas" w:hAnsi="Consolas" w:cs="Consolas"/>
                <w:sz w:val="22"/>
                <w:szCs w:val="22"/>
                <w:shd w:val="clear" w:color="auto" w:fill="EAEEF3"/>
              </w:rPr>
              <w:t>E4_Période</w:t>
            </w:r>
            <w:r>
              <w:t xml:space="preserve"> a lieu sur toutes ses projections spatiales, c.-à-d. sur des instances de </w:t>
            </w:r>
            <w:r>
              <w:rPr>
                <w:rFonts w:ascii="Consolas" w:eastAsia="Consolas" w:hAnsi="Consolas" w:cs="Consolas"/>
                <w:sz w:val="22"/>
                <w:szCs w:val="22"/>
                <w:shd w:val="clear" w:color="auto" w:fill="EAEEF3"/>
              </w:rPr>
              <w:t>E53_Lieu</w:t>
            </w:r>
            <w:r>
              <w:t>. Un évènement qui se produit dans un lieu donné peut également être considéré comme se produisant dans un lieu plus vaste qui contient le premier. Par exemple, l'assaut de la Bastille le 14 juillet 1789 a eu lieu dans la région couverte par Paris en 1789, mais aussi dans la région couverte par la France en 1789.</w:t>
            </w:r>
          </w:p>
        </w:tc>
      </w:tr>
      <w:tr w:rsidR="00BF18CF" w14:paraId="4215326C" w14:textId="77777777" w:rsidTr="00BF18CF">
        <w:tc>
          <w:tcPr>
            <w:tcW w:w="1893" w:type="dxa"/>
          </w:tcPr>
          <w:p w14:paraId="2670BE91"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97" w:type="dxa"/>
          </w:tcPr>
          <w:p w14:paraId="4E4B8409" w14:textId="77777777" w:rsidR="00BF18CF" w:rsidRDefault="00E51347">
            <w:pPr>
              <w:numPr>
                <w:ilvl w:val="0"/>
                <w:numId w:val="19"/>
              </w:numPr>
            </w:pPr>
            <w:r>
              <w:t>La période « Révolution française » (</w:t>
            </w:r>
            <w:r>
              <w:rPr>
                <w:rFonts w:ascii="Consolas" w:eastAsia="Consolas" w:hAnsi="Consolas" w:cs="Consolas"/>
                <w:sz w:val="22"/>
                <w:szCs w:val="22"/>
                <w:shd w:val="clear" w:color="auto" w:fill="EAEEF3"/>
              </w:rPr>
              <w:t>E4_Période</w:t>
            </w:r>
            <w:r>
              <w:t>) a eu lieu dans (</w:t>
            </w:r>
            <w:r>
              <w:rPr>
                <w:rFonts w:ascii="Consolas" w:eastAsia="Consolas" w:hAnsi="Consolas" w:cs="Consolas"/>
                <w:sz w:val="22"/>
                <w:szCs w:val="22"/>
                <w:shd w:val="clear" w:color="auto" w:fill="EAEEF3"/>
              </w:rPr>
              <w:t>P7_a_eu_lieu_dans</w:t>
            </w:r>
            <w:r>
              <w:t>) la région couverte par la France en 1789 (</w:t>
            </w:r>
            <w:r>
              <w:rPr>
                <w:rFonts w:ascii="Consolas" w:eastAsia="Consolas" w:hAnsi="Consolas" w:cs="Consolas"/>
                <w:sz w:val="22"/>
                <w:szCs w:val="22"/>
                <w:shd w:val="clear" w:color="auto" w:fill="EAEEF3"/>
              </w:rPr>
              <w:t>E53_Lieu</w:t>
            </w:r>
            <w:r>
              <w:t>) (Bertaud, 2004)</w:t>
            </w:r>
          </w:p>
        </w:tc>
      </w:tr>
      <w:tr w:rsidR="00BF18CF" w14:paraId="10B48947" w14:textId="77777777" w:rsidTr="00BF18CF">
        <w:tc>
          <w:tcPr>
            <w:tcW w:w="1893" w:type="dxa"/>
          </w:tcPr>
          <w:p w14:paraId="423C3B5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7" w:type="dxa"/>
          </w:tcPr>
          <w:p w14:paraId="1BBC635A" w14:textId="77777777" w:rsidR="00BF18CF" w:rsidRDefault="00E51347">
            <w:r>
              <w:t>P7(</w:t>
            </w:r>
            <w:proofErr w:type="gramStart"/>
            <w:r>
              <w:t>x,y</w:t>
            </w:r>
            <w:proofErr w:type="gramEnd"/>
            <w:r>
              <w:t>) ⇒ E4(x)</w:t>
            </w:r>
          </w:p>
          <w:p w14:paraId="253C2DC4" w14:textId="77777777" w:rsidR="00BF18CF" w:rsidRDefault="00E51347">
            <w:r>
              <w:t>P7(</w:t>
            </w:r>
            <w:proofErr w:type="gramStart"/>
            <w:r>
              <w:t>x,y</w:t>
            </w:r>
            <w:proofErr w:type="gramEnd"/>
            <w:r>
              <w:t>) ⇒ E53(y)</w:t>
            </w:r>
          </w:p>
        </w:tc>
      </w:tr>
      <w:tr w:rsidR="00BF18CF" w14:paraId="1CFD0618" w14:textId="77777777" w:rsidTr="00BF18CF">
        <w:tc>
          <w:tcPr>
            <w:tcW w:w="1893" w:type="dxa"/>
          </w:tcPr>
          <w:p w14:paraId="790330C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7" w:type="dxa"/>
          </w:tcPr>
          <w:p w14:paraId="0A73F14E" w14:textId="77777777" w:rsidR="00BF18CF" w:rsidRDefault="00BF18CF">
            <w:pPr>
              <w:pBdr>
                <w:top w:val="nil"/>
                <w:left w:val="nil"/>
                <w:bottom w:val="nil"/>
                <w:right w:val="nil"/>
                <w:between w:val="nil"/>
              </w:pBdr>
              <w:spacing w:before="36" w:after="36"/>
              <w:rPr>
                <w:color w:val="000000"/>
              </w:rPr>
            </w:pPr>
          </w:p>
        </w:tc>
      </w:tr>
      <w:tr w:rsidR="00BF18CF" w14:paraId="6759693F" w14:textId="77777777" w:rsidTr="00BF18CF">
        <w:tc>
          <w:tcPr>
            <w:tcW w:w="1893" w:type="dxa"/>
          </w:tcPr>
          <w:p w14:paraId="31DF8882" w14:textId="330440F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7" w:type="dxa"/>
          </w:tcPr>
          <w:p w14:paraId="6784A922" w14:textId="77777777" w:rsidR="00BF18CF" w:rsidRDefault="00BF18CF">
            <w:pPr>
              <w:pBdr>
                <w:top w:val="nil"/>
                <w:left w:val="nil"/>
                <w:bottom w:val="nil"/>
                <w:right w:val="nil"/>
                <w:between w:val="nil"/>
              </w:pBdr>
              <w:spacing w:before="36" w:after="36"/>
              <w:rPr>
                <w:color w:val="000000"/>
              </w:rPr>
            </w:pPr>
          </w:p>
        </w:tc>
      </w:tr>
      <w:tr w:rsidR="00BF18CF" w14:paraId="6B44B892" w14:textId="77777777" w:rsidTr="00BF18CF">
        <w:tc>
          <w:tcPr>
            <w:tcW w:w="1893" w:type="dxa"/>
          </w:tcPr>
          <w:p w14:paraId="6C27854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7" w:type="dxa"/>
          </w:tcPr>
          <w:p w14:paraId="4331DEFF" w14:textId="77777777" w:rsidR="00BF18CF" w:rsidRDefault="00BF18CF">
            <w:pPr>
              <w:pBdr>
                <w:top w:val="nil"/>
                <w:left w:val="nil"/>
                <w:bottom w:val="nil"/>
                <w:right w:val="nil"/>
                <w:between w:val="nil"/>
              </w:pBdr>
              <w:spacing w:before="36" w:after="36"/>
              <w:rPr>
                <w:color w:val="000000"/>
              </w:rPr>
            </w:pPr>
          </w:p>
        </w:tc>
      </w:tr>
    </w:tbl>
    <w:p w14:paraId="4669B45F" w14:textId="77777777" w:rsidR="00BF18CF" w:rsidRDefault="00E51347">
      <w:pPr>
        <w:pStyle w:val="Heading3"/>
      </w:pPr>
      <w:bookmarkStart w:id="277" w:name="bookmark=id.16x20ju" w:colFirst="0" w:colLast="0"/>
      <w:bookmarkStart w:id="278" w:name="_Toc144360882"/>
      <w:bookmarkEnd w:id="277"/>
      <w:r>
        <w:t>P8 a eu lieu à (a été témoin de)</w:t>
      </w:r>
      <w:bookmarkEnd w:id="278"/>
    </w:p>
    <w:tbl>
      <w:tblPr>
        <w:tblStyle w:val="a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27"/>
        <w:gridCol w:w="8763"/>
      </w:tblGrid>
      <w:tr w:rsidR="00BF18CF" w14:paraId="6B3CC069" w14:textId="77777777" w:rsidTr="00BF18CF">
        <w:tc>
          <w:tcPr>
            <w:tcW w:w="1927" w:type="dxa"/>
          </w:tcPr>
          <w:p w14:paraId="603979C0"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63" w:type="dxa"/>
          </w:tcPr>
          <w:p w14:paraId="1800A168" w14:textId="77777777" w:rsidR="00BF18CF" w:rsidRDefault="00E51347">
            <w:r>
              <w:rPr>
                <w:rFonts w:ascii="Consolas" w:eastAsia="Consolas" w:hAnsi="Consolas" w:cs="Consolas"/>
                <w:sz w:val="22"/>
                <w:szCs w:val="22"/>
                <w:shd w:val="clear" w:color="auto" w:fill="EAEEF3"/>
              </w:rPr>
              <w:t>E4_Période</w:t>
            </w:r>
          </w:p>
        </w:tc>
      </w:tr>
      <w:tr w:rsidR="00BF18CF" w14:paraId="68663B12" w14:textId="77777777" w:rsidTr="00BF18CF">
        <w:tc>
          <w:tcPr>
            <w:tcW w:w="1927" w:type="dxa"/>
          </w:tcPr>
          <w:p w14:paraId="14AE6DB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63" w:type="dxa"/>
          </w:tcPr>
          <w:p w14:paraId="02B4AD3A" w14:textId="77777777" w:rsidR="00BF18CF" w:rsidRDefault="00E51347">
            <w:r>
              <w:rPr>
                <w:rFonts w:ascii="Consolas" w:eastAsia="Consolas" w:hAnsi="Consolas" w:cs="Consolas"/>
                <w:sz w:val="22"/>
                <w:szCs w:val="22"/>
                <w:shd w:val="clear" w:color="auto" w:fill="EAEEF3"/>
              </w:rPr>
              <w:t>E18_Chose_matérielle</w:t>
            </w:r>
          </w:p>
        </w:tc>
      </w:tr>
      <w:tr w:rsidR="00BF18CF" w14:paraId="2141F0F1" w14:textId="77777777" w:rsidTr="00BF18CF">
        <w:tc>
          <w:tcPr>
            <w:tcW w:w="1927" w:type="dxa"/>
          </w:tcPr>
          <w:p w14:paraId="34F519CD"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63" w:type="dxa"/>
          </w:tcPr>
          <w:p w14:paraId="39EBAC68" w14:textId="77777777" w:rsidR="00BF18CF" w:rsidRDefault="00BF18CF">
            <w:pPr>
              <w:pBdr>
                <w:top w:val="nil"/>
                <w:left w:val="nil"/>
                <w:bottom w:val="nil"/>
                <w:right w:val="nil"/>
                <w:between w:val="nil"/>
              </w:pBdr>
              <w:spacing w:before="36" w:after="36"/>
              <w:rPr>
                <w:color w:val="000000"/>
              </w:rPr>
            </w:pPr>
          </w:p>
        </w:tc>
      </w:tr>
      <w:tr w:rsidR="00BF18CF" w14:paraId="0EC24C1B" w14:textId="77777777" w:rsidTr="00BF18CF">
        <w:tc>
          <w:tcPr>
            <w:tcW w:w="1927" w:type="dxa"/>
          </w:tcPr>
          <w:p w14:paraId="79C51B4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63" w:type="dxa"/>
          </w:tcPr>
          <w:p w14:paraId="19B34DF4" w14:textId="77777777" w:rsidR="00BF18CF" w:rsidRDefault="00BF18CF">
            <w:pPr>
              <w:pBdr>
                <w:top w:val="nil"/>
                <w:left w:val="nil"/>
                <w:bottom w:val="nil"/>
                <w:right w:val="nil"/>
                <w:between w:val="nil"/>
              </w:pBdr>
              <w:spacing w:before="36" w:after="36"/>
              <w:rPr>
                <w:color w:val="000000"/>
              </w:rPr>
            </w:pPr>
          </w:p>
        </w:tc>
      </w:tr>
      <w:tr w:rsidR="00BF18CF" w14:paraId="3B1085BD" w14:textId="77777777" w:rsidTr="00BF18CF">
        <w:tc>
          <w:tcPr>
            <w:tcW w:w="1927" w:type="dxa"/>
          </w:tcPr>
          <w:p w14:paraId="4EEE5FB4"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63" w:type="dxa"/>
          </w:tcPr>
          <w:p w14:paraId="29DA6990" w14:textId="77777777" w:rsidR="00BF18CF" w:rsidRDefault="00E51347">
            <w:proofErr w:type="gramStart"/>
            <w:r>
              <w:t>plusieurs</w:t>
            </w:r>
            <w:proofErr w:type="gramEnd"/>
            <w:r>
              <w:t xml:space="preserve"> à plusieurs (0,n:0,n)</w:t>
            </w:r>
          </w:p>
        </w:tc>
      </w:tr>
      <w:tr w:rsidR="00BF18CF" w14:paraId="5FC1BB68" w14:textId="77777777" w:rsidTr="00BF18CF">
        <w:tc>
          <w:tcPr>
            <w:tcW w:w="1927" w:type="dxa"/>
          </w:tcPr>
          <w:p w14:paraId="03E787F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63" w:type="dxa"/>
          </w:tcPr>
          <w:p w14:paraId="6458D710" w14:textId="77777777" w:rsidR="00BF18CF" w:rsidRDefault="00E51347">
            <w:r>
              <w:t xml:space="preserve">Cette propriété décrit la localisation d’une instance de </w:t>
            </w:r>
            <w:r>
              <w:rPr>
                <w:rFonts w:ascii="Consolas" w:eastAsia="Consolas" w:hAnsi="Consolas" w:cs="Consolas"/>
                <w:sz w:val="22"/>
                <w:szCs w:val="22"/>
                <w:shd w:val="clear" w:color="auto" w:fill="EAEEF3"/>
              </w:rPr>
              <w:t>E4_Période</w:t>
            </w:r>
            <w:r>
              <w:t xml:space="preserve"> par rapport à une instance de </w:t>
            </w:r>
            <w:r>
              <w:rPr>
                <w:rFonts w:ascii="Consolas" w:eastAsia="Consolas" w:hAnsi="Consolas" w:cs="Consolas"/>
                <w:sz w:val="22"/>
                <w:szCs w:val="22"/>
                <w:shd w:val="clear" w:color="auto" w:fill="EAEEF3"/>
              </w:rPr>
              <w:t>E19_Objet_matériel</w:t>
            </w:r>
            <w:r>
              <w:t>.</w:t>
            </w:r>
          </w:p>
          <w:p w14:paraId="3F3F7F11"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E4_Période</w:t>
            </w:r>
            <w:r>
              <w:t xml:space="preserve">, </w:t>
            </w:r>
            <w:r>
              <w:rPr>
                <w:rFonts w:ascii="Consolas" w:eastAsia="Consolas" w:hAnsi="Consolas" w:cs="Consolas"/>
                <w:sz w:val="22"/>
                <w:szCs w:val="22"/>
                <w:shd w:val="clear" w:color="auto" w:fill="EAEEF3"/>
              </w:rPr>
              <w:t>P7_a_eu_lieu_dans (a_été_témoin_de)</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P156i_est_occupé_par</w:t>
            </w:r>
            <w:r>
              <w:t xml:space="preserve">, </w:t>
            </w:r>
            <w:r>
              <w:rPr>
                <w:rFonts w:ascii="Consolas" w:eastAsia="Consolas" w:hAnsi="Consolas" w:cs="Consolas"/>
                <w:sz w:val="22"/>
                <w:szCs w:val="22"/>
                <w:shd w:val="clear" w:color="auto" w:fill="EAEEF3"/>
              </w:rPr>
              <w:t>E18_Chose_matérielle</w:t>
            </w:r>
            <w:r>
              <w:t>.</w:t>
            </w:r>
          </w:p>
          <w:p w14:paraId="01FA8B7E" w14:textId="77777777" w:rsidR="00BF18CF" w:rsidRDefault="00E51347">
            <w:r>
              <w:t xml:space="preserve">Elle décrit une période qui peut être localisée dans l’espace défini par une instance de </w:t>
            </w:r>
            <w:r>
              <w:rPr>
                <w:rFonts w:ascii="Consolas" w:eastAsia="Consolas" w:hAnsi="Consolas" w:cs="Consolas"/>
                <w:sz w:val="22"/>
                <w:szCs w:val="22"/>
                <w:shd w:val="clear" w:color="auto" w:fill="EAEEF3"/>
              </w:rPr>
              <w:t>E19_Objet_matériel</w:t>
            </w:r>
            <w:r>
              <w:t>, tel qu’un navire ou un bâtiment. La localisation géographique précise de l’objet durant la période en question peut être inconnue ou sans importance.</w:t>
            </w:r>
          </w:p>
          <w:p w14:paraId="03C60BDC" w14:textId="77777777" w:rsidR="00BF18CF" w:rsidRDefault="00E51347">
            <w:r>
              <w:t>Par exemple, l’armistice du 22 juin 1940 entre la France et l’Allemagne fut signé dans le même wagon où a eu lieu la signature de l’armistice du 11 novembre 1918.</w:t>
            </w:r>
          </w:p>
        </w:tc>
      </w:tr>
      <w:tr w:rsidR="00BF18CF" w14:paraId="597978DD" w14:textId="77777777" w:rsidTr="00BF18CF">
        <w:tc>
          <w:tcPr>
            <w:tcW w:w="1927" w:type="dxa"/>
          </w:tcPr>
          <w:p w14:paraId="263F765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63" w:type="dxa"/>
          </w:tcPr>
          <w:p w14:paraId="6BACA66C" w14:textId="77777777" w:rsidR="00BF18CF" w:rsidRDefault="00E51347">
            <w:pPr>
              <w:numPr>
                <w:ilvl w:val="0"/>
                <w:numId w:val="19"/>
              </w:numPr>
            </w:pPr>
            <w:r>
              <w:t>Le couronnement de la reine Elizabeth II (</w:t>
            </w:r>
            <w:r>
              <w:rPr>
                <w:rFonts w:ascii="Consolas" w:eastAsia="Consolas" w:hAnsi="Consolas" w:cs="Consolas"/>
                <w:sz w:val="22"/>
                <w:szCs w:val="22"/>
                <w:shd w:val="clear" w:color="auto" w:fill="EAEEF3"/>
              </w:rPr>
              <w:t>E7_Activité</w:t>
            </w:r>
            <w:r>
              <w:t>) a eu lieu à (</w:t>
            </w:r>
            <w:r>
              <w:rPr>
                <w:rFonts w:ascii="Consolas" w:eastAsia="Consolas" w:hAnsi="Consolas" w:cs="Consolas"/>
                <w:sz w:val="22"/>
                <w:szCs w:val="22"/>
                <w:shd w:val="clear" w:color="auto" w:fill="EAEEF3"/>
              </w:rPr>
              <w:t>P8_a_eu_lieu_à</w:t>
            </w:r>
            <w:r>
              <w:t>) l’abbaye de Westminster (</w:t>
            </w:r>
            <w:r>
              <w:rPr>
                <w:rFonts w:ascii="Consolas" w:eastAsia="Consolas" w:hAnsi="Consolas" w:cs="Consolas"/>
                <w:sz w:val="22"/>
                <w:szCs w:val="22"/>
                <w:shd w:val="clear" w:color="auto" w:fill="EAEEF3"/>
              </w:rPr>
              <w:t>E19_Objet_matériel</w:t>
            </w:r>
            <w:r>
              <w:t>) (Strong, 2005)</w:t>
            </w:r>
          </w:p>
        </w:tc>
      </w:tr>
      <w:tr w:rsidR="00BF18CF" w14:paraId="69F71323" w14:textId="77777777" w:rsidTr="00BF18CF">
        <w:tc>
          <w:tcPr>
            <w:tcW w:w="1927" w:type="dxa"/>
          </w:tcPr>
          <w:p w14:paraId="241EAB66"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63" w:type="dxa"/>
          </w:tcPr>
          <w:p w14:paraId="47A23E39" w14:textId="77777777" w:rsidR="00BF18CF" w:rsidRDefault="00E51347">
            <w:r>
              <w:t>P8(</w:t>
            </w:r>
            <w:proofErr w:type="gramStart"/>
            <w:r>
              <w:t>x,y</w:t>
            </w:r>
            <w:proofErr w:type="gramEnd"/>
            <w:r>
              <w:t>) ⇒ E4(x)</w:t>
            </w:r>
          </w:p>
          <w:p w14:paraId="3639E633" w14:textId="77777777" w:rsidR="00BF18CF" w:rsidRDefault="00E51347">
            <w:r>
              <w:t>P8(</w:t>
            </w:r>
            <w:proofErr w:type="gramStart"/>
            <w:r>
              <w:t>x,y</w:t>
            </w:r>
            <w:proofErr w:type="gramEnd"/>
            <w:r>
              <w:t>) ⇒ E18(y)</w:t>
            </w:r>
          </w:p>
          <w:p w14:paraId="66411608" w14:textId="77777777" w:rsidR="00BF18CF" w:rsidRDefault="00E51347">
            <w:r>
              <w:t>P8(</w:t>
            </w:r>
            <w:proofErr w:type="gramStart"/>
            <w:r>
              <w:t>x,y</w:t>
            </w:r>
            <w:proofErr w:type="gramEnd"/>
            <w:r>
              <w:t>) ⇐ (∃z) [E53(z) ˄ P7(x,z) ˄ P156i(z,y)]</w:t>
            </w:r>
          </w:p>
        </w:tc>
      </w:tr>
      <w:tr w:rsidR="00BF18CF" w14:paraId="2935C00B" w14:textId="77777777" w:rsidTr="00BF18CF">
        <w:tc>
          <w:tcPr>
            <w:tcW w:w="1927" w:type="dxa"/>
          </w:tcPr>
          <w:p w14:paraId="46A6049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63" w:type="dxa"/>
          </w:tcPr>
          <w:p w14:paraId="6A0A5397" w14:textId="77777777" w:rsidR="00BF18CF" w:rsidRDefault="00BF18CF">
            <w:pPr>
              <w:pBdr>
                <w:top w:val="nil"/>
                <w:left w:val="nil"/>
                <w:bottom w:val="nil"/>
                <w:right w:val="nil"/>
                <w:between w:val="nil"/>
              </w:pBdr>
              <w:spacing w:before="36" w:after="36"/>
              <w:rPr>
                <w:color w:val="000000"/>
              </w:rPr>
            </w:pPr>
          </w:p>
        </w:tc>
      </w:tr>
      <w:tr w:rsidR="00BF18CF" w14:paraId="5FFD5632" w14:textId="77777777" w:rsidTr="00BF18CF">
        <w:tc>
          <w:tcPr>
            <w:tcW w:w="1927" w:type="dxa"/>
          </w:tcPr>
          <w:p w14:paraId="0E1526F6" w14:textId="594D318A"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763" w:type="dxa"/>
          </w:tcPr>
          <w:p w14:paraId="5C847159" w14:textId="77777777" w:rsidR="00BF18CF" w:rsidRDefault="00BF18CF">
            <w:pPr>
              <w:pBdr>
                <w:top w:val="nil"/>
                <w:left w:val="nil"/>
                <w:bottom w:val="nil"/>
                <w:right w:val="nil"/>
                <w:between w:val="nil"/>
              </w:pBdr>
              <w:spacing w:before="36" w:after="36"/>
              <w:rPr>
                <w:color w:val="000000"/>
              </w:rPr>
            </w:pPr>
          </w:p>
        </w:tc>
      </w:tr>
      <w:tr w:rsidR="00BF18CF" w14:paraId="56BE712F" w14:textId="77777777" w:rsidTr="00BF18CF">
        <w:tc>
          <w:tcPr>
            <w:tcW w:w="1927" w:type="dxa"/>
          </w:tcPr>
          <w:p w14:paraId="14E0A77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63" w:type="dxa"/>
          </w:tcPr>
          <w:p w14:paraId="098537E8" w14:textId="77777777" w:rsidR="00BF18CF" w:rsidRDefault="00BF18CF">
            <w:pPr>
              <w:pBdr>
                <w:top w:val="nil"/>
                <w:left w:val="nil"/>
                <w:bottom w:val="nil"/>
                <w:right w:val="nil"/>
                <w:between w:val="nil"/>
              </w:pBdr>
              <w:spacing w:before="36" w:after="36"/>
              <w:rPr>
                <w:color w:val="000000"/>
              </w:rPr>
            </w:pPr>
          </w:p>
        </w:tc>
      </w:tr>
    </w:tbl>
    <w:p w14:paraId="6308F0DD" w14:textId="77777777" w:rsidR="00BF18CF" w:rsidRDefault="00E51347">
      <w:pPr>
        <w:pStyle w:val="Heading3"/>
      </w:pPr>
      <w:bookmarkStart w:id="279" w:name="bookmark=id.3qwpj7n" w:colFirst="0" w:colLast="0"/>
      <w:bookmarkStart w:id="280" w:name="_Toc144360883"/>
      <w:bookmarkEnd w:id="279"/>
      <w:r>
        <w:t>P9 comprend (fait partie de)</w:t>
      </w:r>
      <w:bookmarkEnd w:id="280"/>
    </w:p>
    <w:tbl>
      <w:tblPr>
        <w:tblStyle w:val="a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37"/>
        <w:gridCol w:w="8853"/>
      </w:tblGrid>
      <w:tr w:rsidR="00BF18CF" w14:paraId="700A6254" w14:textId="77777777" w:rsidTr="00BF18CF">
        <w:tc>
          <w:tcPr>
            <w:tcW w:w="1837" w:type="dxa"/>
          </w:tcPr>
          <w:p w14:paraId="690D317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53" w:type="dxa"/>
          </w:tcPr>
          <w:p w14:paraId="3A307522" w14:textId="77777777" w:rsidR="00BF18CF" w:rsidRDefault="00E51347">
            <w:r>
              <w:rPr>
                <w:rFonts w:ascii="Consolas" w:eastAsia="Consolas" w:hAnsi="Consolas" w:cs="Consolas"/>
                <w:sz w:val="22"/>
                <w:szCs w:val="22"/>
                <w:shd w:val="clear" w:color="auto" w:fill="EAEEF3"/>
              </w:rPr>
              <w:t>E4_Période</w:t>
            </w:r>
          </w:p>
        </w:tc>
      </w:tr>
      <w:tr w:rsidR="00BF18CF" w14:paraId="07B325CF" w14:textId="77777777" w:rsidTr="00BF18CF">
        <w:tc>
          <w:tcPr>
            <w:tcW w:w="1837" w:type="dxa"/>
          </w:tcPr>
          <w:p w14:paraId="596B2D9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53" w:type="dxa"/>
          </w:tcPr>
          <w:p w14:paraId="7FC01A05" w14:textId="77777777" w:rsidR="00BF18CF" w:rsidRDefault="00E51347">
            <w:r>
              <w:rPr>
                <w:rFonts w:ascii="Consolas" w:eastAsia="Consolas" w:hAnsi="Consolas" w:cs="Consolas"/>
                <w:sz w:val="22"/>
                <w:szCs w:val="22"/>
                <w:shd w:val="clear" w:color="auto" w:fill="EAEEF3"/>
              </w:rPr>
              <w:t>E4_Période</w:t>
            </w:r>
          </w:p>
        </w:tc>
      </w:tr>
      <w:tr w:rsidR="00BF18CF" w14:paraId="057CC661" w14:textId="77777777" w:rsidTr="00BF18CF">
        <w:tc>
          <w:tcPr>
            <w:tcW w:w="1837" w:type="dxa"/>
          </w:tcPr>
          <w:p w14:paraId="7EBE3091"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53" w:type="dxa"/>
          </w:tcPr>
          <w:p w14:paraId="615A179F" w14:textId="77777777" w:rsidR="00BF18CF" w:rsidRDefault="00E51347">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P10i_contient</w:t>
            </w:r>
            <w:r>
              <w:t xml:space="preserve"> : </w:t>
            </w:r>
            <w:r>
              <w:rPr>
                <w:rFonts w:ascii="Consolas" w:eastAsia="Consolas" w:hAnsi="Consolas" w:cs="Consolas"/>
                <w:sz w:val="22"/>
                <w:szCs w:val="22"/>
                <w:shd w:val="clear" w:color="auto" w:fill="EAEEF3"/>
              </w:rPr>
              <w:t>E92_Volume_spatio-temporel</w:t>
            </w:r>
          </w:p>
          <w:p w14:paraId="58490CCC" w14:textId="77777777" w:rsidR="00BF18CF" w:rsidRDefault="00E51347">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P132_recoupe_spatio-temporellement</w:t>
            </w:r>
            <w:r>
              <w:t xml:space="preserve"> : </w:t>
            </w:r>
            <w:r>
              <w:rPr>
                <w:rFonts w:ascii="Consolas" w:eastAsia="Consolas" w:hAnsi="Consolas" w:cs="Consolas"/>
                <w:sz w:val="22"/>
                <w:szCs w:val="22"/>
                <w:shd w:val="clear" w:color="auto" w:fill="EAEEF3"/>
              </w:rPr>
              <w:t>E92_Volume_spatio-temporel</w:t>
            </w:r>
          </w:p>
        </w:tc>
      </w:tr>
      <w:tr w:rsidR="00BF18CF" w14:paraId="59D96716" w14:textId="77777777" w:rsidTr="00BF18CF">
        <w:tc>
          <w:tcPr>
            <w:tcW w:w="1837" w:type="dxa"/>
          </w:tcPr>
          <w:p w14:paraId="1ED329AB"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53" w:type="dxa"/>
          </w:tcPr>
          <w:p w14:paraId="25F241F7" w14:textId="77777777" w:rsidR="00BF18CF" w:rsidRDefault="00BF18CF">
            <w:pPr>
              <w:pBdr>
                <w:top w:val="nil"/>
                <w:left w:val="nil"/>
                <w:bottom w:val="nil"/>
                <w:right w:val="nil"/>
                <w:between w:val="nil"/>
              </w:pBdr>
              <w:spacing w:before="36" w:after="36"/>
              <w:rPr>
                <w:color w:val="000000"/>
              </w:rPr>
            </w:pPr>
          </w:p>
        </w:tc>
      </w:tr>
      <w:tr w:rsidR="00BF18CF" w14:paraId="04033BBD" w14:textId="77777777" w:rsidTr="00BF18CF">
        <w:tc>
          <w:tcPr>
            <w:tcW w:w="1837" w:type="dxa"/>
          </w:tcPr>
          <w:p w14:paraId="0454A657"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53" w:type="dxa"/>
          </w:tcPr>
          <w:p w14:paraId="3E7E07EF" w14:textId="77777777" w:rsidR="00BF18CF" w:rsidRDefault="00E51347">
            <w:proofErr w:type="gramStart"/>
            <w:r>
              <w:t>plusieurs</w:t>
            </w:r>
            <w:proofErr w:type="gramEnd"/>
            <w:r>
              <w:t xml:space="preserve"> à plusieurs (0,n:0,n)</w:t>
            </w:r>
          </w:p>
        </w:tc>
      </w:tr>
      <w:tr w:rsidR="00BF18CF" w14:paraId="44AEA960" w14:textId="77777777" w:rsidTr="00BF18CF">
        <w:tc>
          <w:tcPr>
            <w:tcW w:w="1837" w:type="dxa"/>
          </w:tcPr>
          <w:p w14:paraId="0B1761F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53" w:type="dxa"/>
          </w:tcPr>
          <w:p w14:paraId="1B15B27F" w14:textId="77777777" w:rsidR="00BF18CF" w:rsidRDefault="00E51347">
            <w:r>
              <w:t xml:space="preserve">Cette propriété décrit l’association d’une instance de </w:t>
            </w:r>
            <w:r>
              <w:rPr>
                <w:rFonts w:ascii="Consolas" w:eastAsia="Consolas" w:hAnsi="Consolas" w:cs="Consolas"/>
                <w:sz w:val="22"/>
                <w:szCs w:val="22"/>
                <w:shd w:val="clear" w:color="auto" w:fill="EAEEF3"/>
              </w:rPr>
              <w:t>E4_Période</w:t>
            </w:r>
            <w:r>
              <w:t xml:space="preserve"> avec une autre instance de </w:t>
            </w:r>
            <w:r>
              <w:rPr>
                <w:rFonts w:ascii="Consolas" w:eastAsia="Consolas" w:hAnsi="Consolas" w:cs="Consolas"/>
                <w:sz w:val="22"/>
                <w:szCs w:val="22"/>
                <w:shd w:val="clear" w:color="auto" w:fill="EAEEF3"/>
              </w:rPr>
              <w:t>E4_Période</w:t>
            </w:r>
            <w:r>
              <w:t xml:space="preserve"> lorsque le phénomène qui définit la seconde est un sous-ensemble de celui qui définit la première. Ainsi, le volume spatio-temporel de la seconde doit être compris dans celui de la première.</w:t>
            </w:r>
          </w:p>
          <w:p w14:paraId="2A6D7859" w14:textId="77777777" w:rsidR="00BF18CF" w:rsidRDefault="00E51347">
            <w:r>
              <w:t>Cette propriété est transitive et non-symétrique.</w:t>
            </w:r>
          </w:p>
        </w:tc>
      </w:tr>
      <w:tr w:rsidR="00BF18CF" w14:paraId="7AB8C145" w14:textId="77777777" w:rsidTr="00BF18CF">
        <w:tc>
          <w:tcPr>
            <w:tcW w:w="1837" w:type="dxa"/>
          </w:tcPr>
          <w:p w14:paraId="7BA4A6C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53" w:type="dxa"/>
          </w:tcPr>
          <w:p w14:paraId="76A0325B" w14:textId="77777777" w:rsidR="00BF18CF" w:rsidRDefault="00E51347">
            <w:pPr>
              <w:numPr>
                <w:ilvl w:val="0"/>
                <w:numId w:val="19"/>
              </w:numPr>
            </w:pPr>
            <w:r>
              <w:t>L’Âge du Bronze en Crète (</w:t>
            </w:r>
            <w:r>
              <w:rPr>
                <w:rFonts w:ascii="Consolas" w:eastAsia="Consolas" w:hAnsi="Consolas" w:cs="Consolas"/>
                <w:sz w:val="22"/>
                <w:szCs w:val="22"/>
                <w:shd w:val="clear" w:color="auto" w:fill="EAEEF3"/>
              </w:rPr>
              <w:t>E4_Période</w:t>
            </w:r>
            <w:r>
              <w:t>) comprend (</w:t>
            </w:r>
            <w:r>
              <w:rPr>
                <w:rFonts w:ascii="Consolas" w:eastAsia="Consolas" w:hAnsi="Consolas" w:cs="Consolas"/>
                <w:sz w:val="22"/>
                <w:szCs w:val="22"/>
                <w:shd w:val="clear" w:color="auto" w:fill="EAEEF3"/>
              </w:rPr>
              <w:t>P9_comprend</w:t>
            </w:r>
            <w:r>
              <w:t>) le Minoen moyen (</w:t>
            </w:r>
            <w:r>
              <w:rPr>
                <w:rFonts w:ascii="Consolas" w:eastAsia="Consolas" w:hAnsi="Consolas" w:cs="Consolas"/>
                <w:sz w:val="22"/>
                <w:szCs w:val="22"/>
                <w:shd w:val="clear" w:color="auto" w:fill="EAEEF3"/>
              </w:rPr>
              <w:t>E4_Période</w:t>
            </w:r>
            <w:r>
              <w:t>) (Hood, 1971)</w:t>
            </w:r>
          </w:p>
        </w:tc>
      </w:tr>
      <w:tr w:rsidR="00BF18CF" w14:paraId="289FA045" w14:textId="77777777" w:rsidTr="00BF18CF">
        <w:tc>
          <w:tcPr>
            <w:tcW w:w="1837" w:type="dxa"/>
          </w:tcPr>
          <w:p w14:paraId="1CDB69C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53" w:type="dxa"/>
          </w:tcPr>
          <w:p w14:paraId="2875DEEC" w14:textId="77777777" w:rsidR="00BF18CF" w:rsidRDefault="00E51347">
            <w:r>
              <w:t>P9(</w:t>
            </w:r>
            <w:proofErr w:type="gramStart"/>
            <w:r>
              <w:t>x,y</w:t>
            </w:r>
            <w:proofErr w:type="gramEnd"/>
            <w:r>
              <w:t>) ⇒ E4(x)</w:t>
            </w:r>
          </w:p>
          <w:p w14:paraId="4CF5BF3A" w14:textId="77777777" w:rsidR="00BF18CF" w:rsidRDefault="00E51347">
            <w:r>
              <w:t>P9(</w:t>
            </w:r>
            <w:proofErr w:type="gramStart"/>
            <w:r>
              <w:t>x,y</w:t>
            </w:r>
            <w:proofErr w:type="gramEnd"/>
            <w:r>
              <w:t>) ⇒ E4(y)</w:t>
            </w:r>
          </w:p>
          <w:p w14:paraId="0AB5F674" w14:textId="77777777" w:rsidR="00BF18CF" w:rsidRDefault="00E51347">
            <w:r>
              <w:t>P9(</w:t>
            </w:r>
            <w:proofErr w:type="gramStart"/>
            <w:r>
              <w:t>x,y</w:t>
            </w:r>
            <w:proofErr w:type="gramEnd"/>
            <w:r>
              <w:t>) ⇒ P10(y,x)</w:t>
            </w:r>
          </w:p>
          <w:p w14:paraId="01BC8694" w14:textId="77777777" w:rsidR="00BF18CF" w:rsidRDefault="00E51347">
            <w:r>
              <w:t>[P9(</w:t>
            </w:r>
            <w:proofErr w:type="gramStart"/>
            <w:r>
              <w:t>x,y</w:t>
            </w:r>
            <w:proofErr w:type="gramEnd"/>
            <w:r>
              <w:t>) ∧ P9(y,z)] ⇒ P9(x,z)</w:t>
            </w:r>
          </w:p>
          <w:p w14:paraId="3883855A" w14:textId="77777777" w:rsidR="00BF18CF" w:rsidRDefault="00E51347">
            <w:r>
              <w:t>P9(</w:t>
            </w:r>
            <w:proofErr w:type="gramStart"/>
            <w:r>
              <w:t>x,y</w:t>
            </w:r>
            <w:proofErr w:type="gramEnd"/>
            <w:r>
              <w:t>) ⇒ ¬P9(y,x)</w:t>
            </w:r>
          </w:p>
        </w:tc>
      </w:tr>
      <w:tr w:rsidR="00BF18CF" w14:paraId="5CA0220A" w14:textId="77777777" w:rsidTr="00BF18CF">
        <w:tc>
          <w:tcPr>
            <w:tcW w:w="1837" w:type="dxa"/>
          </w:tcPr>
          <w:p w14:paraId="0ED447F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53" w:type="dxa"/>
          </w:tcPr>
          <w:p w14:paraId="00DA9559" w14:textId="77777777" w:rsidR="00BF18CF" w:rsidRDefault="00BF18CF">
            <w:pPr>
              <w:pBdr>
                <w:top w:val="nil"/>
                <w:left w:val="nil"/>
                <w:bottom w:val="nil"/>
                <w:right w:val="nil"/>
                <w:between w:val="nil"/>
              </w:pBdr>
              <w:spacing w:before="36" w:after="36"/>
              <w:rPr>
                <w:color w:val="000000"/>
              </w:rPr>
            </w:pPr>
          </w:p>
        </w:tc>
      </w:tr>
      <w:tr w:rsidR="00BF18CF" w14:paraId="4333EE22" w14:textId="77777777" w:rsidTr="00BF18CF">
        <w:tc>
          <w:tcPr>
            <w:tcW w:w="1837" w:type="dxa"/>
          </w:tcPr>
          <w:p w14:paraId="0646C802" w14:textId="1EBED1C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53" w:type="dxa"/>
          </w:tcPr>
          <w:p w14:paraId="6473A2A8" w14:textId="77777777" w:rsidR="00BF18CF" w:rsidRDefault="00E51347">
            <w:r>
              <w:t xml:space="preserve">Le terme « Middle Minoan » est utilisé par Sir Arthur John Evans en 1921 lorsqu’il définit une chronologie minoenne dans </w:t>
            </w:r>
            <w:r>
              <w:rPr>
                <w:i/>
              </w:rPr>
              <w:t>The Palace of Minos at Knossos</w:t>
            </w:r>
            <w:r>
              <w:t>. L’équivalent de « Middle Minoan » dans les revues françaises de ce texte est « Minoen moyen » et c’est cette formulation qui a été retenue. Une revue sommaire a confirmé que c’est une traduction fréquente de ce concept et que cette formulation est fréquemment utilisée.</w:t>
            </w:r>
          </w:p>
        </w:tc>
      </w:tr>
      <w:tr w:rsidR="00BF18CF" w14:paraId="65BD8611" w14:textId="77777777" w:rsidTr="00BF18CF">
        <w:tc>
          <w:tcPr>
            <w:tcW w:w="1837" w:type="dxa"/>
          </w:tcPr>
          <w:p w14:paraId="3A4365C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53" w:type="dxa"/>
          </w:tcPr>
          <w:p w14:paraId="46A4F59C" w14:textId="77777777" w:rsidR="00BF18CF" w:rsidRPr="00EE61A5" w:rsidRDefault="00E51347">
            <w:pPr>
              <w:rPr>
                <w:lang w:val="en-CA"/>
              </w:rPr>
            </w:pPr>
            <w:r w:rsidRPr="00EE61A5">
              <w:rPr>
                <w:lang w:val="en-CA"/>
              </w:rPr>
              <w:t xml:space="preserve">Evans, Arthur John. </w:t>
            </w:r>
            <w:r w:rsidRPr="00EE61A5">
              <w:rPr>
                <w:i/>
                <w:lang w:val="en-CA"/>
              </w:rPr>
              <w:t>The Palace of Minos: The Neolithic and Early Middle Minoan Age</w:t>
            </w:r>
            <w:r w:rsidRPr="00EE61A5">
              <w:rPr>
                <w:lang w:val="en-CA"/>
              </w:rPr>
              <w:t>. Vol. 1. 6 vol. The Palace of Minos. London, GB-LND: Macmillan, 1921.</w:t>
            </w:r>
            <w:hyperlink r:id="rId403">
              <w:r w:rsidRPr="00EE61A5">
                <w:rPr>
                  <w:color w:val="4F81BD"/>
                  <w:lang w:val="en-CA"/>
                </w:rPr>
                <w:t xml:space="preserve"> https://openlibrary.org/books/OL7063760M/The_palace_of_Minos</w:t>
              </w:r>
            </w:hyperlink>
            <w:r w:rsidRPr="00EE61A5">
              <w:rPr>
                <w:lang w:val="en-CA"/>
              </w:rPr>
              <w:t>.</w:t>
            </w:r>
          </w:p>
          <w:p w14:paraId="416F4BD8" w14:textId="77777777" w:rsidR="00BF18CF" w:rsidRDefault="00E51347">
            <w:r>
              <w:t xml:space="preserve">Picard, Charles. « Le palais de Minos à Cnossos ». </w:t>
            </w:r>
            <w:r>
              <w:rPr>
                <w:i/>
              </w:rPr>
              <w:t>Journal des Savants</w:t>
            </w:r>
            <w:r>
              <w:t xml:space="preserve"> 3, n</w:t>
            </w:r>
            <w:r>
              <w:rPr>
                <w:vertAlign w:val="superscript"/>
              </w:rPr>
              <w:t>o</w:t>
            </w:r>
            <w:r>
              <w:t xml:space="preserve"> 1 (1929): 97‑110.</w:t>
            </w:r>
          </w:p>
        </w:tc>
      </w:tr>
    </w:tbl>
    <w:p w14:paraId="32CD29E5" w14:textId="77777777" w:rsidR="00BF18CF" w:rsidRDefault="00E51347">
      <w:pPr>
        <w:pStyle w:val="Heading3"/>
      </w:pPr>
      <w:bookmarkStart w:id="281" w:name="bookmark=id.261ztfg" w:colFirst="0" w:colLast="0"/>
      <w:bookmarkStart w:id="282" w:name="_Toc144360884"/>
      <w:bookmarkEnd w:id="281"/>
      <w:r>
        <w:lastRenderedPageBreak/>
        <w:t>P10 s’insère dans (contient)</w:t>
      </w:r>
      <w:bookmarkEnd w:id="282"/>
    </w:p>
    <w:tbl>
      <w:tblPr>
        <w:tblStyle w:val="a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25"/>
        <w:gridCol w:w="8765"/>
      </w:tblGrid>
      <w:tr w:rsidR="00BF18CF" w14:paraId="7E293AE2" w14:textId="77777777" w:rsidTr="00BF18CF">
        <w:tc>
          <w:tcPr>
            <w:tcW w:w="1925" w:type="dxa"/>
          </w:tcPr>
          <w:p w14:paraId="03CD095E"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65" w:type="dxa"/>
          </w:tcPr>
          <w:p w14:paraId="6BED0016" w14:textId="77777777" w:rsidR="00BF18CF" w:rsidRDefault="00E51347">
            <w:r>
              <w:rPr>
                <w:rFonts w:ascii="Consolas" w:eastAsia="Consolas" w:hAnsi="Consolas" w:cs="Consolas"/>
                <w:sz w:val="22"/>
                <w:szCs w:val="22"/>
                <w:shd w:val="clear" w:color="auto" w:fill="EAEEF3"/>
              </w:rPr>
              <w:t>E92_Volume_spatio-temporel</w:t>
            </w:r>
          </w:p>
        </w:tc>
      </w:tr>
      <w:tr w:rsidR="00BF18CF" w14:paraId="3BDF499C" w14:textId="77777777" w:rsidTr="00BF18CF">
        <w:tc>
          <w:tcPr>
            <w:tcW w:w="1925" w:type="dxa"/>
          </w:tcPr>
          <w:p w14:paraId="0EC4E9B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65" w:type="dxa"/>
          </w:tcPr>
          <w:p w14:paraId="3346BD77" w14:textId="77777777" w:rsidR="00BF18CF" w:rsidRDefault="00E51347">
            <w:r>
              <w:rPr>
                <w:rFonts w:ascii="Consolas" w:eastAsia="Consolas" w:hAnsi="Consolas" w:cs="Consolas"/>
                <w:sz w:val="22"/>
                <w:szCs w:val="22"/>
                <w:shd w:val="clear" w:color="auto" w:fill="EAEEF3"/>
              </w:rPr>
              <w:t>E92_Volume_spatio-temporel</w:t>
            </w:r>
          </w:p>
        </w:tc>
      </w:tr>
      <w:tr w:rsidR="00BF18CF" w14:paraId="70A58CD1" w14:textId="77777777" w:rsidTr="00BF18CF">
        <w:tc>
          <w:tcPr>
            <w:tcW w:w="1925" w:type="dxa"/>
          </w:tcPr>
          <w:p w14:paraId="0017B52D"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65" w:type="dxa"/>
          </w:tcPr>
          <w:p w14:paraId="288E281C" w14:textId="77777777" w:rsidR="00BF18CF" w:rsidRDefault="00E51347">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P132_recoupe_spatio-temporellement</w:t>
            </w:r>
            <w:r>
              <w:t xml:space="preserve"> : </w:t>
            </w:r>
            <w:r>
              <w:rPr>
                <w:rFonts w:ascii="Consolas" w:eastAsia="Consolas" w:hAnsi="Consolas" w:cs="Consolas"/>
                <w:sz w:val="22"/>
                <w:szCs w:val="22"/>
                <w:shd w:val="clear" w:color="auto" w:fill="EAEEF3"/>
              </w:rPr>
              <w:t>E92_Volume_spatio-temporel</w:t>
            </w:r>
          </w:p>
        </w:tc>
      </w:tr>
      <w:tr w:rsidR="00BF18CF" w14:paraId="5BDF9BA0" w14:textId="77777777" w:rsidTr="00BF18CF">
        <w:tc>
          <w:tcPr>
            <w:tcW w:w="1925" w:type="dxa"/>
          </w:tcPr>
          <w:p w14:paraId="1A1822D1"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65" w:type="dxa"/>
          </w:tcPr>
          <w:p w14:paraId="2AFC6D31" w14:textId="77777777" w:rsidR="00BF18CF" w:rsidRDefault="00E51347">
            <w:r>
              <w:rPr>
                <w:rFonts w:ascii="Consolas" w:eastAsia="Consolas" w:hAnsi="Consolas" w:cs="Consolas"/>
                <w:sz w:val="22"/>
                <w:szCs w:val="22"/>
                <w:shd w:val="clear" w:color="auto" w:fill="EAEEF3"/>
              </w:rPr>
              <w:t>E93_Présence</w:t>
            </w:r>
            <w:r>
              <w:t xml:space="preserve">. </w:t>
            </w:r>
            <w:r>
              <w:rPr>
                <w:rFonts w:ascii="Consolas" w:eastAsia="Consolas" w:hAnsi="Consolas" w:cs="Consolas"/>
                <w:sz w:val="22"/>
                <w:szCs w:val="22"/>
                <w:shd w:val="clear" w:color="auto" w:fill="EAEEF3"/>
              </w:rPr>
              <w:t>P166_a_été_une_présence_de (a_eu_pour_présence)</w:t>
            </w:r>
            <w:r>
              <w:t xml:space="preserve"> : </w:t>
            </w:r>
            <w:r>
              <w:rPr>
                <w:rFonts w:ascii="Consolas" w:eastAsia="Consolas" w:hAnsi="Consolas" w:cs="Consolas"/>
                <w:sz w:val="22"/>
                <w:szCs w:val="22"/>
                <w:shd w:val="clear" w:color="auto" w:fill="EAEEF3"/>
              </w:rPr>
              <w:t>E92_Volume_spatio-temporel</w:t>
            </w:r>
          </w:p>
          <w:p w14:paraId="30F5AC4C" w14:textId="77777777" w:rsidR="00BF18CF" w:rsidRDefault="00E51347">
            <w:r>
              <w:rPr>
                <w:rFonts w:ascii="Consolas" w:eastAsia="Consolas" w:hAnsi="Consolas" w:cs="Consolas"/>
                <w:sz w:val="22"/>
                <w:szCs w:val="22"/>
                <w:shd w:val="clear" w:color="auto" w:fill="EAEEF3"/>
              </w:rPr>
              <w:t>E4_Période</w:t>
            </w:r>
            <w:r>
              <w:t xml:space="preserve">. </w:t>
            </w:r>
            <w:r>
              <w:rPr>
                <w:rFonts w:ascii="Consolas" w:eastAsia="Consolas" w:hAnsi="Consolas" w:cs="Consolas"/>
                <w:sz w:val="22"/>
                <w:szCs w:val="22"/>
                <w:shd w:val="clear" w:color="auto" w:fill="EAEEF3"/>
              </w:rPr>
              <w:t>P9i_fait_partie_de</w:t>
            </w:r>
            <w:r>
              <w:t xml:space="preserve"> : </w:t>
            </w:r>
            <w:r>
              <w:rPr>
                <w:rFonts w:ascii="Consolas" w:eastAsia="Consolas" w:hAnsi="Consolas" w:cs="Consolas"/>
                <w:sz w:val="22"/>
                <w:szCs w:val="22"/>
                <w:shd w:val="clear" w:color="auto" w:fill="EAEEF3"/>
              </w:rPr>
              <w:t>E4_Période</w:t>
            </w:r>
          </w:p>
        </w:tc>
      </w:tr>
      <w:tr w:rsidR="00BF18CF" w14:paraId="07920226" w14:textId="77777777" w:rsidTr="00BF18CF">
        <w:tc>
          <w:tcPr>
            <w:tcW w:w="1925" w:type="dxa"/>
          </w:tcPr>
          <w:p w14:paraId="2C6235E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65" w:type="dxa"/>
          </w:tcPr>
          <w:p w14:paraId="4EBB6EAF" w14:textId="77777777" w:rsidR="00BF18CF" w:rsidRDefault="00E51347">
            <w:proofErr w:type="gramStart"/>
            <w:r>
              <w:t>plusieurs</w:t>
            </w:r>
            <w:proofErr w:type="gramEnd"/>
            <w:r>
              <w:t xml:space="preserve"> à plusieurs, nécessaire, dépendant (1,n:0,n)</w:t>
            </w:r>
          </w:p>
        </w:tc>
      </w:tr>
      <w:tr w:rsidR="00BF18CF" w14:paraId="5FA60971" w14:textId="77777777" w:rsidTr="00BF18CF">
        <w:tc>
          <w:tcPr>
            <w:tcW w:w="1925" w:type="dxa"/>
          </w:tcPr>
          <w:p w14:paraId="076925B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65" w:type="dxa"/>
          </w:tcPr>
          <w:p w14:paraId="67D913B4" w14:textId="77777777" w:rsidR="00BF18CF" w:rsidRDefault="00E51347">
            <w:r>
              <w:t xml:space="preserve">Cette propriété associe une instance de </w:t>
            </w:r>
            <w:r>
              <w:rPr>
                <w:rFonts w:ascii="Consolas" w:eastAsia="Consolas" w:hAnsi="Consolas" w:cs="Consolas"/>
                <w:sz w:val="22"/>
                <w:szCs w:val="22"/>
                <w:shd w:val="clear" w:color="auto" w:fill="EAEEF3"/>
              </w:rPr>
              <w:t>E92_Volume_spatio-temporel</w:t>
            </w:r>
            <w:r>
              <w:t xml:space="preserve"> à une autre instance de </w:t>
            </w:r>
            <w:r>
              <w:rPr>
                <w:rFonts w:ascii="Consolas" w:eastAsia="Consolas" w:hAnsi="Consolas" w:cs="Consolas"/>
                <w:sz w:val="22"/>
                <w:szCs w:val="22"/>
                <w:shd w:val="clear" w:color="auto" w:fill="EAEEF3"/>
              </w:rPr>
              <w:t>E92_Volume_spatio-temporel</w:t>
            </w:r>
            <w:r>
              <w:t xml:space="preserve"> qui s’insère dans cette dernière. En d’autres termes, tous les points de la première instance sont également des points de la dernière.</w:t>
            </w:r>
          </w:p>
          <w:p w14:paraId="0DD5D701" w14:textId="77777777" w:rsidR="00BF18CF" w:rsidRDefault="00E51347">
            <w:r>
              <w:t>Cette propriété est transitive et réflexive.</w:t>
            </w:r>
          </w:p>
        </w:tc>
      </w:tr>
      <w:tr w:rsidR="00BF18CF" w14:paraId="47E2238F" w14:textId="77777777" w:rsidTr="00BF18CF">
        <w:tc>
          <w:tcPr>
            <w:tcW w:w="1925" w:type="dxa"/>
          </w:tcPr>
          <w:p w14:paraId="7FC52A3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65" w:type="dxa"/>
          </w:tcPr>
          <w:p w14:paraId="49F1449D" w14:textId="77777777" w:rsidR="00BF18CF" w:rsidRDefault="00E51347">
            <w:pPr>
              <w:numPr>
                <w:ilvl w:val="0"/>
                <w:numId w:val="19"/>
              </w:numPr>
            </w:pPr>
            <w:r>
              <w:t>La grande peste de Londres (</w:t>
            </w:r>
            <w:r>
              <w:rPr>
                <w:rFonts w:ascii="Consolas" w:eastAsia="Consolas" w:hAnsi="Consolas" w:cs="Consolas"/>
                <w:sz w:val="22"/>
                <w:szCs w:val="22"/>
                <w:shd w:val="clear" w:color="auto" w:fill="EAEEF3"/>
              </w:rPr>
              <w:t>E4_Période</w:t>
            </w:r>
            <w:r>
              <w:t>) s’insère dans (</w:t>
            </w:r>
            <w:r>
              <w:rPr>
                <w:rFonts w:ascii="Consolas" w:eastAsia="Consolas" w:hAnsi="Consolas" w:cs="Consolas"/>
                <w:sz w:val="22"/>
                <w:szCs w:val="22"/>
                <w:shd w:val="clear" w:color="auto" w:fill="EAEEF3"/>
              </w:rPr>
              <w:t>P10_s’insère_dans</w:t>
            </w:r>
            <w:r>
              <w:t>) la période de l’art gothique (</w:t>
            </w:r>
            <w:r>
              <w:rPr>
                <w:rFonts w:ascii="Consolas" w:eastAsia="Consolas" w:hAnsi="Consolas" w:cs="Consolas"/>
                <w:sz w:val="22"/>
                <w:szCs w:val="22"/>
                <w:shd w:val="clear" w:color="auto" w:fill="EAEEF3"/>
              </w:rPr>
              <w:t>E4_Période</w:t>
            </w:r>
            <w:r>
              <w:t>) (Porter, 2012)</w:t>
            </w:r>
          </w:p>
        </w:tc>
      </w:tr>
      <w:tr w:rsidR="00BF18CF" w14:paraId="4BED68C9" w14:textId="77777777" w:rsidTr="00BF18CF">
        <w:tc>
          <w:tcPr>
            <w:tcW w:w="1925" w:type="dxa"/>
          </w:tcPr>
          <w:p w14:paraId="497B0DB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65" w:type="dxa"/>
          </w:tcPr>
          <w:p w14:paraId="10C96352" w14:textId="77777777" w:rsidR="00BF18CF" w:rsidRDefault="00E51347">
            <w:r>
              <w:t>P10(</w:t>
            </w:r>
            <w:proofErr w:type="gramStart"/>
            <w:r>
              <w:t>x,y</w:t>
            </w:r>
            <w:proofErr w:type="gramEnd"/>
            <w:r>
              <w:t>) ⇒ E92(x)</w:t>
            </w:r>
          </w:p>
          <w:p w14:paraId="18F40BB8" w14:textId="77777777" w:rsidR="00BF18CF" w:rsidRDefault="00E51347">
            <w:r>
              <w:t>P10(</w:t>
            </w:r>
            <w:proofErr w:type="gramStart"/>
            <w:r>
              <w:t>x,y</w:t>
            </w:r>
            <w:proofErr w:type="gramEnd"/>
            <w:r>
              <w:t>) ⇒ E92(y)</w:t>
            </w:r>
          </w:p>
          <w:p w14:paraId="65725DE5" w14:textId="77777777" w:rsidR="00BF18CF" w:rsidRDefault="00E51347">
            <w:r>
              <w:t>P10(</w:t>
            </w:r>
            <w:proofErr w:type="gramStart"/>
            <w:r>
              <w:t>x,y</w:t>
            </w:r>
            <w:proofErr w:type="gramEnd"/>
            <w:r>
              <w:t>) ⇒ P132(x,y)</w:t>
            </w:r>
          </w:p>
          <w:p w14:paraId="6F89020A" w14:textId="77777777" w:rsidR="00BF18CF" w:rsidRDefault="00E51347">
            <w:r>
              <w:t>[P10(</w:t>
            </w:r>
            <w:proofErr w:type="gramStart"/>
            <w:r>
              <w:t>x,y</w:t>
            </w:r>
            <w:proofErr w:type="gramEnd"/>
            <w:r>
              <w:t>) ∧ P10(y,z)] ⇒ P10(x,z)</w:t>
            </w:r>
          </w:p>
          <w:p w14:paraId="76203064" w14:textId="77777777" w:rsidR="00BF18CF" w:rsidRDefault="00E51347">
            <w:r>
              <w:t>P10(</w:t>
            </w:r>
            <w:proofErr w:type="gramStart"/>
            <w:r>
              <w:t>x,x</w:t>
            </w:r>
            <w:proofErr w:type="gramEnd"/>
            <w:r>
              <w:t>)</w:t>
            </w:r>
          </w:p>
        </w:tc>
      </w:tr>
      <w:tr w:rsidR="00BF18CF" w14:paraId="6C115A02" w14:textId="77777777" w:rsidTr="00BF18CF">
        <w:tc>
          <w:tcPr>
            <w:tcW w:w="1925" w:type="dxa"/>
          </w:tcPr>
          <w:p w14:paraId="6DD9B59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65" w:type="dxa"/>
          </w:tcPr>
          <w:p w14:paraId="54195CFE" w14:textId="77777777" w:rsidR="00BF18CF" w:rsidRDefault="00BF18CF">
            <w:pPr>
              <w:pBdr>
                <w:top w:val="nil"/>
                <w:left w:val="nil"/>
                <w:bottom w:val="nil"/>
                <w:right w:val="nil"/>
                <w:between w:val="nil"/>
              </w:pBdr>
              <w:spacing w:before="36" w:after="36"/>
              <w:rPr>
                <w:color w:val="000000"/>
              </w:rPr>
            </w:pPr>
          </w:p>
        </w:tc>
      </w:tr>
      <w:tr w:rsidR="00BF18CF" w14:paraId="7F379C86" w14:textId="77777777" w:rsidTr="00BF18CF">
        <w:tc>
          <w:tcPr>
            <w:tcW w:w="1925" w:type="dxa"/>
          </w:tcPr>
          <w:p w14:paraId="70B6E17B" w14:textId="1CC15A16"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65" w:type="dxa"/>
          </w:tcPr>
          <w:p w14:paraId="32F5151C" w14:textId="77777777" w:rsidR="00BF18CF" w:rsidRDefault="00BF18CF">
            <w:pPr>
              <w:pBdr>
                <w:top w:val="nil"/>
                <w:left w:val="nil"/>
                <w:bottom w:val="nil"/>
                <w:right w:val="nil"/>
                <w:between w:val="nil"/>
              </w:pBdr>
              <w:spacing w:before="36" w:after="36"/>
              <w:rPr>
                <w:color w:val="000000"/>
              </w:rPr>
            </w:pPr>
          </w:p>
        </w:tc>
      </w:tr>
      <w:tr w:rsidR="00BF18CF" w14:paraId="3957C7CB" w14:textId="77777777" w:rsidTr="00BF18CF">
        <w:tc>
          <w:tcPr>
            <w:tcW w:w="1925" w:type="dxa"/>
          </w:tcPr>
          <w:p w14:paraId="137CBA3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65" w:type="dxa"/>
          </w:tcPr>
          <w:p w14:paraId="33009B6F" w14:textId="77777777" w:rsidR="00BF18CF" w:rsidRDefault="00BF18CF">
            <w:pPr>
              <w:pBdr>
                <w:top w:val="nil"/>
                <w:left w:val="nil"/>
                <w:bottom w:val="nil"/>
                <w:right w:val="nil"/>
                <w:between w:val="nil"/>
              </w:pBdr>
              <w:spacing w:before="36" w:after="36"/>
              <w:rPr>
                <w:color w:val="000000"/>
              </w:rPr>
            </w:pPr>
          </w:p>
        </w:tc>
      </w:tr>
    </w:tbl>
    <w:p w14:paraId="779881BF" w14:textId="77777777" w:rsidR="00BF18CF" w:rsidRDefault="00E51347">
      <w:pPr>
        <w:pStyle w:val="Heading3"/>
      </w:pPr>
      <w:bookmarkStart w:id="283" w:name="bookmark=id.l7a3n9" w:colFirst="0" w:colLast="0"/>
      <w:bookmarkStart w:id="284" w:name="_Toc144360885"/>
      <w:bookmarkEnd w:id="283"/>
      <w:r>
        <w:t>P11 a eu pour actant participant (a participé à)</w:t>
      </w:r>
      <w:bookmarkEnd w:id="284"/>
    </w:p>
    <w:tbl>
      <w:tblPr>
        <w:tblStyle w:val="a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0"/>
        <w:gridCol w:w="8790"/>
      </w:tblGrid>
      <w:tr w:rsidR="00BF18CF" w14:paraId="03B93663" w14:textId="77777777" w:rsidTr="00BF18CF">
        <w:tc>
          <w:tcPr>
            <w:tcW w:w="1900" w:type="dxa"/>
          </w:tcPr>
          <w:p w14:paraId="30B675C6"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0" w:type="dxa"/>
          </w:tcPr>
          <w:p w14:paraId="62D0EA4B" w14:textId="77777777" w:rsidR="00BF18CF" w:rsidRDefault="00E51347">
            <w:r>
              <w:rPr>
                <w:rFonts w:ascii="Consolas" w:eastAsia="Consolas" w:hAnsi="Consolas" w:cs="Consolas"/>
                <w:sz w:val="22"/>
                <w:szCs w:val="22"/>
                <w:shd w:val="clear" w:color="auto" w:fill="EAEEF3"/>
              </w:rPr>
              <w:t>E5_Évènement</w:t>
            </w:r>
          </w:p>
        </w:tc>
      </w:tr>
      <w:tr w:rsidR="00BF18CF" w14:paraId="43146850" w14:textId="77777777" w:rsidTr="00BF18CF">
        <w:tc>
          <w:tcPr>
            <w:tcW w:w="1900" w:type="dxa"/>
          </w:tcPr>
          <w:p w14:paraId="73682018"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0" w:type="dxa"/>
          </w:tcPr>
          <w:p w14:paraId="7CA43865" w14:textId="77777777" w:rsidR="00BF18CF" w:rsidRDefault="00E51347">
            <w:r>
              <w:rPr>
                <w:rFonts w:ascii="Consolas" w:eastAsia="Consolas" w:hAnsi="Consolas" w:cs="Consolas"/>
                <w:sz w:val="22"/>
                <w:szCs w:val="22"/>
                <w:shd w:val="clear" w:color="auto" w:fill="EAEEF3"/>
              </w:rPr>
              <w:t>E39_Actant</w:t>
            </w:r>
          </w:p>
        </w:tc>
      </w:tr>
      <w:tr w:rsidR="00BF18CF" w14:paraId="68AE41AD" w14:textId="77777777" w:rsidTr="00BF18CF">
        <w:tc>
          <w:tcPr>
            <w:tcW w:w="1900" w:type="dxa"/>
          </w:tcPr>
          <w:p w14:paraId="00F2950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0" w:type="dxa"/>
          </w:tcPr>
          <w:p w14:paraId="754B66A8"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P12_a_eu_lieu_en_présence_de (a_été_présent_à)</w:t>
            </w:r>
            <w:r>
              <w:t xml:space="preserve"> : </w:t>
            </w:r>
            <w:r>
              <w:rPr>
                <w:rFonts w:ascii="Consolas" w:eastAsia="Consolas" w:hAnsi="Consolas" w:cs="Consolas"/>
                <w:sz w:val="22"/>
                <w:szCs w:val="22"/>
                <w:shd w:val="clear" w:color="auto" w:fill="EAEEF3"/>
              </w:rPr>
              <w:t>E77_Entité_persistante</w:t>
            </w:r>
          </w:p>
        </w:tc>
      </w:tr>
      <w:tr w:rsidR="00BF18CF" w14:paraId="5E870D08" w14:textId="77777777" w:rsidTr="00BF18CF">
        <w:tc>
          <w:tcPr>
            <w:tcW w:w="1900" w:type="dxa"/>
          </w:tcPr>
          <w:p w14:paraId="001A7EF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0" w:type="dxa"/>
          </w:tcPr>
          <w:p w14:paraId="1385798A"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P14_a_été_effectué_par (a_effectué)</w:t>
            </w:r>
            <w:r>
              <w:t xml:space="preserve"> : </w:t>
            </w:r>
            <w:r>
              <w:rPr>
                <w:rFonts w:ascii="Consolas" w:eastAsia="Consolas" w:hAnsi="Consolas" w:cs="Consolas"/>
                <w:sz w:val="22"/>
                <w:szCs w:val="22"/>
                <w:shd w:val="clear" w:color="auto" w:fill="EAEEF3"/>
              </w:rPr>
              <w:t>E39_Actant</w:t>
            </w:r>
          </w:p>
          <w:p w14:paraId="02945245" w14:textId="77777777" w:rsidR="00BF18CF" w:rsidRDefault="00E51347">
            <w:r>
              <w:rPr>
                <w:rFonts w:ascii="Consolas" w:eastAsia="Consolas" w:hAnsi="Consolas" w:cs="Consolas"/>
                <w:sz w:val="22"/>
                <w:szCs w:val="22"/>
                <w:shd w:val="clear" w:color="auto" w:fill="EAEEF3"/>
              </w:rPr>
              <w:t>E67_Naissance</w:t>
            </w:r>
            <w:r>
              <w:t xml:space="preserve">. </w:t>
            </w:r>
            <w:r>
              <w:rPr>
                <w:rFonts w:ascii="Consolas" w:eastAsia="Consolas" w:hAnsi="Consolas" w:cs="Consolas"/>
                <w:sz w:val="22"/>
                <w:szCs w:val="22"/>
                <w:shd w:val="clear" w:color="auto" w:fill="EAEEF3"/>
              </w:rPr>
              <w:t>P96_de_mère (a_donné_naissance_à)</w:t>
            </w:r>
            <w:r>
              <w:t xml:space="preserve"> : </w:t>
            </w:r>
            <w:r>
              <w:rPr>
                <w:rFonts w:ascii="Consolas" w:eastAsia="Consolas" w:hAnsi="Consolas" w:cs="Consolas"/>
                <w:sz w:val="22"/>
                <w:szCs w:val="22"/>
                <w:shd w:val="clear" w:color="auto" w:fill="EAEEF3"/>
              </w:rPr>
              <w:t>E21_Personne</w:t>
            </w:r>
          </w:p>
          <w:p w14:paraId="0F24C637" w14:textId="77777777" w:rsidR="00BF18CF" w:rsidRDefault="00E51347">
            <w:r>
              <w:rPr>
                <w:rFonts w:ascii="Consolas" w:eastAsia="Consolas" w:hAnsi="Consolas" w:cs="Consolas"/>
                <w:sz w:val="22"/>
                <w:szCs w:val="22"/>
                <w:shd w:val="clear" w:color="auto" w:fill="EAEEF3"/>
              </w:rPr>
              <w:lastRenderedPageBreak/>
              <w:t>E68_Dissolution</w:t>
            </w:r>
            <w:r>
              <w:t xml:space="preserve">. </w:t>
            </w:r>
            <w:r>
              <w:rPr>
                <w:rFonts w:ascii="Consolas" w:eastAsia="Consolas" w:hAnsi="Consolas" w:cs="Consolas"/>
                <w:sz w:val="22"/>
                <w:szCs w:val="22"/>
                <w:shd w:val="clear" w:color="auto" w:fill="EAEEF3"/>
              </w:rPr>
              <w:t>P99_a_dissous (a_été_dissous_par)</w:t>
            </w:r>
            <w:r>
              <w:t xml:space="preserve"> : </w:t>
            </w:r>
            <w:r>
              <w:rPr>
                <w:rFonts w:ascii="Consolas" w:eastAsia="Consolas" w:hAnsi="Consolas" w:cs="Consolas"/>
                <w:sz w:val="22"/>
                <w:szCs w:val="22"/>
                <w:shd w:val="clear" w:color="auto" w:fill="EAEEF3"/>
              </w:rPr>
              <w:t>E74_Groupe</w:t>
            </w:r>
          </w:p>
          <w:p w14:paraId="10D4EAE8" w14:textId="77777777" w:rsidR="00BF18CF" w:rsidRDefault="00E51347">
            <w:r>
              <w:rPr>
                <w:rFonts w:ascii="Consolas" w:eastAsia="Consolas" w:hAnsi="Consolas" w:cs="Consolas"/>
                <w:sz w:val="22"/>
                <w:szCs w:val="22"/>
                <w:shd w:val="clear" w:color="auto" w:fill="EAEEF3"/>
              </w:rPr>
              <w:t>E85_Adhésion</w:t>
            </w:r>
            <w:r>
              <w:t xml:space="preserve">. </w:t>
            </w:r>
            <w:r>
              <w:rPr>
                <w:rFonts w:ascii="Consolas" w:eastAsia="Consolas" w:hAnsi="Consolas" w:cs="Consolas"/>
                <w:sz w:val="22"/>
                <w:szCs w:val="22"/>
                <w:shd w:val="clear" w:color="auto" w:fill="EAEEF3"/>
              </w:rPr>
              <w:t>P143_a_fait_adhérer (a_adhéré_par)</w:t>
            </w:r>
            <w:r>
              <w:t xml:space="preserve"> : </w:t>
            </w:r>
            <w:r>
              <w:rPr>
                <w:rFonts w:ascii="Consolas" w:eastAsia="Consolas" w:hAnsi="Consolas" w:cs="Consolas"/>
                <w:sz w:val="22"/>
                <w:szCs w:val="22"/>
                <w:shd w:val="clear" w:color="auto" w:fill="EAEEF3"/>
              </w:rPr>
              <w:t>E39_Actant</w:t>
            </w:r>
          </w:p>
          <w:p w14:paraId="5344886C" w14:textId="77777777" w:rsidR="00BF18CF" w:rsidRDefault="00E51347">
            <w:r>
              <w:rPr>
                <w:rFonts w:ascii="Consolas" w:eastAsia="Consolas" w:hAnsi="Consolas" w:cs="Consolas"/>
                <w:sz w:val="22"/>
                <w:szCs w:val="22"/>
                <w:shd w:val="clear" w:color="auto" w:fill="EAEEF3"/>
              </w:rPr>
              <w:t>E85_Adhésion</w:t>
            </w:r>
            <w:r>
              <w:t xml:space="preserve">. </w:t>
            </w:r>
            <w:r>
              <w:rPr>
                <w:rFonts w:ascii="Consolas" w:eastAsia="Consolas" w:hAnsi="Consolas" w:cs="Consolas"/>
                <w:sz w:val="22"/>
                <w:szCs w:val="22"/>
                <w:shd w:val="clear" w:color="auto" w:fill="EAEEF3"/>
              </w:rPr>
              <w:t>P144_a_fait_adhérer_à (a_accueilli_le_membre_par)</w:t>
            </w:r>
            <w:r>
              <w:t xml:space="preserve"> : </w:t>
            </w:r>
            <w:r>
              <w:rPr>
                <w:rFonts w:ascii="Consolas" w:eastAsia="Consolas" w:hAnsi="Consolas" w:cs="Consolas"/>
                <w:sz w:val="22"/>
                <w:szCs w:val="22"/>
                <w:shd w:val="clear" w:color="auto" w:fill="EAEEF3"/>
              </w:rPr>
              <w:t>E74_Groupe</w:t>
            </w:r>
          </w:p>
          <w:p w14:paraId="073287D6" w14:textId="77777777" w:rsidR="00BF18CF" w:rsidRDefault="00E51347">
            <w:r>
              <w:rPr>
                <w:rFonts w:ascii="Consolas" w:eastAsia="Consolas" w:hAnsi="Consolas" w:cs="Consolas"/>
                <w:sz w:val="22"/>
                <w:szCs w:val="22"/>
                <w:shd w:val="clear" w:color="auto" w:fill="EAEEF3"/>
              </w:rPr>
              <w:t>E86_Départ</w:t>
            </w:r>
            <w:r>
              <w:t xml:space="preserve">. </w:t>
            </w:r>
            <w:r>
              <w:rPr>
                <w:rFonts w:ascii="Consolas" w:eastAsia="Consolas" w:hAnsi="Consolas" w:cs="Consolas"/>
                <w:sz w:val="22"/>
                <w:szCs w:val="22"/>
                <w:shd w:val="clear" w:color="auto" w:fill="EAEEF3"/>
              </w:rPr>
              <w:t>P145_a_dissocié (est_dissocié_par)</w:t>
            </w:r>
            <w:r>
              <w:t xml:space="preserve"> : </w:t>
            </w:r>
            <w:r>
              <w:rPr>
                <w:rFonts w:ascii="Consolas" w:eastAsia="Consolas" w:hAnsi="Consolas" w:cs="Consolas"/>
                <w:sz w:val="22"/>
                <w:szCs w:val="22"/>
                <w:shd w:val="clear" w:color="auto" w:fill="EAEEF3"/>
              </w:rPr>
              <w:t>E39_Actant</w:t>
            </w:r>
          </w:p>
          <w:p w14:paraId="3891D850" w14:textId="77777777" w:rsidR="00BF18CF" w:rsidRDefault="00E51347">
            <w:r>
              <w:rPr>
                <w:rFonts w:ascii="Consolas" w:eastAsia="Consolas" w:hAnsi="Consolas" w:cs="Consolas"/>
                <w:sz w:val="22"/>
                <w:szCs w:val="22"/>
                <w:shd w:val="clear" w:color="auto" w:fill="EAEEF3"/>
              </w:rPr>
              <w:t>E86_Départ</w:t>
            </w:r>
            <w:r>
              <w:t xml:space="preserve">. </w:t>
            </w:r>
            <w:r>
              <w:rPr>
                <w:rFonts w:ascii="Consolas" w:eastAsia="Consolas" w:hAnsi="Consolas" w:cs="Consolas"/>
                <w:sz w:val="22"/>
                <w:szCs w:val="22"/>
                <w:shd w:val="clear" w:color="auto" w:fill="EAEEF3"/>
              </w:rPr>
              <w:t>P146_a_dissocié_de (a_perdu_le_membre_par)</w:t>
            </w:r>
            <w:r>
              <w:t xml:space="preserve"> : </w:t>
            </w:r>
            <w:r>
              <w:rPr>
                <w:rFonts w:ascii="Consolas" w:eastAsia="Consolas" w:hAnsi="Consolas" w:cs="Consolas"/>
                <w:sz w:val="22"/>
                <w:szCs w:val="22"/>
                <w:shd w:val="clear" w:color="auto" w:fill="EAEEF3"/>
              </w:rPr>
              <w:t>E74_Groupe</w:t>
            </w:r>
          </w:p>
          <w:p w14:paraId="4E24380C" w14:textId="77777777" w:rsidR="00BF18CF" w:rsidRDefault="00E51347">
            <w:r>
              <w:rPr>
                <w:rFonts w:ascii="Consolas" w:eastAsia="Consolas" w:hAnsi="Consolas" w:cs="Consolas"/>
                <w:sz w:val="22"/>
                <w:szCs w:val="22"/>
                <w:shd w:val="clear" w:color="auto" w:fill="EAEEF3"/>
              </w:rPr>
              <w:t>E66_Formation</w:t>
            </w:r>
            <w:r>
              <w:t xml:space="preserve">. </w:t>
            </w:r>
            <w:r>
              <w:rPr>
                <w:rFonts w:ascii="Consolas" w:eastAsia="Consolas" w:hAnsi="Consolas" w:cs="Consolas"/>
                <w:sz w:val="22"/>
                <w:szCs w:val="22"/>
                <w:shd w:val="clear" w:color="auto" w:fill="EAEEF3"/>
              </w:rPr>
              <w:t>P151_a_été_formé_à_partir_de (a_participé_à)</w:t>
            </w:r>
            <w:r>
              <w:t xml:space="preserve"> : </w:t>
            </w:r>
            <w:r>
              <w:rPr>
                <w:rFonts w:ascii="Consolas" w:eastAsia="Consolas" w:hAnsi="Consolas" w:cs="Consolas"/>
                <w:sz w:val="22"/>
                <w:szCs w:val="22"/>
                <w:shd w:val="clear" w:color="auto" w:fill="EAEEF3"/>
              </w:rPr>
              <w:t>E74_Groupe</w:t>
            </w:r>
          </w:p>
        </w:tc>
      </w:tr>
      <w:tr w:rsidR="00BF18CF" w14:paraId="1A7712D2" w14:textId="77777777" w:rsidTr="00BF18CF">
        <w:tc>
          <w:tcPr>
            <w:tcW w:w="1900" w:type="dxa"/>
          </w:tcPr>
          <w:p w14:paraId="7E0BE297"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790" w:type="dxa"/>
          </w:tcPr>
          <w:p w14:paraId="2900B045" w14:textId="77777777" w:rsidR="00BF18CF" w:rsidRDefault="00E51347">
            <w:proofErr w:type="gramStart"/>
            <w:r>
              <w:t>plusieurs</w:t>
            </w:r>
            <w:proofErr w:type="gramEnd"/>
            <w:r>
              <w:t xml:space="preserve"> à plusieurs (0,n:0,n)</w:t>
            </w:r>
          </w:p>
        </w:tc>
      </w:tr>
      <w:tr w:rsidR="00BF18CF" w14:paraId="33A0E4EF" w14:textId="77777777" w:rsidTr="00BF18CF">
        <w:tc>
          <w:tcPr>
            <w:tcW w:w="1900" w:type="dxa"/>
          </w:tcPr>
          <w:p w14:paraId="6519CE4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0" w:type="dxa"/>
          </w:tcPr>
          <w:p w14:paraId="2A0AE796" w14:textId="77777777" w:rsidR="00BF18CF" w:rsidRDefault="00E51347">
            <w:r>
              <w:t xml:space="preserve">Cette propriété décrit la participation active ou passive d’une instance de </w:t>
            </w:r>
            <w:r>
              <w:rPr>
                <w:rFonts w:ascii="Consolas" w:eastAsia="Consolas" w:hAnsi="Consolas" w:cs="Consolas"/>
                <w:sz w:val="22"/>
                <w:szCs w:val="22"/>
                <w:shd w:val="clear" w:color="auto" w:fill="EAEEF3"/>
              </w:rPr>
              <w:t>E39_Actant</w:t>
            </w:r>
            <w:r>
              <w:t xml:space="preserve"> à une instance de </w:t>
            </w:r>
            <w:r>
              <w:rPr>
                <w:rFonts w:ascii="Consolas" w:eastAsia="Consolas" w:hAnsi="Consolas" w:cs="Consolas"/>
                <w:sz w:val="22"/>
                <w:szCs w:val="22"/>
                <w:shd w:val="clear" w:color="auto" w:fill="EAEEF3"/>
              </w:rPr>
              <w:t>E5_Évènement</w:t>
            </w:r>
            <w:r>
              <w:t>.</w:t>
            </w:r>
          </w:p>
          <w:p w14:paraId="7F633A02" w14:textId="77777777" w:rsidR="00BF18CF" w:rsidRDefault="00E51347">
            <w:r>
              <w:t xml:space="preserve">Elle documente les évènements connus auxquels une instance de </w:t>
            </w:r>
            <w:r>
              <w:rPr>
                <w:rFonts w:ascii="Consolas" w:eastAsia="Consolas" w:hAnsi="Consolas" w:cs="Consolas"/>
                <w:sz w:val="22"/>
                <w:szCs w:val="22"/>
                <w:shd w:val="clear" w:color="auto" w:fill="EAEEF3"/>
              </w:rPr>
              <w:t>E39_Actant</w:t>
            </w:r>
            <w:r>
              <w:t xml:space="preserve"> a pris part durant le cours de sa vie ou de son histoire.</w:t>
            </w:r>
          </w:p>
          <w:p w14:paraId="1CB55ABC" w14:textId="77777777" w:rsidR="00BF18CF" w:rsidRDefault="00E51347">
            <w:r>
              <w:t xml:space="preserve">Les instances de </w:t>
            </w:r>
            <w:r>
              <w:rPr>
                <w:rFonts w:ascii="Consolas" w:eastAsia="Consolas" w:hAnsi="Consolas" w:cs="Consolas"/>
                <w:sz w:val="22"/>
                <w:szCs w:val="22"/>
                <w:shd w:val="clear" w:color="auto" w:fill="EAEEF3"/>
              </w:rPr>
              <w:t>E53_Lieu</w:t>
            </w:r>
            <w:r>
              <w:t xml:space="preserve"> et de </w:t>
            </w:r>
            <w:r>
              <w:rPr>
                <w:rFonts w:ascii="Consolas" w:eastAsia="Consolas" w:hAnsi="Consolas" w:cs="Consolas"/>
                <w:sz w:val="22"/>
                <w:szCs w:val="22"/>
                <w:shd w:val="clear" w:color="auto" w:fill="EAEEF3"/>
              </w:rPr>
              <w:t>E52_Intervalle_temporel</w:t>
            </w:r>
            <w:r>
              <w:t xml:space="preserve"> précisant où et quand ces évènements ont eu lieu indiquent des contraintes quant à la présence dans le passé des instances de </w:t>
            </w:r>
            <w:r>
              <w:rPr>
                <w:rFonts w:ascii="Consolas" w:eastAsia="Consolas" w:hAnsi="Consolas" w:cs="Consolas"/>
                <w:sz w:val="22"/>
                <w:szCs w:val="22"/>
                <w:shd w:val="clear" w:color="auto" w:fill="EAEEF3"/>
              </w:rPr>
              <w:t>E39_Actant</w:t>
            </w:r>
            <w:r>
              <w:t xml:space="preserve"> impliquées dans ces évènements.</w:t>
            </w:r>
          </w:p>
          <w:p w14:paraId="7466A972" w14:textId="77777777" w:rsidR="00BF18CF" w:rsidRDefault="00E51347">
            <w:r>
              <w:t xml:space="preserve">Les actants collectifs, c.-à-d. les instances de </w:t>
            </w:r>
            <w:r>
              <w:rPr>
                <w:rFonts w:ascii="Consolas" w:eastAsia="Consolas" w:hAnsi="Consolas" w:cs="Consolas"/>
                <w:sz w:val="22"/>
                <w:szCs w:val="22"/>
                <w:shd w:val="clear" w:color="auto" w:fill="EAEEF3"/>
              </w:rPr>
              <w:t>E74_Groupe</w:t>
            </w:r>
            <w:r>
              <w:t xml:space="preserve">, ne peuvent participer physiquement à des évènements que par l’intermédiaire des instances de </w:t>
            </w:r>
            <w:r>
              <w:rPr>
                <w:rFonts w:ascii="Consolas" w:eastAsia="Consolas" w:hAnsi="Consolas" w:cs="Consolas"/>
                <w:sz w:val="22"/>
                <w:szCs w:val="22"/>
                <w:shd w:val="clear" w:color="auto" w:fill="EAEEF3"/>
              </w:rPr>
              <w:t>E21_Personne</w:t>
            </w:r>
            <w:r>
              <w:t xml:space="preserve"> qui les caractérisent. La participation de plusieurs actants à un évènement est très probablement une indication de leurs connaissances et interactions.</w:t>
            </w:r>
          </w:p>
          <w:p w14:paraId="217F81BD" w14:textId="77777777" w:rsidR="00BF18CF" w:rsidRDefault="00E51347">
            <w:r>
              <w:t>Cette propriété signifie qu’un actant a été impliqué dans un évènement, mais n’implique aucune relation causale. Par exemple, une personne dépeinte peut être considérée comme ayant participé à la création de son portrait.</w:t>
            </w:r>
          </w:p>
        </w:tc>
      </w:tr>
      <w:tr w:rsidR="00BF18CF" w14:paraId="5F050420" w14:textId="77777777" w:rsidTr="00BF18CF">
        <w:tc>
          <w:tcPr>
            <w:tcW w:w="1900" w:type="dxa"/>
          </w:tcPr>
          <w:p w14:paraId="3E7B8449"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0" w:type="dxa"/>
          </w:tcPr>
          <w:p w14:paraId="238EA7BB" w14:textId="77777777" w:rsidR="00BF18CF" w:rsidRDefault="00E51347">
            <w:pPr>
              <w:numPr>
                <w:ilvl w:val="0"/>
                <w:numId w:val="19"/>
              </w:numPr>
            </w:pPr>
            <w:r>
              <w:t>Napoléon (</w:t>
            </w:r>
            <w:r>
              <w:rPr>
                <w:rFonts w:ascii="Consolas" w:eastAsia="Consolas" w:hAnsi="Consolas" w:cs="Consolas"/>
                <w:sz w:val="22"/>
                <w:szCs w:val="22"/>
                <w:shd w:val="clear" w:color="auto" w:fill="EAEEF3"/>
              </w:rPr>
              <w:t>E21_Personne</w:t>
            </w:r>
            <w:r>
              <w:t>) a participé à (</w:t>
            </w:r>
            <w:r>
              <w:rPr>
                <w:rFonts w:ascii="Consolas" w:eastAsia="Consolas" w:hAnsi="Consolas" w:cs="Consolas"/>
                <w:sz w:val="22"/>
                <w:szCs w:val="22"/>
                <w:shd w:val="clear" w:color="auto" w:fill="EAEEF3"/>
              </w:rPr>
              <w:t>P11i_a_participé_à</w:t>
            </w:r>
            <w:r>
              <w:t>) la Bataille de Waterloo (</w:t>
            </w:r>
            <w:r>
              <w:rPr>
                <w:rFonts w:ascii="Consolas" w:eastAsia="Consolas" w:hAnsi="Consolas" w:cs="Consolas"/>
                <w:sz w:val="22"/>
                <w:szCs w:val="22"/>
                <w:shd w:val="clear" w:color="auto" w:fill="EAEEF3"/>
              </w:rPr>
              <w:t>E7_Activité</w:t>
            </w:r>
            <w:r>
              <w:t>)</w:t>
            </w:r>
          </w:p>
          <w:p w14:paraId="32C58827" w14:textId="77777777" w:rsidR="00BF18CF" w:rsidRDefault="00E51347">
            <w:pPr>
              <w:numPr>
                <w:ilvl w:val="0"/>
                <w:numId w:val="19"/>
              </w:numPr>
            </w:pPr>
            <w:r>
              <w:t>Maria (</w:t>
            </w:r>
            <w:r>
              <w:rPr>
                <w:rFonts w:ascii="Consolas" w:eastAsia="Consolas" w:hAnsi="Consolas" w:cs="Consolas"/>
                <w:sz w:val="22"/>
                <w:szCs w:val="22"/>
                <w:shd w:val="clear" w:color="auto" w:fill="EAEEF3"/>
              </w:rPr>
              <w:t>E21_Personne</w:t>
            </w:r>
            <w:r>
              <w:t>) a participé à (</w:t>
            </w:r>
            <w:r>
              <w:rPr>
                <w:rFonts w:ascii="Consolas" w:eastAsia="Consolas" w:hAnsi="Consolas" w:cs="Consolas"/>
                <w:sz w:val="22"/>
                <w:szCs w:val="22"/>
                <w:shd w:val="clear" w:color="auto" w:fill="EAEEF3"/>
              </w:rPr>
              <w:t>P11i_a_participé_à</w:t>
            </w:r>
            <w:r>
              <w:t>) la Photographie de Maria (</w:t>
            </w:r>
            <w:r>
              <w:rPr>
                <w:rFonts w:ascii="Consolas" w:eastAsia="Consolas" w:hAnsi="Consolas" w:cs="Consolas"/>
                <w:sz w:val="22"/>
                <w:szCs w:val="22"/>
                <w:shd w:val="clear" w:color="auto" w:fill="EAEEF3"/>
              </w:rPr>
              <w:t>E7_Activité</w:t>
            </w:r>
            <w:r>
              <w:t>)</w:t>
            </w:r>
          </w:p>
        </w:tc>
      </w:tr>
      <w:tr w:rsidR="00BF18CF" w14:paraId="2EE63040" w14:textId="77777777" w:rsidTr="00BF18CF">
        <w:tc>
          <w:tcPr>
            <w:tcW w:w="1900" w:type="dxa"/>
          </w:tcPr>
          <w:p w14:paraId="5E7C362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0" w:type="dxa"/>
          </w:tcPr>
          <w:p w14:paraId="5E36AA5E" w14:textId="77777777" w:rsidR="00BF18CF" w:rsidRDefault="00E51347">
            <w:r>
              <w:t>P11(</w:t>
            </w:r>
            <w:proofErr w:type="gramStart"/>
            <w:r>
              <w:t>x,y</w:t>
            </w:r>
            <w:proofErr w:type="gramEnd"/>
            <w:r>
              <w:t>) ⊃ E5(x)</w:t>
            </w:r>
          </w:p>
          <w:p w14:paraId="7232D26E" w14:textId="77777777" w:rsidR="00BF18CF" w:rsidRDefault="00E51347">
            <w:r>
              <w:t>P11(</w:t>
            </w:r>
            <w:proofErr w:type="gramStart"/>
            <w:r>
              <w:t>x,y</w:t>
            </w:r>
            <w:proofErr w:type="gramEnd"/>
            <w:r>
              <w:t>) ⊃ E39(y)</w:t>
            </w:r>
          </w:p>
          <w:p w14:paraId="22BFB096" w14:textId="77777777" w:rsidR="00BF18CF" w:rsidRDefault="00E51347">
            <w:r>
              <w:t>P11(</w:t>
            </w:r>
            <w:proofErr w:type="gramStart"/>
            <w:r>
              <w:t>x,y</w:t>
            </w:r>
            <w:proofErr w:type="gramEnd"/>
            <w:r>
              <w:t>) ⊃ P12(x,y)</w:t>
            </w:r>
          </w:p>
        </w:tc>
      </w:tr>
      <w:tr w:rsidR="00BF18CF" w14:paraId="003A02EC" w14:textId="77777777" w:rsidTr="00BF18CF">
        <w:tc>
          <w:tcPr>
            <w:tcW w:w="1900" w:type="dxa"/>
          </w:tcPr>
          <w:p w14:paraId="4FD5E53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0" w:type="dxa"/>
          </w:tcPr>
          <w:p w14:paraId="5BC719EA" w14:textId="77777777" w:rsidR="00BF18CF" w:rsidRDefault="00BF18CF">
            <w:pPr>
              <w:pBdr>
                <w:top w:val="nil"/>
                <w:left w:val="nil"/>
                <w:bottom w:val="nil"/>
                <w:right w:val="nil"/>
                <w:between w:val="nil"/>
              </w:pBdr>
              <w:spacing w:before="36" w:after="36"/>
              <w:rPr>
                <w:color w:val="000000"/>
              </w:rPr>
            </w:pPr>
          </w:p>
        </w:tc>
      </w:tr>
      <w:tr w:rsidR="00BF18CF" w14:paraId="3A44A98A" w14:textId="77777777" w:rsidTr="00BF18CF">
        <w:tc>
          <w:tcPr>
            <w:tcW w:w="1900" w:type="dxa"/>
          </w:tcPr>
          <w:p w14:paraId="4C8ED433" w14:textId="4DD9D2D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0" w:type="dxa"/>
          </w:tcPr>
          <w:p w14:paraId="1E6F98C6" w14:textId="77777777" w:rsidR="00BF18CF" w:rsidRDefault="00BF18CF">
            <w:pPr>
              <w:pBdr>
                <w:top w:val="nil"/>
                <w:left w:val="nil"/>
                <w:bottom w:val="nil"/>
                <w:right w:val="nil"/>
                <w:between w:val="nil"/>
              </w:pBdr>
              <w:spacing w:before="36" w:after="36"/>
              <w:rPr>
                <w:color w:val="000000"/>
              </w:rPr>
            </w:pPr>
          </w:p>
        </w:tc>
      </w:tr>
      <w:tr w:rsidR="00BF18CF" w14:paraId="58A941C6" w14:textId="77777777" w:rsidTr="00BF18CF">
        <w:tc>
          <w:tcPr>
            <w:tcW w:w="1900" w:type="dxa"/>
          </w:tcPr>
          <w:p w14:paraId="7728E32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0" w:type="dxa"/>
          </w:tcPr>
          <w:p w14:paraId="769F4F11" w14:textId="77777777" w:rsidR="00BF18CF" w:rsidRDefault="00BF18CF">
            <w:pPr>
              <w:pBdr>
                <w:top w:val="nil"/>
                <w:left w:val="nil"/>
                <w:bottom w:val="nil"/>
                <w:right w:val="nil"/>
                <w:between w:val="nil"/>
              </w:pBdr>
              <w:spacing w:before="36" w:after="36"/>
              <w:rPr>
                <w:color w:val="000000"/>
              </w:rPr>
            </w:pPr>
          </w:p>
        </w:tc>
      </w:tr>
    </w:tbl>
    <w:p w14:paraId="704D39D8" w14:textId="77777777" w:rsidR="00BF18CF" w:rsidRDefault="00E51347">
      <w:pPr>
        <w:pStyle w:val="Heading3"/>
      </w:pPr>
      <w:bookmarkStart w:id="285" w:name="bookmark=id.356xmb2" w:colFirst="0" w:colLast="0"/>
      <w:bookmarkStart w:id="286" w:name="_Toc144360886"/>
      <w:bookmarkEnd w:id="285"/>
      <w:r>
        <w:lastRenderedPageBreak/>
        <w:t>P12 a eu lieu en présence de (a été présent à)</w:t>
      </w:r>
      <w:bookmarkEnd w:id="286"/>
    </w:p>
    <w:tbl>
      <w:tblPr>
        <w:tblStyle w:val="af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1"/>
        <w:gridCol w:w="8789"/>
      </w:tblGrid>
      <w:tr w:rsidR="00BF18CF" w14:paraId="270E0FA5" w14:textId="77777777" w:rsidTr="00BF18CF">
        <w:tc>
          <w:tcPr>
            <w:tcW w:w="1901" w:type="dxa"/>
          </w:tcPr>
          <w:p w14:paraId="5DB1096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89" w:type="dxa"/>
          </w:tcPr>
          <w:p w14:paraId="6BC2B105" w14:textId="77777777" w:rsidR="00BF18CF" w:rsidRDefault="00E51347">
            <w:r>
              <w:rPr>
                <w:rFonts w:ascii="Consolas" w:eastAsia="Consolas" w:hAnsi="Consolas" w:cs="Consolas"/>
                <w:sz w:val="22"/>
                <w:szCs w:val="22"/>
                <w:shd w:val="clear" w:color="auto" w:fill="EAEEF3"/>
              </w:rPr>
              <w:t>E5_Évènement</w:t>
            </w:r>
          </w:p>
        </w:tc>
      </w:tr>
      <w:tr w:rsidR="00BF18CF" w14:paraId="5ABA2F93" w14:textId="77777777" w:rsidTr="00BF18CF">
        <w:tc>
          <w:tcPr>
            <w:tcW w:w="1901" w:type="dxa"/>
          </w:tcPr>
          <w:p w14:paraId="617AE61C"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89" w:type="dxa"/>
          </w:tcPr>
          <w:p w14:paraId="42DAB0B7" w14:textId="77777777" w:rsidR="00BF18CF" w:rsidRDefault="00E51347">
            <w:r>
              <w:rPr>
                <w:rFonts w:ascii="Consolas" w:eastAsia="Consolas" w:hAnsi="Consolas" w:cs="Consolas"/>
                <w:sz w:val="22"/>
                <w:szCs w:val="22"/>
                <w:shd w:val="clear" w:color="auto" w:fill="EAEEF3"/>
              </w:rPr>
              <w:t>E77_Entité_persistante</w:t>
            </w:r>
          </w:p>
        </w:tc>
      </w:tr>
      <w:tr w:rsidR="00BF18CF" w14:paraId="0B0228F5" w14:textId="77777777" w:rsidTr="00BF18CF">
        <w:tc>
          <w:tcPr>
            <w:tcW w:w="1901" w:type="dxa"/>
          </w:tcPr>
          <w:p w14:paraId="33C0051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89" w:type="dxa"/>
          </w:tcPr>
          <w:p w14:paraId="68908318" w14:textId="77777777" w:rsidR="00BF18CF" w:rsidRDefault="00E51347">
            <w:r>
              <w:t>-</w:t>
            </w:r>
          </w:p>
        </w:tc>
      </w:tr>
      <w:tr w:rsidR="00BF18CF" w14:paraId="5FEE92D8" w14:textId="77777777" w:rsidTr="00BF18CF">
        <w:tc>
          <w:tcPr>
            <w:tcW w:w="1901" w:type="dxa"/>
          </w:tcPr>
          <w:p w14:paraId="6CE9EE6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89" w:type="dxa"/>
          </w:tcPr>
          <w:p w14:paraId="656CF156"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P11_a eu_pour_actant_participant (a_participé_à)</w:t>
            </w:r>
            <w:r>
              <w:t xml:space="preserve"> : </w:t>
            </w:r>
            <w:r>
              <w:rPr>
                <w:rFonts w:ascii="Consolas" w:eastAsia="Consolas" w:hAnsi="Consolas" w:cs="Consolas"/>
                <w:sz w:val="22"/>
                <w:szCs w:val="22"/>
                <w:shd w:val="clear" w:color="auto" w:fill="EAEEF3"/>
              </w:rPr>
              <w:t>E39_Actant</w:t>
            </w:r>
          </w:p>
          <w:p w14:paraId="1F73685B"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P16_a_mobilisé_l'objet_spécifique (a_été_mobilisé_pour)</w:t>
            </w:r>
            <w:r>
              <w:t xml:space="preserve"> : </w:t>
            </w:r>
            <w:r>
              <w:rPr>
                <w:rFonts w:ascii="Consolas" w:eastAsia="Consolas" w:hAnsi="Consolas" w:cs="Consolas"/>
                <w:sz w:val="22"/>
                <w:szCs w:val="22"/>
                <w:shd w:val="clear" w:color="auto" w:fill="EAEEF3"/>
              </w:rPr>
              <w:t>E70_Chose</w:t>
            </w:r>
          </w:p>
          <w:p w14:paraId="2977250E" w14:textId="77777777" w:rsidR="00BF18CF" w:rsidRDefault="00E51347">
            <w:r>
              <w:rPr>
                <w:rFonts w:ascii="Consolas" w:eastAsia="Consolas" w:hAnsi="Consolas" w:cs="Consolas"/>
                <w:sz w:val="22"/>
                <w:szCs w:val="22"/>
                <w:shd w:val="clear" w:color="auto" w:fill="EAEEF3"/>
              </w:rPr>
              <w:t>E9_Déplacement</w:t>
            </w:r>
            <w:r>
              <w:t xml:space="preserve">. </w:t>
            </w:r>
            <w:r>
              <w:rPr>
                <w:rFonts w:ascii="Consolas" w:eastAsia="Consolas" w:hAnsi="Consolas" w:cs="Consolas"/>
                <w:sz w:val="22"/>
                <w:szCs w:val="22"/>
                <w:shd w:val="clear" w:color="auto" w:fill="EAEEF3"/>
              </w:rPr>
              <w:t>P25_a_déplacé (a_été_déplacé_par)</w:t>
            </w:r>
            <w:r>
              <w:t xml:space="preserve"> : </w:t>
            </w:r>
            <w:r>
              <w:rPr>
                <w:rFonts w:ascii="Consolas" w:eastAsia="Consolas" w:hAnsi="Consolas" w:cs="Consolas"/>
                <w:sz w:val="22"/>
                <w:szCs w:val="22"/>
                <w:shd w:val="clear" w:color="auto" w:fill="EAEEF3"/>
              </w:rPr>
              <w:t>E18_Chose_matérielle</w:t>
            </w:r>
          </w:p>
          <w:p w14:paraId="5AD55430" w14:textId="77777777" w:rsidR="00BF18CF" w:rsidRDefault="00E51347">
            <w:r>
              <w:rPr>
                <w:rFonts w:ascii="Consolas" w:eastAsia="Consolas" w:hAnsi="Consolas" w:cs="Consolas"/>
                <w:sz w:val="22"/>
                <w:szCs w:val="22"/>
                <w:shd w:val="clear" w:color="auto" w:fill="EAEEF3"/>
              </w:rPr>
              <w:t>E63_Début_d'existence</w:t>
            </w:r>
            <w:r>
              <w:t xml:space="preserve">. </w:t>
            </w:r>
            <w:r>
              <w:rPr>
                <w:rFonts w:ascii="Consolas" w:eastAsia="Consolas" w:hAnsi="Consolas" w:cs="Consolas"/>
                <w:sz w:val="22"/>
                <w:szCs w:val="22"/>
                <w:shd w:val="clear" w:color="auto" w:fill="EAEEF3"/>
              </w:rPr>
              <w:t>P92_a_fait_exister (a_commencé_à_exister_par)</w:t>
            </w:r>
            <w:r>
              <w:t xml:space="preserve"> : </w:t>
            </w:r>
            <w:r>
              <w:rPr>
                <w:rFonts w:ascii="Consolas" w:eastAsia="Consolas" w:hAnsi="Consolas" w:cs="Consolas"/>
                <w:sz w:val="22"/>
                <w:szCs w:val="22"/>
                <w:shd w:val="clear" w:color="auto" w:fill="EAEEF3"/>
              </w:rPr>
              <w:t>E77_Entité_persistante</w:t>
            </w:r>
          </w:p>
          <w:p w14:paraId="450BA7EE" w14:textId="77777777" w:rsidR="00BF18CF" w:rsidRDefault="00E51347">
            <w:r>
              <w:rPr>
                <w:rFonts w:ascii="Consolas" w:eastAsia="Consolas" w:hAnsi="Consolas" w:cs="Consolas"/>
                <w:sz w:val="22"/>
                <w:szCs w:val="22"/>
                <w:shd w:val="clear" w:color="auto" w:fill="EAEEF3"/>
              </w:rPr>
              <w:t>E64_Fin_d'existence</w:t>
            </w:r>
            <w:r>
              <w:t xml:space="preserve">. </w:t>
            </w:r>
            <w:r>
              <w:rPr>
                <w:rFonts w:ascii="Consolas" w:eastAsia="Consolas" w:hAnsi="Consolas" w:cs="Consolas"/>
                <w:sz w:val="22"/>
                <w:szCs w:val="22"/>
                <w:shd w:val="clear" w:color="auto" w:fill="EAEEF3"/>
              </w:rPr>
              <w:t>P93_a_mis_fin_à_l'existence_de (a_cessé_d'exister_par)</w:t>
            </w:r>
            <w:r>
              <w:t xml:space="preserve"> : </w:t>
            </w:r>
            <w:r>
              <w:rPr>
                <w:rFonts w:ascii="Consolas" w:eastAsia="Consolas" w:hAnsi="Consolas" w:cs="Consolas"/>
                <w:sz w:val="22"/>
                <w:szCs w:val="22"/>
                <w:shd w:val="clear" w:color="auto" w:fill="EAEEF3"/>
              </w:rPr>
              <w:t>E77_Entité_persistante</w:t>
            </w:r>
          </w:p>
          <w:p w14:paraId="6B361DEA" w14:textId="77777777" w:rsidR="00BF18CF" w:rsidRDefault="00E51347">
            <w:r>
              <w:rPr>
                <w:rFonts w:ascii="Consolas" w:eastAsia="Consolas" w:hAnsi="Consolas" w:cs="Consolas"/>
                <w:sz w:val="22"/>
                <w:szCs w:val="22"/>
                <w:shd w:val="clear" w:color="auto" w:fill="EAEEF3"/>
              </w:rPr>
              <w:t>E79_Ajout_d'élément</w:t>
            </w:r>
            <w:r>
              <w:t xml:space="preserve">. </w:t>
            </w:r>
            <w:r>
              <w:rPr>
                <w:rFonts w:ascii="Consolas" w:eastAsia="Consolas" w:hAnsi="Consolas" w:cs="Consolas"/>
                <w:sz w:val="22"/>
                <w:szCs w:val="22"/>
                <w:shd w:val="clear" w:color="auto" w:fill="EAEEF3"/>
              </w:rPr>
              <w:t>P111_a_ajouté (a_été_ajouté_par)</w:t>
            </w:r>
            <w:r>
              <w:t xml:space="preserve"> : </w:t>
            </w:r>
            <w:r>
              <w:rPr>
                <w:rFonts w:ascii="Consolas" w:eastAsia="Consolas" w:hAnsi="Consolas" w:cs="Consolas"/>
                <w:sz w:val="22"/>
                <w:szCs w:val="22"/>
                <w:shd w:val="clear" w:color="auto" w:fill="EAEEF3"/>
              </w:rPr>
              <w:t>E18_Chose_matérielle</w:t>
            </w:r>
          </w:p>
          <w:p w14:paraId="16268CA7" w14:textId="77777777" w:rsidR="00BF18CF" w:rsidRDefault="00E51347">
            <w:r>
              <w:rPr>
                <w:rFonts w:ascii="Consolas" w:eastAsia="Consolas" w:hAnsi="Consolas" w:cs="Consolas"/>
                <w:sz w:val="22"/>
                <w:szCs w:val="22"/>
                <w:shd w:val="clear" w:color="auto" w:fill="EAEEF3"/>
              </w:rPr>
              <w:t>E80_Retrait_d'élément</w:t>
            </w:r>
            <w:r>
              <w:t xml:space="preserve">. </w:t>
            </w:r>
            <w:r>
              <w:rPr>
                <w:rFonts w:ascii="Consolas" w:eastAsia="Consolas" w:hAnsi="Consolas" w:cs="Consolas"/>
                <w:sz w:val="22"/>
                <w:szCs w:val="22"/>
                <w:shd w:val="clear" w:color="auto" w:fill="EAEEF3"/>
              </w:rPr>
              <w:t>P113_a_retiré (a_été_retiré_par)</w:t>
            </w:r>
            <w:r>
              <w:t xml:space="preserve"> : </w:t>
            </w:r>
            <w:r>
              <w:rPr>
                <w:rFonts w:ascii="Consolas" w:eastAsia="Consolas" w:hAnsi="Consolas" w:cs="Consolas"/>
                <w:sz w:val="22"/>
                <w:szCs w:val="22"/>
                <w:shd w:val="clear" w:color="auto" w:fill="EAEEF3"/>
              </w:rPr>
              <w:t>E18_Chose_matérielle</w:t>
            </w:r>
          </w:p>
        </w:tc>
      </w:tr>
      <w:tr w:rsidR="00BF18CF" w14:paraId="06844968" w14:textId="77777777" w:rsidTr="00BF18CF">
        <w:tc>
          <w:tcPr>
            <w:tcW w:w="1901" w:type="dxa"/>
          </w:tcPr>
          <w:p w14:paraId="5E8460C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89" w:type="dxa"/>
          </w:tcPr>
          <w:p w14:paraId="17828DBD" w14:textId="77777777" w:rsidR="00BF18CF" w:rsidRDefault="00E51347">
            <w:proofErr w:type="gramStart"/>
            <w:r>
              <w:t>plusieurs</w:t>
            </w:r>
            <w:proofErr w:type="gramEnd"/>
            <w:r>
              <w:t xml:space="preserve"> à plusieurs, nécessaire (1,n:0,n)</w:t>
            </w:r>
          </w:p>
        </w:tc>
      </w:tr>
      <w:tr w:rsidR="00BF18CF" w14:paraId="44A465A1" w14:textId="77777777" w:rsidTr="00BF18CF">
        <w:tc>
          <w:tcPr>
            <w:tcW w:w="1901" w:type="dxa"/>
          </w:tcPr>
          <w:p w14:paraId="1C00C1A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89" w:type="dxa"/>
          </w:tcPr>
          <w:p w14:paraId="6412A160" w14:textId="77777777" w:rsidR="00BF18CF" w:rsidRDefault="00E51347">
            <w:r>
              <w:t xml:space="preserve">Cette propriété décrit la présence active ou passive [n.d.t. d’une instance de] </w:t>
            </w:r>
            <w:r>
              <w:rPr>
                <w:rFonts w:ascii="Consolas" w:eastAsia="Consolas" w:hAnsi="Consolas" w:cs="Consolas"/>
                <w:sz w:val="22"/>
                <w:szCs w:val="22"/>
                <w:shd w:val="clear" w:color="auto" w:fill="EAEEF3"/>
              </w:rPr>
              <w:t>E77_Entité_Persistante</w:t>
            </w:r>
            <w:r>
              <w:t xml:space="preserve"> à une instance de </w:t>
            </w:r>
            <w:r>
              <w:rPr>
                <w:rFonts w:ascii="Consolas" w:eastAsia="Consolas" w:hAnsi="Consolas" w:cs="Consolas"/>
                <w:sz w:val="22"/>
                <w:szCs w:val="22"/>
                <w:shd w:val="clear" w:color="auto" w:fill="EAEEF3"/>
              </w:rPr>
              <w:t>E5_Évènement</w:t>
            </w:r>
            <w:r>
              <w:t xml:space="preserve"> sans impliquer de rôle spécifique.</w:t>
            </w:r>
          </w:p>
          <w:p w14:paraId="39C5BB10" w14:textId="77777777" w:rsidR="00BF18CF" w:rsidRDefault="00E51347">
            <w:r>
              <w:t xml:space="preserve">Elle documente les évènements connus au cours desquels une instance de </w:t>
            </w:r>
            <w:r>
              <w:rPr>
                <w:rFonts w:ascii="Consolas" w:eastAsia="Consolas" w:hAnsi="Consolas" w:cs="Consolas"/>
                <w:sz w:val="22"/>
                <w:szCs w:val="22"/>
                <w:shd w:val="clear" w:color="auto" w:fill="EAEEF3"/>
              </w:rPr>
              <w:t>E77_Entité_persistante</w:t>
            </w:r>
            <w:r>
              <w:t xml:space="preserve"> était présente pendant le cours de son existence ou de son histoire.</w:t>
            </w:r>
          </w:p>
          <w:p w14:paraId="71A630D2" w14:textId="77777777" w:rsidR="00BF18CF" w:rsidRDefault="00E51347">
            <w:r>
              <w:t>Par exemple, l’objet peut être un bureau sur lequel un traité a été signé et qui se trouve maintenant dans un musée.</w:t>
            </w:r>
          </w:p>
          <w:p w14:paraId="0FABEA98" w14:textId="77777777" w:rsidR="00BF18CF" w:rsidRDefault="00E51347">
            <w:r>
              <w:t xml:space="preserve">L’instance de </w:t>
            </w:r>
            <w:r>
              <w:rPr>
                <w:rFonts w:ascii="Consolas" w:eastAsia="Consolas" w:hAnsi="Consolas" w:cs="Consolas"/>
                <w:sz w:val="22"/>
                <w:szCs w:val="22"/>
                <w:shd w:val="clear" w:color="auto" w:fill="EAEEF3"/>
              </w:rPr>
              <w:t>E53_Lieu</w:t>
            </w:r>
            <w:r>
              <w:t xml:space="preserve"> et l’instance de </w:t>
            </w:r>
            <w:r>
              <w:rPr>
                <w:rFonts w:ascii="Consolas" w:eastAsia="Consolas" w:hAnsi="Consolas" w:cs="Consolas"/>
                <w:sz w:val="22"/>
                <w:szCs w:val="22"/>
                <w:shd w:val="clear" w:color="auto" w:fill="EAEEF3"/>
              </w:rPr>
              <w:t>E52_Intervalle_temporel</w:t>
            </w:r>
            <w:r>
              <w:t xml:space="preserve"> précisant où et quand ces évènements ont eu lieu indiquent des contraintes quant à la présence dans le passé de l’instance de </w:t>
            </w:r>
            <w:r>
              <w:rPr>
                <w:rFonts w:ascii="Consolas" w:eastAsia="Consolas" w:hAnsi="Consolas" w:cs="Consolas"/>
                <w:sz w:val="22"/>
                <w:szCs w:val="22"/>
                <w:shd w:val="clear" w:color="auto" w:fill="EAEEF3"/>
              </w:rPr>
              <w:t>E77_Entité_persistante</w:t>
            </w:r>
            <w:r>
              <w:t xml:space="preserve"> impliquée dans ces évènements.</w:t>
            </w:r>
          </w:p>
          <w:p w14:paraId="515377E6" w14:textId="77777777" w:rsidR="00BF18CF" w:rsidRDefault="00E51347">
            <w:r>
              <w:t xml:space="preserve">Les instances de </w:t>
            </w:r>
            <w:r>
              <w:rPr>
                <w:rFonts w:ascii="Consolas" w:eastAsia="Consolas" w:hAnsi="Consolas" w:cs="Consolas"/>
                <w:sz w:val="22"/>
                <w:szCs w:val="22"/>
                <w:shd w:val="clear" w:color="auto" w:fill="EAEEF3"/>
              </w:rPr>
              <w:t>E90_Objet_symbolique</w:t>
            </w:r>
            <w:r>
              <w:t xml:space="preserve">, en particulier les objets informationnels, sont physiquement présentes lors d’évènements via au moins une des instances de </w:t>
            </w:r>
            <w:r>
              <w:rPr>
                <w:rFonts w:ascii="Consolas" w:eastAsia="Consolas" w:hAnsi="Consolas" w:cs="Consolas"/>
                <w:sz w:val="22"/>
                <w:szCs w:val="22"/>
                <w:shd w:val="clear" w:color="auto" w:fill="EAEEF3"/>
              </w:rPr>
              <w:t>E18_Chose_matérielle</w:t>
            </w:r>
            <w:r>
              <w:t xml:space="preserve"> qui en sont les supports. Il est à noter que l’esprit humain peut être l’un de ces supports.</w:t>
            </w:r>
          </w:p>
          <w:p w14:paraId="0A2B929E" w14:textId="77777777" w:rsidR="00BF18CF" w:rsidRDefault="00E51347">
            <w:r>
              <w:t xml:space="preserve">Une condition préalable au transfert de l’information vers une personne ou un nouveau support physique est la présence [n.d.t. conjointe] de l’objet </w:t>
            </w:r>
            <w:r>
              <w:lastRenderedPageBreak/>
              <w:t>informationnel et de cette personne ou de cette chose matérielle à un même évènement.</w:t>
            </w:r>
          </w:p>
        </w:tc>
      </w:tr>
      <w:tr w:rsidR="00BF18CF" w14:paraId="50A463DB" w14:textId="77777777" w:rsidTr="00BF18CF">
        <w:tc>
          <w:tcPr>
            <w:tcW w:w="1901" w:type="dxa"/>
          </w:tcPr>
          <w:p w14:paraId="71DBAE19"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89" w:type="dxa"/>
          </w:tcPr>
          <w:p w14:paraId="13B2E268" w14:textId="77777777" w:rsidR="00BF18CF" w:rsidRDefault="00E51347">
            <w:pPr>
              <w:numPr>
                <w:ilvl w:val="0"/>
                <w:numId w:val="19"/>
              </w:numPr>
            </w:pPr>
            <w:r>
              <w:t>La Chaise longue 42 (</w:t>
            </w:r>
            <w:r>
              <w:rPr>
                <w:rFonts w:ascii="Consolas" w:eastAsia="Consolas" w:hAnsi="Consolas" w:cs="Consolas"/>
                <w:sz w:val="22"/>
                <w:szCs w:val="22"/>
                <w:shd w:val="clear" w:color="auto" w:fill="EAEEF3"/>
              </w:rPr>
              <w:t>E19_Objet_matériel</w:t>
            </w:r>
            <w:r>
              <w:t>) a été présente au (</w:t>
            </w:r>
            <w:r>
              <w:rPr>
                <w:rFonts w:ascii="Consolas" w:eastAsia="Consolas" w:hAnsi="Consolas" w:cs="Consolas"/>
                <w:sz w:val="22"/>
                <w:szCs w:val="22"/>
                <w:shd w:val="clear" w:color="auto" w:fill="EAEEF3"/>
              </w:rPr>
              <w:t>P12i_a_été présent_à</w:t>
            </w:r>
            <w:r>
              <w:t>) naufrage du Titanic (</w:t>
            </w:r>
            <w:r>
              <w:rPr>
                <w:rFonts w:ascii="Consolas" w:eastAsia="Consolas" w:hAnsi="Consolas" w:cs="Consolas"/>
                <w:sz w:val="22"/>
                <w:szCs w:val="22"/>
                <w:shd w:val="clear" w:color="auto" w:fill="EAEEF3"/>
              </w:rPr>
              <w:t>E5_Évènement</w:t>
            </w:r>
            <w:r>
              <w:t>)</w:t>
            </w:r>
          </w:p>
        </w:tc>
      </w:tr>
      <w:tr w:rsidR="00BF18CF" w14:paraId="08BFA089" w14:textId="77777777" w:rsidTr="00BF18CF">
        <w:tc>
          <w:tcPr>
            <w:tcW w:w="1901" w:type="dxa"/>
          </w:tcPr>
          <w:p w14:paraId="4D97AB9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89" w:type="dxa"/>
          </w:tcPr>
          <w:p w14:paraId="4E9F84D2" w14:textId="77777777" w:rsidR="00BF18CF" w:rsidRDefault="00E51347">
            <w:r>
              <w:t>P12(</w:t>
            </w:r>
            <w:proofErr w:type="gramStart"/>
            <w:r>
              <w:t>x,y</w:t>
            </w:r>
            <w:proofErr w:type="gramEnd"/>
            <w:r>
              <w:t>) ⊃ E5(x)</w:t>
            </w:r>
          </w:p>
          <w:p w14:paraId="58B73D83" w14:textId="77777777" w:rsidR="00BF18CF" w:rsidRDefault="00E51347">
            <w:r>
              <w:t>P12(</w:t>
            </w:r>
            <w:proofErr w:type="gramStart"/>
            <w:r>
              <w:t>x,y</w:t>
            </w:r>
            <w:proofErr w:type="gramEnd"/>
            <w:r>
              <w:t>) ⊃ E77(y)</w:t>
            </w:r>
          </w:p>
        </w:tc>
      </w:tr>
      <w:tr w:rsidR="00BF18CF" w14:paraId="3D8B1735" w14:textId="77777777" w:rsidTr="00BF18CF">
        <w:tc>
          <w:tcPr>
            <w:tcW w:w="1901" w:type="dxa"/>
          </w:tcPr>
          <w:p w14:paraId="3A7E685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89" w:type="dxa"/>
          </w:tcPr>
          <w:p w14:paraId="1E765AEE" w14:textId="77777777" w:rsidR="00BF18CF" w:rsidRDefault="00BF18CF">
            <w:pPr>
              <w:pBdr>
                <w:top w:val="nil"/>
                <w:left w:val="nil"/>
                <w:bottom w:val="nil"/>
                <w:right w:val="nil"/>
                <w:between w:val="nil"/>
              </w:pBdr>
              <w:spacing w:before="36" w:after="36"/>
              <w:rPr>
                <w:color w:val="000000"/>
              </w:rPr>
            </w:pPr>
          </w:p>
        </w:tc>
      </w:tr>
      <w:tr w:rsidR="00BF18CF" w14:paraId="51126EF5" w14:textId="77777777" w:rsidTr="00BF18CF">
        <w:tc>
          <w:tcPr>
            <w:tcW w:w="1901" w:type="dxa"/>
          </w:tcPr>
          <w:p w14:paraId="1C060F51" w14:textId="574921C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89" w:type="dxa"/>
          </w:tcPr>
          <w:p w14:paraId="2F865FB5" w14:textId="77777777" w:rsidR="00BF18CF" w:rsidRDefault="00E51347">
            <w:r>
              <w:t xml:space="preserve">Les termes “its life and history [of an instance of </w:t>
            </w:r>
            <w:r>
              <w:rPr>
                <w:rFonts w:ascii="Consolas" w:eastAsia="Consolas" w:hAnsi="Consolas" w:cs="Consolas"/>
                <w:sz w:val="22"/>
                <w:szCs w:val="22"/>
                <w:shd w:val="clear" w:color="auto" w:fill="EAEEF3"/>
              </w:rPr>
              <w:t>E77_Persistent_Item</w:t>
            </w:r>
            <w:r>
              <w:t>]” ont été traduits par “de son existence ou de son histoire”, étant donné que le mot “vie” est davantage utilisé pour décrire l’existence d’un être vivant que d’un objet.</w:t>
            </w:r>
          </w:p>
        </w:tc>
      </w:tr>
      <w:tr w:rsidR="00BF18CF" w14:paraId="55E765AA" w14:textId="77777777" w:rsidTr="00BF18CF">
        <w:tc>
          <w:tcPr>
            <w:tcW w:w="1901" w:type="dxa"/>
          </w:tcPr>
          <w:p w14:paraId="4B377C6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89" w:type="dxa"/>
          </w:tcPr>
          <w:p w14:paraId="2AAD501E" w14:textId="77777777" w:rsidR="00BF18CF" w:rsidRDefault="00BF18CF">
            <w:pPr>
              <w:pBdr>
                <w:top w:val="nil"/>
                <w:left w:val="nil"/>
                <w:bottom w:val="nil"/>
                <w:right w:val="nil"/>
                <w:between w:val="nil"/>
              </w:pBdr>
              <w:spacing w:before="36" w:after="36"/>
              <w:rPr>
                <w:color w:val="000000"/>
              </w:rPr>
            </w:pPr>
          </w:p>
        </w:tc>
      </w:tr>
    </w:tbl>
    <w:p w14:paraId="293411A3" w14:textId="77777777" w:rsidR="00BF18CF" w:rsidRDefault="00E51347">
      <w:pPr>
        <w:pStyle w:val="Heading3"/>
      </w:pPr>
      <w:bookmarkStart w:id="287" w:name="bookmark=id.1kc7wiv" w:colFirst="0" w:colLast="0"/>
      <w:bookmarkStart w:id="288" w:name="_Toc144360887"/>
      <w:bookmarkEnd w:id="287"/>
      <w:r>
        <w:t>P13 a détruit (a été détruit par)</w:t>
      </w:r>
      <w:bookmarkEnd w:id="288"/>
    </w:p>
    <w:tbl>
      <w:tblPr>
        <w:tblStyle w:val="a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7BC25DDE" w14:textId="77777777" w:rsidTr="00BF18CF">
        <w:tc>
          <w:tcPr>
            <w:tcW w:w="2097" w:type="dxa"/>
          </w:tcPr>
          <w:p w14:paraId="4D955CC0"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761416FA" w14:textId="77777777" w:rsidR="00BF18CF" w:rsidRDefault="00E51347">
            <w:r>
              <w:rPr>
                <w:rFonts w:ascii="Consolas" w:eastAsia="Consolas" w:hAnsi="Consolas" w:cs="Consolas"/>
                <w:sz w:val="22"/>
                <w:szCs w:val="22"/>
                <w:shd w:val="clear" w:color="auto" w:fill="EAEEF3"/>
              </w:rPr>
              <w:t>E6_Destruction</w:t>
            </w:r>
          </w:p>
        </w:tc>
      </w:tr>
      <w:tr w:rsidR="00BF18CF" w14:paraId="49CB19B7" w14:textId="77777777" w:rsidTr="00BF18CF">
        <w:tc>
          <w:tcPr>
            <w:tcW w:w="2097" w:type="dxa"/>
          </w:tcPr>
          <w:p w14:paraId="6A9800F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6469CC2F" w14:textId="77777777" w:rsidR="00BF18CF" w:rsidRDefault="00E51347">
            <w:r>
              <w:rPr>
                <w:rFonts w:ascii="Consolas" w:eastAsia="Consolas" w:hAnsi="Consolas" w:cs="Consolas"/>
                <w:sz w:val="22"/>
                <w:szCs w:val="22"/>
                <w:shd w:val="clear" w:color="auto" w:fill="EAEEF3"/>
              </w:rPr>
              <w:t>E18_Chose_matérielle</w:t>
            </w:r>
          </w:p>
        </w:tc>
      </w:tr>
      <w:tr w:rsidR="00BF18CF" w14:paraId="5C64C349" w14:textId="77777777" w:rsidTr="00BF18CF">
        <w:tc>
          <w:tcPr>
            <w:tcW w:w="2097" w:type="dxa"/>
          </w:tcPr>
          <w:p w14:paraId="0FA657E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7B85F068" w14:textId="77777777" w:rsidR="00BF18CF" w:rsidRDefault="00E51347">
            <w:r>
              <w:rPr>
                <w:rFonts w:ascii="Consolas" w:eastAsia="Consolas" w:hAnsi="Consolas" w:cs="Consolas"/>
                <w:sz w:val="22"/>
                <w:szCs w:val="22"/>
                <w:shd w:val="clear" w:color="auto" w:fill="EAEEF3"/>
              </w:rPr>
              <w:t>E64_Fin_d’existence</w:t>
            </w:r>
            <w:r>
              <w:t xml:space="preserve">. </w:t>
            </w:r>
            <w:r>
              <w:rPr>
                <w:rFonts w:ascii="Consolas" w:eastAsia="Consolas" w:hAnsi="Consolas" w:cs="Consolas"/>
                <w:sz w:val="22"/>
                <w:szCs w:val="22"/>
                <w:shd w:val="clear" w:color="auto" w:fill="EAEEF3"/>
              </w:rPr>
              <w:t>P93_a_mis_fin_à_l’existence_de (a_cessé_d’exister_par)</w:t>
            </w:r>
            <w:r>
              <w:t xml:space="preserve"> : </w:t>
            </w:r>
            <w:r>
              <w:rPr>
                <w:rFonts w:ascii="Consolas" w:eastAsia="Consolas" w:hAnsi="Consolas" w:cs="Consolas"/>
                <w:sz w:val="22"/>
                <w:szCs w:val="22"/>
                <w:shd w:val="clear" w:color="auto" w:fill="EAEEF3"/>
              </w:rPr>
              <w:t>E77_Entité_persistante</w:t>
            </w:r>
          </w:p>
        </w:tc>
      </w:tr>
      <w:tr w:rsidR="00BF18CF" w14:paraId="55111C1D" w14:textId="77777777" w:rsidTr="00BF18CF">
        <w:tc>
          <w:tcPr>
            <w:tcW w:w="2097" w:type="dxa"/>
          </w:tcPr>
          <w:p w14:paraId="20A4AAF4"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683F078A" w14:textId="77777777" w:rsidR="00BF18CF" w:rsidRDefault="00BF18CF">
            <w:pPr>
              <w:pBdr>
                <w:top w:val="nil"/>
                <w:left w:val="nil"/>
                <w:bottom w:val="nil"/>
                <w:right w:val="nil"/>
                <w:between w:val="nil"/>
              </w:pBdr>
              <w:spacing w:before="36" w:after="36"/>
              <w:rPr>
                <w:color w:val="000000"/>
              </w:rPr>
            </w:pPr>
          </w:p>
        </w:tc>
      </w:tr>
      <w:tr w:rsidR="00BF18CF" w14:paraId="37EE5B34" w14:textId="77777777" w:rsidTr="00BF18CF">
        <w:tc>
          <w:tcPr>
            <w:tcW w:w="2097" w:type="dxa"/>
          </w:tcPr>
          <w:p w14:paraId="0C705C5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4D93BE0A" w14:textId="77777777" w:rsidR="00BF18CF" w:rsidRDefault="00E51347">
            <w:proofErr w:type="gramStart"/>
            <w:r>
              <w:t>un</w:t>
            </w:r>
            <w:proofErr w:type="gramEnd"/>
            <w:r>
              <w:t xml:space="preserve"> à plusieurs, nécessaire (1,n:0,1)</w:t>
            </w:r>
          </w:p>
        </w:tc>
      </w:tr>
      <w:tr w:rsidR="00BF18CF" w14:paraId="3C29FB73" w14:textId="77777777" w:rsidTr="00BF18CF">
        <w:tc>
          <w:tcPr>
            <w:tcW w:w="2097" w:type="dxa"/>
          </w:tcPr>
          <w:p w14:paraId="4E2D9E0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4713441C" w14:textId="77777777" w:rsidR="00BF18CF" w:rsidRDefault="00E51347">
            <w:r>
              <w:t xml:space="preserve">Cette propriété lie une instance de </w:t>
            </w:r>
            <w:r>
              <w:rPr>
                <w:rFonts w:ascii="Consolas" w:eastAsia="Consolas" w:hAnsi="Consolas" w:cs="Consolas"/>
                <w:sz w:val="22"/>
                <w:szCs w:val="22"/>
                <w:shd w:val="clear" w:color="auto" w:fill="EAEEF3"/>
              </w:rPr>
              <w:t>E6_Destruction</w:t>
            </w:r>
            <w:r>
              <w:t xml:space="preserve"> à une instance de </w:t>
            </w:r>
            <w:r>
              <w:rPr>
                <w:rFonts w:ascii="Consolas" w:eastAsia="Consolas" w:hAnsi="Consolas" w:cs="Consolas"/>
                <w:sz w:val="22"/>
                <w:szCs w:val="22"/>
                <w:shd w:val="clear" w:color="auto" w:fill="EAEEF3"/>
              </w:rPr>
              <w:t>E18_Chose_matérielle</w:t>
            </w:r>
            <w:r>
              <w:t xml:space="preserve"> qu’elle a détruite.</w:t>
            </w:r>
          </w:p>
          <w:p w14:paraId="4928C568" w14:textId="77777777" w:rsidR="00BF18CF" w:rsidRDefault="00E51347">
            <w:r>
              <w:t xml:space="preserve">La destruction implique la fin de l’existence d’une entité, en tant que sujet de la documentation culturelle - la matière physique qui composait l’entité peut en fait continuer d’exister. Une instance de </w:t>
            </w:r>
            <w:r>
              <w:rPr>
                <w:rFonts w:ascii="Consolas" w:eastAsia="Consolas" w:hAnsi="Consolas" w:cs="Consolas"/>
                <w:sz w:val="22"/>
                <w:szCs w:val="22"/>
                <w:shd w:val="clear" w:color="auto" w:fill="EAEEF3"/>
              </w:rPr>
              <w:t>E6_Destruction</w:t>
            </w:r>
            <w:r>
              <w:t xml:space="preserve"> peut être contiguë à une instance de </w:t>
            </w:r>
            <w:r>
              <w:rPr>
                <w:rFonts w:ascii="Consolas" w:eastAsia="Consolas" w:hAnsi="Consolas" w:cs="Consolas"/>
                <w:sz w:val="22"/>
                <w:szCs w:val="22"/>
                <w:shd w:val="clear" w:color="auto" w:fill="EAEEF3"/>
              </w:rPr>
              <w:t>E12_Production</w:t>
            </w:r>
            <w:r>
              <w:t xml:space="preserve"> qui permet l’avènement d’un objet dérivé composé en partie de matière provenant de l’objet détruit.</w:t>
            </w:r>
          </w:p>
        </w:tc>
      </w:tr>
      <w:tr w:rsidR="00BF18CF" w14:paraId="66F6D8B6" w14:textId="77777777" w:rsidTr="00BF18CF">
        <w:tc>
          <w:tcPr>
            <w:tcW w:w="2097" w:type="dxa"/>
          </w:tcPr>
          <w:p w14:paraId="31A04E5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3" w:type="dxa"/>
          </w:tcPr>
          <w:p w14:paraId="6DEAE241" w14:textId="77777777" w:rsidR="00BF18CF" w:rsidRDefault="00E51347">
            <w:pPr>
              <w:numPr>
                <w:ilvl w:val="0"/>
                <w:numId w:val="19"/>
              </w:numPr>
            </w:pPr>
            <w:r>
              <w:t>La catastrophe ferroviaire du pont du Tay (</w:t>
            </w:r>
            <w:r>
              <w:rPr>
                <w:rFonts w:ascii="Consolas" w:eastAsia="Consolas" w:hAnsi="Consolas" w:cs="Consolas"/>
                <w:sz w:val="22"/>
                <w:szCs w:val="22"/>
                <w:shd w:val="clear" w:color="auto" w:fill="EAEEF3"/>
              </w:rPr>
              <w:t>E6_Destruction</w:t>
            </w:r>
            <w:r>
              <w:t>) a détruit (</w:t>
            </w:r>
            <w:r>
              <w:rPr>
                <w:rFonts w:ascii="Consolas" w:eastAsia="Consolas" w:hAnsi="Consolas" w:cs="Consolas"/>
                <w:sz w:val="22"/>
                <w:szCs w:val="22"/>
                <w:shd w:val="clear" w:color="auto" w:fill="EAEEF3"/>
              </w:rPr>
              <w:t>P13_a_détruit</w:t>
            </w:r>
            <w:r>
              <w:t>) le pont du Tay (</w:t>
            </w:r>
            <w:r>
              <w:rPr>
                <w:rFonts w:ascii="Consolas" w:eastAsia="Consolas" w:hAnsi="Consolas" w:cs="Consolas"/>
                <w:sz w:val="22"/>
                <w:szCs w:val="22"/>
                <w:shd w:val="clear" w:color="auto" w:fill="EAEEF3"/>
              </w:rPr>
              <w:t>E22_Objet_élaboré_par_l’humain</w:t>
            </w:r>
            <w:r>
              <w:t>) (Thomas, 1972)</w:t>
            </w:r>
          </w:p>
        </w:tc>
      </w:tr>
      <w:tr w:rsidR="00BF18CF" w14:paraId="22D937BE" w14:textId="77777777" w:rsidTr="00BF18CF">
        <w:tc>
          <w:tcPr>
            <w:tcW w:w="2097" w:type="dxa"/>
          </w:tcPr>
          <w:p w14:paraId="26E4BD1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30382388" w14:textId="77777777" w:rsidR="00BF18CF" w:rsidRDefault="00E51347">
            <w:r>
              <w:t>P13(</w:t>
            </w:r>
            <w:proofErr w:type="gramStart"/>
            <w:r>
              <w:t>x,y</w:t>
            </w:r>
            <w:proofErr w:type="gramEnd"/>
            <w:r>
              <w:t>) ⇒ E6 (x)</w:t>
            </w:r>
          </w:p>
          <w:p w14:paraId="74B7E701" w14:textId="77777777" w:rsidR="00BF18CF" w:rsidRDefault="00E51347">
            <w:r>
              <w:t>P13(</w:t>
            </w:r>
            <w:proofErr w:type="gramStart"/>
            <w:r>
              <w:t>x,y</w:t>
            </w:r>
            <w:proofErr w:type="gramEnd"/>
            <w:r>
              <w:t>) ⇒ E18(y)</w:t>
            </w:r>
          </w:p>
          <w:p w14:paraId="4E25FFF5" w14:textId="77777777" w:rsidR="00BF18CF" w:rsidRDefault="00E51347">
            <w:r>
              <w:t>P13(</w:t>
            </w:r>
            <w:proofErr w:type="gramStart"/>
            <w:r>
              <w:t>x,y</w:t>
            </w:r>
            <w:proofErr w:type="gramEnd"/>
            <w:r>
              <w:t>) ⇒ P93(x,y)</w:t>
            </w:r>
          </w:p>
        </w:tc>
      </w:tr>
      <w:tr w:rsidR="00BF18CF" w14:paraId="3B74495E" w14:textId="77777777" w:rsidTr="00BF18CF">
        <w:tc>
          <w:tcPr>
            <w:tcW w:w="2097" w:type="dxa"/>
          </w:tcPr>
          <w:p w14:paraId="023C306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5A1A3BC8" w14:textId="77777777" w:rsidR="00BF18CF" w:rsidRDefault="00BF18CF">
            <w:pPr>
              <w:pBdr>
                <w:top w:val="nil"/>
                <w:left w:val="nil"/>
                <w:bottom w:val="nil"/>
                <w:right w:val="nil"/>
                <w:between w:val="nil"/>
              </w:pBdr>
              <w:spacing w:before="36" w:after="36"/>
              <w:rPr>
                <w:color w:val="000000"/>
              </w:rPr>
            </w:pPr>
          </w:p>
        </w:tc>
      </w:tr>
      <w:tr w:rsidR="00BF18CF" w14:paraId="5B089CE1" w14:textId="77777777" w:rsidTr="00BF18CF">
        <w:tc>
          <w:tcPr>
            <w:tcW w:w="2097" w:type="dxa"/>
          </w:tcPr>
          <w:p w14:paraId="772F603B" w14:textId="612A869C"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6F8BA367" w14:textId="77777777" w:rsidR="00BF18CF" w:rsidRDefault="00E51347">
            <w:r>
              <w:t>Le terme « contiguous » a été traduit par « contigu(ë) », conformément à la traduction suggérée par Termium Plus.</w:t>
            </w:r>
          </w:p>
        </w:tc>
      </w:tr>
      <w:tr w:rsidR="00BF18CF" w14:paraId="6A17643C" w14:textId="77777777" w:rsidTr="00BF18CF">
        <w:tc>
          <w:tcPr>
            <w:tcW w:w="2097" w:type="dxa"/>
          </w:tcPr>
          <w:p w14:paraId="74774451"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8593" w:type="dxa"/>
          </w:tcPr>
          <w:p w14:paraId="1E84DCCD" w14:textId="77777777" w:rsidR="00BF18CF" w:rsidRDefault="00E51347">
            <w:r>
              <w:t xml:space="preserve">Termium. « </w:t>
            </w:r>
            <w:proofErr w:type="gramStart"/>
            <w:r>
              <w:t>contiguous</w:t>
            </w:r>
            <w:proofErr w:type="gramEnd"/>
            <w:r>
              <w:t xml:space="preserve"> ». Dans </w:t>
            </w:r>
            <w:r>
              <w:rPr>
                <w:i/>
              </w:rPr>
              <w:t>Termium Plus</w:t>
            </w:r>
            <w:r>
              <w:t>. Ottawa, CA-ON: Gouvernement du Canada, 8 octobre 2009.</w:t>
            </w:r>
            <w:hyperlink r:id="rId404" w:anchor="resultrecs">
              <w:r>
                <w:rPr>
                  <w:color w:val="4F81BD"/>
                </w:rPr>
                <w:t xml:space="preserve"> https://www.btb.termiumplus.gc.ca/tpv2alpha/alpha-fra.html?lang=fra&amp;i=1&amp;srchtxt=contiguous&amp;codom2nd_wet=1#resultrecs</w:t>
              </w:r>
            </w:hyperlink>
            <w:r>
              <w:t>.</w:t>
            </w:r>
          </w:p>
        </w:tc>
      </w:tr>
    </w:tbl>
    <w:p w14:paraId="1E6D41BE" w14:textId="77777777" w:rsidR="00BF18CF" w:rsidRDefault="00E51347">
      <w:pPr>
        <w:pStyle w:val="Heading3"/>
      </w:pPr>
      <w:bookmarkStart w:id="289" w:name="bookmark=id.44bvf6o" w:colFirst="0" w:colLast="0"/>
      <w:bookmarkStart w:id="290" w:name="_Toc144360888"/>
      <w:bookmarkEnd w:id="289"/>
      <w:r>
        <w:t>P14 a été effectué par (a effectué)</w:t>
      </w:r>
      <w:bookmarkEnd w:id="290"/>
    </w:p>
    <w:tbl>
      <w:tblPr>
        <w:tblStyle w:val="a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0"/>
        <w:gridCol w:w="8790"/>
      </w:tblGrid>
      <w:tr w:rsidR="00BF18CF" w14:paraId="20AFD99A" w14:textId="77777777" w:rsidTr="00BF18CF">
        <w:tc>
          <w:tcPr>
            <w:tcW w:w="1900" w:type="dxa"/>
          </w:tcPr>
          <w:p w14:paraId="607FD7B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0" w:type="dxa"/>
          </w:tcPr>
          <w:p w14:paraId="23842C9A" w14:textId="77777777" w:rsidR="00BF18CF" w:rsidRDefault="00E51347">
            <w:r>
              <w:rPr>
                <w:rFonts w:ascii="Consolas" w:eastAsia="Consolas" w:hAnsi="Consolas" w:cs="Consolas"/>
                <w:sz w:val="22"/>
                <w:szCs w:val="22"/>
                <w:shd w:val="clear" w:color="auto" w:fill="EAEEF3"/>
              </w:rPr>
              <w:t>E7_Activité</w:t>
            </w:r>
          </w:p>
        </w:tc>
      </w:tr>
      <w:tr w:rsidR="00BF18CF" w14:paraId="3C8928BB" w14:textId="77777777" w:rsidTr="00BF18CF">
        <w:tc>
          <w:tcPr>
            <w:tcW w:w="1900" w:type="dxa"/>
          </w:tcPr>
          <w:p w14:paraId="153BB1A1"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0" w:type="dxa"/>
          </w:tcPr>
          <w:p w14:paraId="2E1A284F" w14:textId="77777777" w:rsidR="00BF18CF" w:rsidRDefault="00E51347">
            <w:r>
              <w:rPr>
                <w:rFonts w:ascii="Consolas" w:eastAsia="Consolas" w:hAnsi="Consolas" w:cs="Consolas"/>
                <w:sz w:val="22"/>
                <w:szCs w:val="22"/>
                <w:shd w:val="clear" w:color="auto" w:fill="EAEEF3"/>
              </w:rPr>
              <w:t>E39_Actant</w:t>
            </w:r>
          </w:p>
        </w:tc>
      </w:tr>
      <w:tr w:rsidR="00BF18CF" w14:paraId="12DF0BAA" w14:textId="77777777" w:rsidTr="00BF18CF">
        <w:tc>
          <w:tcPr>
            <w:tcW w:w="1900" w:type="dxa"/>
          </w:tcPr>
          <w:p w14:paraId="74EC5317"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0" w:type="dxa"/>
          </w:tcPr>
          <w:p w14:paraId="293C8C4C"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P11_a eu_pour_actant_participant (a_participé_à)</w:t>
            </w:r>
            <w:r>
              <w:t xml:space="preserve"> : </w:t>
            </w:r>
            <w:r>
              <w:rPr>
                <w:rFonts w:ascii="Consolas" w:eastAsia="Consolas" w:hAnsi="Consolas" w:cs="Consolas"/>
                <w:sz w:val="22"/>
                <w:szCs w:val="22"/>
                <w:shd w:val="clear" w:color="auto" w:fill="EAEEF3"/>
              </w:rPr>
              <w:t>E39_Actant</w:t>
            </w:r>
          </w:p>
        </w:tc>
      </w:tr>
      <w:tr w:rsidR="00BF18CF" w14:paraId="2E21B7EE" w14:textId="77777777" w:rsidTr="00BF18CF">
        <w:tc>
          <w:tcPr>
            <w:tcW w:w="1900" w:type="dxa"/>
          </w:tcPr>
          <w:p w14:paraId="11CF3A4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0" w:type="dxa"/>
          </w:tcPr>
          <w:p w14:paraId="55FA5349" w14:textId="77777777" w:rsidR="00BF18CF" w:rsidRDefault="00E51347">
            <w:r>
              <w:rPr>
                <w:rFonts w:ascii="Consolas" w:eastAsia="Consolas" w:hAnsi="Consolas" w:cs="Consolas"/>
                <w:sz w:val="22"/>
                <w:szCs w:val="22"/>
                <w:shd w:val="clear" w:color="auto" w:fill="EAEEF3"/>
              </w:rPr>
              <w:t>E8_Acquisition</w:t>
            </w:r>
            <w:r>
              <w:t xml:space="preserve">. </w:t>
            </w:r>
            <w:r>
              <w:rPr>
                <w:rFonts w:ascii="Consolas" w:eastAsia="Consolas" w:hAnsi="Consolas" w:cs="Consolas"/>
                <w:sz w:val="22"/>
                <w:szCs w:val="22"/>
                <w:shd w:val="clear" w:color="auto" w:fill="EAEEF3"/>
              </w:rPr>
              <w:t>P22_a_transféré_le_titre_de_propriété_à (a_acquis_le_titre_de_propriété_par)</w:t>
            </w:r>
            <w:r>
              <w:t xml:space="preserve"> : </w:t>
            </w:r>
            <w:r>
              <w:rPr>
                <w:rFonts w:ascii="Consolas" w:eastAsia="Consolas" w:hAnsi="Consolas" w:cs="Consolas"/>
                <w:sz w:val="22"/>
                <w:szCs w:val="22"/>
                <w:shd w:val="clear" w:color="auto" w:fill="EAEEF3"/>
              </w:rPr>
              <w:t>E39_Actant</w:t>
            </w:r>
          </w:p>
          <w:p w14:paraId="7F59ED89" w14:textId="77777777" w:rsidR="00BF18CF" w:rsidRDefault="00E51347">
            <w:r>
              <w:rPr>
                <w:rFonts w:ascii="Consolas" w:eastAsia="Consolas" w:hAnsi="Consolas" w:cs="Consolas"/>
                <w:sz w:val="22"/>
                <w:szCs w:val="22"/>
                <w:shd w:val="clear" w:color="auto" w:fill="EAEEF3"/>
              </w:rPr>
              <w:t>E8_Acquisition</w:t>
            </w:r>
            <w:r>
              <w:t xml:space="preserve">. </w:t>
            </w:r>
            <w:r>
              <w:rPr>
                <w:rFonts w:ascii="Consolas" w:eastAsia="Consolas" w:hAnsi="Consolas" w:cs="Consolas"/>
                <w:sz w:val="22"/>
                <w:szCs w:val="22"/>
                <w:shd w:val="clear" w:color="auto" w:fill="EAEEF3"/>
              </w:rPr>
              <w:t>P23_a_transféré_le_titre_de_propriété_de (a_cédé_le_titre_de_propriété_à)</w:t>
            </w:r>
            <w:r>
              <w:t xml:space="preserve"> : </w:t>
            </w:r>
            <w:r>
              <w:rPr>
                <w:rFonts w:ascii="Consolas" w:eastAsia="Consolas" w:hAnsi="Consolas" w:cs="Consolas"/>
                <w:sz w:val="22"/>
                <w:szCs w:val="22"/>
                <w:shd w:val="clear" w:color="auto" w:fill="EAEEF3"/>
              </w:rPr>
              <w:t>E39_Actant</w:t>
            </w:r>
          </w:p>
          <w:p w14:paraId="37FA8EB1" w14:textId="77777777" w:rsidR="00BF18CF" w:rsidRDefault="00E51347">
            <w:r>
              <w:rPr>
                <w:rFonts w:ascii="Consolas" w:eastAsia="Consolas" w:hAnsi="Consolas" w:cs="Consolas"/>
                <w:sz w:val="22"/>
                <w:szCs w:val="22"/>
                <w:shd w:val="clear" w:color="auto" w:fill="EAEEF3"/>
              </w:rPr>
              <w:t>E10_Transfert_de_la_garde</w:t>
            </w:r>
            <w:r>
              <w:t xml:space="preserve">. </w:t>
            </w:r>
            <w:r>
              <w:rPr>
                <w:rFonts w:ascii="Consolas" w:eastAsia="Consolas" w:hAnsi="Consolas" w:cs="Consolas"/>
                <w:sz w:val="22"/>
                <w:szCs w:val="22"/>
                <w:shd w:val="clear" w:color="auto" w:fill="EAEEF3"/>
              </w:rPr>
              <w:t>P28_a_mis_fin_à_la_garde_par (a_cédé_la_garde_par)</w:t>
            </w:r>
            <w:r>
              <w:t xml:space="preserve"> : </w:t>
            </w:r>
            <w:r>
              <w:rPr>
                <w:rFonts w:ascii="Consolas" w:eastAsia="Consolas" w:hAnsi="Consolas" w:cs="Consolas"/>
                <w:sz w:val="22"/>
                <w:szCs w:val="22"/>
                <w:shd w:val="clear" w:color="auto" w:fill="EAEEF3"/>
              </w:rPr>
              <w:t>E39_Actant</w:t>
            </w:r>
          </w:p>
          <w:p w14:paraId="2240E1C3" w14:textId="77777777" w:rsidR="00BF18CF" w:rsidRDefault="00E51347">
            <w:r>
              <w:rPr>
                <w:rFonts w:ascii="Consolas" w:eastAsia="Consolas" w:hAnsi="Consolas" w:cs="Consolas"/>
                <w:sz w:val="22"/>
                <w:szCs w:val="22"/>
                <w:shd w:val="clear" w:color="auto" w:fill="EAEEF3"/>
              </w:rPr>
              <w:t>E10_Transfert_de_la_garde</w:t>
            </w:r>
            <w:r>
              <w:t xml:space="preserve">. </w:t>
            </w:r>
            <w:r>
              <w:rPr>
                <w:rFonts w:ascii="Consolas" w:eastAsia="Consolas" w:hAnsi="Consolas" w:cs="Consolas"/>
                <w:sz w:val="22"/>
                <w:szCs w:val="22"/>
                <w:shd w:val="clear" w:color="auto" w:fill="EAEEF3"/>
              </w:rPr>
              <w:t>P29_a_confié_la_garde_par (a_reçu_la_garde_par)</w:t>
            </w:r>
            <w:r>
              <w:t xml:space="preserve"> : </w:t>
            </w:r>
            <w:r>
              <w:rPr>
                <w:rFonts w:ascii="Consolas" w:eastAsia="Consolas" w:hAnsi="Consolas" w:cs="Consolas"/>
                <w:sz w:val="22"/>
                <w:szCs w:val="22"/>
                <w:shd w:val="clear" w:color="auto" w:fill="EAEEF3"/>
              </w:rPr>
              <w:t>E39_Actant</w:t>
            </w:r>
          </w:p>
        </w:tc>
      </w:tr>
      <w:tr w:rsidR="00BF18CF" w14:paraId="6600E9B8" w14:textId="77777777" w:rsidTr="00BF18CF">
        <w:tc>
          <w:tcPr>
            <w:tcW w:w="1900" w:type="dxa"/>
          </w:tcPr>
          <w:p w14:paraId="5E99E0E1"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0" w:type="dxa"/>
          </w:tcPr>
          <w:p w14:paraId="5054F326" w14:textId="77777777" w:rsidR="00BF18CF" w:rsidRDefault="00E51347">
            <w:proofErr w:type="gramStart"/>
            <w:r>
              <w:t>plusieurs</w:t>
            </w:r>
            <w:proofErr w:type="gramEnd"/>
            <w:r>
              <w:t xml:space="preserve"> à plusieurs, nécessaire (1,n:0,n)</w:t>
            </w:r>
          </w:p>
        </w:tc>
      </w:tr>
      <w:tr w:rsidR="00BF18CF" w14:paraId="5463C80E" w14:textId="77777777" w:rsidTr="00BF18CF">
        <w:tc>
          <w:tcPr>
            <w:tcW w:w="1900" w:type="dxa"/>
          </w:tcPr>
          <w:p w14:paraId="4C132DC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0" w:type="dxa"/>
          </w:tcPr>
          <w:p w14:paraId="16D027C0" w14:textId="77777777" w:rsidR="00BF18CF" w:rsidRDefault="00E51347">
            <w:r>
              <w:t xml:space="preserve">Cette propriété décrit la participation active d’une instance de </w:t>
            </w:r>
            <w:r>
              <w:rPr>
                <w:rFonts w:ascii="Consolas" w:eastAsia="Consolas" w:hAnsi="Consolas" w:cs="Consolas"/>
                <w:sz w:val="22"/>
                <w:szCs w:val="22"/>
                <w:shd w:val="clear" w:color="auto" w:fill="EAEEF3"/>
              </w:rPr>
              <w:t>E39_Actant</w:t>
            </w:r>
            <w:r>
              <w:t xml:space="preserve"> à une instance de </w:t>
            </w:r>
            <w:r>
              <w:rPr>
                <w:rFonts w:ascii="Consolas" w:eastAsia="Consolas" w:hAnsi="Consolas" w:cs="Consolas"/>
                <w:sz w:val="22"/>
                <w:szCs w:val="22"/>
                <w:shd w:val="clear" w:color="auto" w:fill="EAEEF3"/>
              </w:rPr>
              <w:t>E7_Activité</w:t>
            </w:r>
            <w:r>
              <w:t>.</w:t>
            </w:r>
          </w:p>
          <w:p w14:paraId="4A91BF46" w14:textId="77777777" w:rsidR="00BF18CF" w:rsidRDefault="00E51347">
            <w:r>
              <w:t xml:space="preserve">La propriété </w:t>
            </w:r>
            <w:r>
              <w:rPr>
                <w:rFonts w:ascii="Consolas" w:eastAsia="Consolas" w:hAnsi="Consolas" w:cs="Consolas"/>
                <w:sz w:val="22"/>
                <w:szCs w:val="22"/>
                <w:shd w:val="clear" w:color="auto" w:fill="EAEEF3"/>
              </w:rPr>
              <w:t>P14_a_été_effectué_par (a_effectué)</w:t>
            </w:r>
            <w:r>
              <w:t xml:space="preserve"> implique une responsabilité causale ou légale. La propriété </w:t>
            </w:r>
            <w:r>
              <w:rPr>
                <w:rFonts w:ascii="Consolas" w:eastAsia="Consolas" w:hAnsi="Consolas" w:cs="Consolas"/>
                <w:sz w:val="22"/>
                <w:szCs w:val="22"/>
                <w:shd w:val="clear" w:color="auto" w:fill="EAEEF3"/>
              </w:rPr>
              <w:t>P14.1_dans_le_rôle_de</w:t>
            </w:r>
            <w:r>
              <w:t xml:space="preserve"> de la propriété </w:t>
            </w:r>
            <w:r>
              <w:rPr>
                <w:rFonts w:ascii="Consolas" w:eastAsia="Consolas" w:hAnsi="Consolas" w:cs="Consolas"/>
                <w:sz w:val="22"/>
                <w:szCs w:val="22"/>
                <w:shd w:val="clear" w:color="auto" w:fill="EAEEF3"/>
              </w:rPr>
              <w:t>P14_a_été_effectué_par (a_effectué)</w:t>
            </w:r>
            <w:r>
              <w:t xml:space="preserve"> précise la nature de la participation d’un actant.</w:t>
            </w:r>
          </w:p>
        </w:tc>
      </w:tr>
      <w:tr w:rsidR="00BF18CF" w14:paraId="075E6C43" w14:textId="77777777" w:rsidTr="00BF18CF">
        <w:tc>
          <w:tcPr>
            <w:tcW w:w="1900" w:type="dxa"/>
          </w:tcPr>
          <w:p w14:paraId="12FEA2F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0" w:type="dxa"/>
          </w:tcPr>
          <w:p w14:paraId="4DBDD9EE" w14:textId="77777777" w:rsidR="00BF18CF" w:rsidRDefault="00E51347">
            <w:pPr>
              <w:numPr>
                <w:ilvl w:val="0"/>
                <w:numId w:val="19"/>
              </w:numPr>
            </w:pPr>
            <w:r>
              <w:t>La fresque de la chapelle Sixtine (</w:t>
            </w:r>
            <w:r>
              <w:rPr>
                <w:rFonts w:ascii="Consolas" w:eastAsia="Consolas" w:hAnsi="Consolas" w:cs="Consolas"/>
                <w:sz w:val="22"/>
                <w:szCs w:val="22"/>
                <w:shd w:val="clear" w:color="auto" w:fill="EAEEF3"/>
              </w:rPr>
              <w:t>E7_Activité</w:t>
            </w:r>
            <w:r>
              <w:t>) a été effectué par (</w:t>
            </w:r>
            <w:r>
              <w:rPr>
                <w:rFonts w:ascii="Consolas" w:eastAsia="Consolas" w:hAnsi="Consolas" w:cs="Consolas"/>
                <w:sz w:val="22"/>
                <w:szCs w:val="22"/>
                <w:shd w:val="clear" w:color="auto" w:fill="EAEEF3"/>
              </w:rPr>
              <w:t>P14_a_été_effectué_par</w:t>
            </w:r>
            <w:r>
              <w:t>) Michel-Ange (</w:t>
            </w:r>
            <w:r>
              <w:rPr>
                <w:rFonts w:ascii="Consolas" w:eastAsia="Consolas" w:hAnsi="Consolas" w:cs="Consolas"/>
                <w:sz w:val="22"/>
                <w:szCs w:val="22"/>
                <w:shd w:val="clear" w:color="auto" w:fill="EAEEF3"/>
              </w:rPr>
              <w:t>E21_Personne</w:t>
            </w:r>
            <w:r>
              <w:t>) dans le rôle de (</w:t>
            </w:r>
            <w:r>
              <w:rPr>
                <w:rFonts w:ascii="Consolas" w:eastAsia="Consolas" w:hAnsi="Consolas" w:cs="Consolas"/>
                <w:sz w:val="22"/>
                <w:szCs w:val="22"/>
                <w:shd w:val="clear" w:color="auto" w:fill="EAEEF3"/>
              </w:rPr>
              <w:t>P14.1_dans_le_rôle_de</w:t>
            </w:r>
            <w:r>
              <w:t>) maître artisan (</w:t>
            </w:r>
            <w:r>
              <w:rPr>
                <w:rFonts w:ascii="Consolas" w:eastAsia="Consolas" w:hAnsi="Consolas" w:cs="Consolas"/>
                <w:sz w:val="22"/>
                <w:szCs w:val="22"/>
                <w:shd w:val="clear" w:color="auto" w:fill="EAEEF3"/>
              </w:rPr>
              <w:t>E55_Type</w:t>
            </w:r>
            <w:r>
              <w:t>) (Goldscheider, 1953)</w:t>
            </w:r>
          </w:p>
        </w:tc>
      </w:tr>
      <w:tr w:rsidR="00BF18CF" w14:paraId="711B37D7" w14:textId="77777777" w:rsidTr="00BF18CF">
        <w:tc>
          <w:tcPr>
            <w:tcW w:w="1900" w:type="dxa"/>
          </w:tcPr>
          <w:p w14:paraId="4C6BEFE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0" w:type="dxa"/>
          </w:tcPr>
          <w:p w14:paraId="63E029AB" w14:textId="77777777" w:rsidR="00BF18CF" w:rsidRDefault="00E51347">
            <w:r>
              <w:t>P14(</w:t>
            </w:r>
            <w:proofErr w:type="gramStart"/>
            <w:r>
              <w:t>x,y</w:t>
            </w:r>
            <w:proofErr w:type="gramEnd"/>
            <w:r>
              <w:t>) ⇒ E7(x)</w:t>
            </w:r>
          </w:p>
          <w:p w14:paraId="29AB6568" w14:textId="77777777" w:rsidR="00BF18CF" w:rsidRDefault="00E51347">
            <w:r>
              <w:t>P14(</w:t>
            </w:r>
            <w:proofErr w:type="gramStart"/>
            <w:r>
              <w:t>x,y</w:t>
            </w:r>
            <w:proofErr w:type="gramEnd"/>
            <w:r>
              <w:t>)⇒ E39(y)</w:t>
            </w:r>
          </w:p>
          <w:p w14:paraId="2F5E09EB" w14:textId="77777777" w:rsidR="00BF18CF" w:rsidRDefault="00E51347">
            <w:r>
              <w:t>P14(</w:t>
            </w:r>
            <w:proofErr w:type="gramStart"/>
            <w:r>
              <w:t>x,y</w:t>
            </w:r>
            <w:proofErr w:type="gramEnd"/>
            <w:r>
              <w:t>) ⇒ P11(x,y)</w:t>
            </w:r>
          </w:p>
          <w:p w14:paraId="45AF4C9F" w14:textId="77777777" w:rsidR="00BF18CF" w:rsidRDefault="00E51347">
            <w:r>
              <w:t>P14(</w:t>
            </w:r>
            <w:proofErr w:type="gramStart"/>
            <w:r>
              <w:t>x,y</w:t>
            </w:r>
            <w:proofErr w:type="gramEnd"/>
            <w:r>
              <w:t>,z) ⇒ [P14(x,y) ∧ E55(z)]</w:t>
            </w:r>
          </w:p>
        </w:tc>
      </w:tr>
      <w:tr w:rsidR="00BF18CF" w14:paraId="31809B6D" w14:textId="77777777" w:rsidTr="00BF18CF">
        <w:tc>
          <w:tcPr>
            <w:tcW w:w="1900" w:type="dxa"/>
          </w:tcPr>
          <w:p w14:paraId="3C3A294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0" w:type="dxa"/>
          </w:tcPr>
          <w:p w14:paraId="1E4E00C7" w14:textId="77777777" w:rsidR="00BF18CF" w:rsidRDefault="00E51347">
            <w:r>
              <w:rPr>
                <w:rFonts w:ascii="Consolas" w:eastAsia="Consolas" w:hAnsi="Consolas" w:cs="Consolas"/>
                <w:sz w:val="22"/>
                <w:szCs w:val="22"/>
                <w:shd w:val="clear" w:color="auto" w:fill="EAEEF3"/>
              </w:rPr>
              <w:t>P14.1_dans_le_rôle_de</w:t>
            </w:r>
            <w:r>
              <w:t xml:space="preserve"> : </w:t>
            </w:r>
            <w:r>
              <w:rPr>
                <w:rFonts w:ascii="Consolas" w:eastAsia="Consolas" w:hAnsi="Consolas" w:cs="Consolas"/>
                <w:sz w:val="22"/>
                <w:szCs w:val="22"/>
                <w:shd w:val="clear" w:color="auto" w:fill="EAEEF3"/>
              </w:rPr>
              <w:t>E55_Type</w:t>
            </w:r>
          </w:p>
        </w:tc>
      </w:tr>
      <w:tr w:rsidR="00BF18CF" w14:paraId="6CB74B0B" w14:textId="77777777" w:rsidTr="00BF18CF">
        <w:tc>
          <w:tcPr>
            <w:tcW w:w="1900" w:type="dxa"/>
          </w:tcPr>
          <w:p w14:paraId="2DD762DD" w14:textId="018FD74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0" w:type="dxa"/>
          </w:tcPr>
          <w:p w14:paraId="3AF88FF4" w14:textId="77777777" w:rsidR="00BF18CF" w:rsidRDefault="00BF18CF">
            <w:pPr>
              <w:pBdr>
                <w:top w:val="nil"/>
                <w:left w:val="nil"/>
                <w:bottom w:val="nil"/>
                <w:right w:val="nil"/>
                <w:between w:val="nil"/>
              </w:pBdr>
              <w:spacing w:before="36" w:after="36"/>
              <w:rPr>
                <w:color w:val="000000"/>
              </w:rPr>
            </w:pPr>
          </w:p>
        </w:tc>
      </w:tr>
      <w:tr w:rsidR="00BF18CF" w14:paraId="5BD6151F" w14:textId="77777777" w:rsidTr="00BF18CF">
        <w:tc>
          <w:tcPr>
            <w:tcW w:w="1900" w:type="dxa"/>
          </w:tcPr>
          <w:p w14:paraId="4EC6E92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0" w:type="dxa"/>
          </w:tcPr>
          <w:p w14:paraId="3FEC0058" w14:textId="77777777" w:rsidR="00BF18CF" w:rsidRDefault="00BF18CF">
            <w:pPr>
              <w:pBdr>
                <w:top w:val="nil"/>
                <w:left w:val="nil"/>
                <w:bottom w:val="nil"/>
                <w:right w:val="nil"/>
                <w:between w:val="nil"/>
              </w:pBdr>
              <w:spacing w:before="36" w:after="36"/>
              <w:rPr>
                <w:color w:val="000000"/>
              </w:rPr>
            </w:pPr>
          </w:p>
        </w:tc>
      </w:tr>
    </w:tbl>
    <w:p w14:paraId="3EF52858" w14:textId="77777777" w:rsidR="00BF18CF" w:rsidRDefault="00E51347">
      <w:pPr>
        <w:pStyle w:val="Heading3"/>
      </w:pPr>
      <w:bookmarkStart w:id="291" w:name="bookmark=id.2jh5peh" w:colFirst="0" w:colLast="0"/>
      <w:bookmarkStart w:id="292" w:name="_Toc144360889"/>
      <w:bookmarkEnd w:id="291"/>
      <w:r>
        <w:lastRenderedPageBreak/>
        <w:t>P15 a été influencé par (a influencé)</w:t>
      </w:r>
      <w:bookmarkEnd w:id="292"/>
    </w:p>
    <w:tbl>
      <w:tblPr>
        <w:tblStyle w:val="a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64"/>
        <w:gridCol w:w="8726"/>
      </w:tblGrid>
      <w:tr w:rsidR="00BF18CF" w14:paraId="2A43A26A" w14:textId="77777777" w:rsidTr="00BF18CF">
        <w:tc>
          <w:tcPr>
            <w:tcW w:w="1964" w:type="dxa"/>
          </w:tcPr>
          <w:p w14:paraId="5E1988E4"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26" w:type="dxa"/>
          </w:tcPr>
          <w:p w14:paraId="14A57344" w14:textId="77777777" w:rsidR="00BF18CF" w:rsidRDefault="00E51347">
            <w:r>
              <w:rPr>
                <w:rFonts w:ascii="Consolas" w:eastAsia="Consolas" w:hAnsi="Consolas" w:cs="Consolas"/>
                <w:sz w:val="22"/>
                <w:szCs w:val="22"/>
                <w:shd w:val="clear" w:color="auto" w:fill="EAEEF3"/>
              </w:rPr>
              <w:t>E7_Activité</w:t>
            </w:r>
          </w:p>
        </w:tc>
      </w:tr>
      <w:tr w:rsidR="00BF18CF" w14:paraId="4444DBC6" w14:textId="77777777" w:rsidTr="00BF18CF">
        <w:tc>
          <w:tcPr>
            <w:tcW w:w="1964" w:type="dxa"/>
          </w:tcPr>
          <w:p w14:paraId="7FBA848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26" w:type="dxa"/>
          </w:tcPr>
          <w:p w14:paraId="317A84C9" w14:textId="77777777" w:rsidR="00BF18CF" w:rsidRDefault="00E51347">
            <w:r>
              <w:rPr>
                <w:rFonts w:ascii="Consolas" w:eastAsia="Consolas" w:hAnsi="Consolas" w:cs="Consolas"/>
                <w:sz w:val="22"/>
                <w:szCs w:val="22"/>
                <w:shd w:val="clear" w:color="auto" w:fill="EAEEF3"/>
              </w:rPr>
              <w:t>E1_Entité_CRM</w:t>
            </w:r>
          </w:p>
        </w:tc>
      </w:tr>
      <w:tr w:rsidR="00BF18CF" w14:paraId="1DEE4DAB" w14:textId="77777777" w:rsidTr="00BF18CF">
        <w:tc>
          <w:tcPr>
            <w:tcW w:w="1964" w:type="dxa"/>
          </w:tcPr>
          <w:p w14:paraId="20B0231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26" w:type="dxa"/>
          </w:tcPr>
          <w:p w14:paraId="203EA28A" w14:textId="77777777" w:rsidR="00BF18CF" w:rsidRDefault="00BF18CF">
            <w:pPr>
              <w:pBdr>
                <w:top w:val="nil"/>
                <w:left w:val="nil"/>
                <w:bottom w:val="nil"/>
                <w:right w:val="nil"/>
                <w:between w:val="nil"/>
              </w:pBdr>
              <w:spacing w:before="36" w:after="36"/>
              <w:rPr>
                <w:color w:val="000000"/>
              </w:rPr>
            </w:pPr>
          </w:p>
        </w:tc>
      </w:tr>
      <w:tr w:rsidR="00BF18CF" w14:paraId="4F1A7FB4" w14:textId="77777777" w:rsidTr="00BF18CF">
        <w:tc>
          <w:tcPr>
            <w:tcW w:w="1964" w:type="dxa"/>
          </w:tcPr>
          <w:p w14:paraId="5A26622D"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26" w:type="dxa"/>
          </w:tcPr>
          <w:p w14:paraId="0D913603"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P16_a_mobilisé_l’objet_spécifique (a_été_mobilisé_pour)</w:t>
            </w:r>
            <w:r>
              <w:t xml:space="preserve"> : </w:t>
            </w:r>
            <w:r>
              <w:rPr>
                <w:rFonts w:ascii="Consolas" w:eastAsia="Consolas" w:hAnsi="Consolas" w:cs="Consolas"/>
                <w:sz w:val="22"/>
                <w:szCs w:val="22"/>
                <w:shd w:val="clear" w:color="auto" w:fill="EAEEF3"/>
              </w:rPr>
              <w:t>E70_Chose</w:t>
            </w:r>
          </w:p>
          <w:p w14:paraId="16D1C684"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P17_a_été_motivé_par (a_motivé)</w:t>
            </w:r>
            <w:r>
              <w:t xml:space="preserve"> : </w:t>
            </w:r>
            <w:r>
              <w:rPr>
                <w:rFonts w:ascii="Consolas" w:eastAsia="Consolas" w:hAnsi="Consolas" w:cs="Consolas"/>
                <w:sz w:val="22"/>
                <w:szCs w:val="22"/>
                <w:shd w:val="clear" w:color="auto" w:fill="EAEEF3"/>
              </w:rPr>
              <w:t>E1_Entité_CRM</w:t>
            </w:r>
          </w:p>
          <w:p w14:paraId="08B97CFD"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P134_a_continué (a_été_continué_par)</w:t>
            </w:r>
            <w:r>
              <w:t xml:space="preserve"> : </w:t>
            </w:r>
            <w:r>
              <w:rPr>
                <w:rFonts w:ascii="Consolas" w:eastAsia="Consolas" w:hAnsi="Consolas" w:cs="Consolas"/>
                <w:sz w:val="22"/>
                <w:szCs w:val="22"/>
                <w:shd w:val="clear" w:color="auto" w:fill="EAEEF3"/>
              </w:rPr>
              <w:t>E7_Activité</w:t>
            </w:r>
          </w:p>
          <w:p w14:paraId="4EFCB0E1" w14:textId="77777777" w:rsidR="00BF18CF" w:rsidRDefault="00E51347">
            <w:r>
              <w:rPr>
                <w:rFonts w:ascii="Consolas" w:eastAsia="Consolas" w:hAnsi="Consolas" w:cs="Consolas"/>
                <w:sz w:val="22"/>
                <w:szCs w:val="22"/>
                <w:shd w:val="clear" w:color="auto" w:fill="EAEEF3"/>
              </w:rPr>
              <w:t>E83_Création_de_type</w:t>
            </w:r>
            <w:r>
              <w:t xml:space="preserve">. </w:t>
            </w:r>
            <w:r>
              <w:rPr>
                <w:rFonts w:ascii="Consolas" w:eastAsia="Consolas" w:hAnsi="Consolas" w:cs="Consolas"/>
                <w:sz w:val="22"/>
                <w:szCs w:val="22"/>
                <w:shd w:val="clear" w:color="auto" w:fill="EAEEF3"/>
              </w:rPr>
              <w:t>P136_a_été_fondé_sur (a_fondé_la_création_du_type)</w:t>
            </w:r>
            <w:r>
              <w:t xml:space="preserve"> : </w:t>
            </w:r>
            <w:r>
              <w:rPr>
                <w:rFonts w:ascii="Consolas" w:eastAsia="Consolas" w:hAnsi="Consolas" w:cs="Consolas"/>
                <w:sz w:val="22"/>
                <w:szCs w:val="22"/>
                <w:shd w:val="clear" w:color="auto" w:fill="EAEEF3"/>
              </w:rPr>
              <w:t>E1_Entité_CRM</w:t>
            </w:r>
          </w:p>
        </w:tc>
      </w:tr>
      <w:tr w:rsidR="00BF18CF" w14:paraId="01758E6D" w14:textId="77777777" w:rsidTr="00BF18CF">
        <w:tc>
          <w:tcPr>
            <w:tcW w:w="1964" w:type="dxa"/>
          </w:tcPr>
          <w:p w14:paraId="46A1FFA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26" w:type="dxa"/>
          </w:tcPr>
          <w:p w14:paraId="4FDA36CF" w14:textId="77777777" w:rsidR="00BF18CF" w:rsidRDefault="00E51347">
            <w:proofErr w:type="gramStart"/>
            <w:r>
              <w:t>plusieurs</w:t>
            </w:r>
            <w:proofErr w:type="gramEnd"/>
            <w:r>
              <w:t xml:space="preserve"> à plusieurs (0,n:0,n)</w:t>
            </w:r>
          </w:p>
        </w:tc>
      </w:tr>
      <w:tr w:rsidR="00BF18CF" w14:paraId="304AD39E" w14:textId="77777777" w:rsidTr="00BF18CF">
        <w:tc>
          <w:tcPr>
            <w:tcW w:w="1964" w:type="dxa"/>
          </w:tcPr>
          <w:p w14:paraId="15E59C4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26" w:type="dxa"/>
          </w:tcPr>
          <w:p w14:paraId="24AA125D" w14:textId="77777777" w:rsidR="00BF18CF" w:rsidRDefault="00E51347">
            <w:r>
              <w:t xml:space="preserve">Cette propriété de haut niveau capture la relation entre une instance de </w:t>
            </w:r>
            <w:r>
              <w:rPr>
                <w:rFonts w:ascii="Consolas" w:eastAsia="Consolas" w:hAnsi="Consolas" w:cs="Consolas"/>
                <w:sz w:val="22"/>
                <w:szCs w:val="22"/>
                <w:shd w:val="clear" w:color="auto" w:fill="EAEEF3"/>
              </w:rPr>
              <w:t>E7_Activité</w:t>
            </w:r>
            <w:r>
              <w:t xml:space="preserve"> et toute instance de </w:t>
            </w:r>
            <w:r>
              <w:rPr>
                <w:rFonts w:ascii="Consolas" w:eastAsia="Consolas" w:hAnsi="Consolas" w:cs="Consolas"/>
                <w:sz w:val="22"/>
                <w:szCs w:val="22"/>
                <w:shd w:val="clear" w:color="auto" w:fill="EAEEF3"/>
              </w:rPr>
              <w:t>E1_Entité_CRM</w:t>
            </w:r>
            <w:r>
              <w:t xml:space="preserve"> ayant pu avoir une incidence sur celle-ci.</w:t>
            </w:r>
          </w:p>
          <w:p w14:paraId="2B8F3757" w14:textId="77777777" w:rsidR="00BF18CF" w:rsidRDefault="00E51347">
            <w:r>
              <w:t>La propriété a des sous-propriétés plus spécifiques.</w:t>
            </w:r>
          </w:p>
        </w:tc>
      </w:tr>
      <w:tr w:rsidR="00BF18CF" w14:paraId="58CF5E90" w14:textId="77777777" w:rsidTr="00BF18CF">
        <w:tc>
          <w:tcPr>
            <w:tcW w:w="1964" w:type="dxa"/>
          </w:tcPr>
          <w:p w14:paraId="41A52FC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26" w:type="dxa"/>
          </w:tcPr>
          <w:p w14:paraId="7926992D" w14:textId="77777777" w:rsidR="00BF18CF" w:rsidRDefault="00E51347">
            <w:pPr>
              <w:numPr>
                <w:ilvl w:val="0"/>
                <w:numId w:val="19"/>
              </w:numPr>
            </w:pPr>
            <w:r>
              <w:t xml:space="preserve">La conception du </w:t>
            </w:r>
            <w:r>
              <w:rPr>
                <w:i/>
              </w:rPr>
              <w:t>Harbour Bridge</w:t>
            </w:r>
            <w:r>
              <w:t xml:space="preserve"> (</w:t>
            </w:r>
            <w:r>
              <w:rPr>
                <w:rFonts w:ascii="Consolas" w:eastAsia="Consolas" w:hAnsi="Consolas" w:cs="Consolas"/>
                <w:sz w:val="22"/>
                <w:szCs w:val="22"/>
                <w:shd w:val="clear" w:color="auto" w:fill="EAEEF3"/>
              </w:rPr>
              <w:t>E7_Activité</w:t>
            </w:r>
            <w:r>
              <w:t>) a été influencée par (</w:t>
            </w:r>
            <w:r>
              <w:rPr>
                <w:rFonts w:ascii="Consolas" w:eastAsia="Consolas" w:hAnsi="Consolas" w:cs="Consolas"/>
                <w:sz w:val="22"/>
                <w:szCs w:val="22"/>
                <w:shd w:val="clear" w:color="auto" w:fill="EAEEF3"/>
              </w:rPr>
              <w:t>P15_a_été_influencé_par)</w:t>
            </w:r>
            <w:r>
              <w:t xml:space="preserve"> le </w:t>
            </w:r>
            <w:r>
              <w:rPr>
                <w:i/>
              </w:rPr>
              <w:t>Tyne Bridge</w:t>
            </w:r>
            <w:r>
              <w:t xml:space="preserve"> (</w:t>
            </w:r>
            <w:r>
              <w:rPr>
                <w:rFonts w:ascii="Consolas" w:eastAsia="Consolas" w:hAnsi="Consolas" w:cs="Consolas"/>
                <w:sz w:val="22"/>
                <w:szCs w:val="22"/>
                <w:shd w:val="clear" w:color="auto" w:fill="EAEEF3"/>
              </w:rPr>
              <w:t>E22_Objet_élaboré_par_l’humain</w:t>
            </w:r>
            <w:r>
              <w:t>) (Long, 1932)</w:t>
            </w:r>
          </w:p>
        </w:tc>
      </w:tr>
      <w:tr w:rsidR="00BF18CF" w14:paraId="51498B75" w14:textId="77777777" w:rsidTr="00BF18CF">
        <w:tc>
          <w:tcPr>
            <w:tcW w:w="1964" w:type="dxa"/>
          </w:tcPr>
          <w:p w14:paraId="266BA70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26" w:type="dxa"/>
          </w:tcPr>
          <w:p w14:paraId="0AF3CD41" w14:textId="77777777" w:rsidR="00BF18CF" w:rsidRDefault="00E51347">
            <w:r>
              <w:t>P15(</w:t>
            </w:r>
            <w:proofErr w:type="gramStart"/>
            <w:r>
              <w:t>x,y</w:t>
            </w:r>
            <w:proofErr w:type="gramEnd"/>
            <w:r>
              <w:t>) ⇒ E7(x)</w:t>
            </w:r>
          </w:p>
          <w:p w14:paraId="4615E6F1" w14:textId="77777777" w:rsidR="00BF18CF" w:rsidRDefault="00E51347">
            <w:r>
              <w:t>P15(</w:t>
            </w:r>
            <w:proofErr w:type="gramStart"/>
            <w:r>
              <w:t>x,y</w:t>
            </w:r>
            <w:proofErr w:type="gramEnd"/>
            <w:r>
              <w:t>) ⇒ E1(y)</w:t>
            </w:r>
          </w:p>
        </w:tc>
      </w:tr>
      <w:tr w:rsidR="00BF18CF" w14:paraId="096456FB" w14:textId="77777777" w:rsidTr="00BF18CF">
        <w:tc>
          <w:tcPr>
            <w:tcW w:w="1964" w:type="dxa"/>
          </w:tcPr>
          <w:p w14:paraId="0D77F48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26" w:type="dxa"/>
          </w:tcPr>
          <w:p w14:paraId="4DEC9D88" w14:textId="77777777" w:rsidR="00BF18CF" w:rsidRDefault="00BF18CF">
            <w:pPr>
              <w:pBdr>
                <w:top w:val="nil"/>
                <w:left w:val="nil"/>
                <w:bottom w:val="nil"/>
                <w:right w:val="nil"/>
                <w:between w:val="nil"/>
              </w:pBdr>
              <w:spacing w:before="36" w:after="36"/>
              <w:rPr>
                <w:color w:val="000000"/>
              </w:rPr>
            </w:pPr>
          </w:p>
        </w:tc>
      </w:tr>
      <w:tr w:rsidR="00BF18CF" w14:paraId="46E71B86" w14:textId="77777777" w:rsidTr="00BF18CF">
        <w:tc>
          <w:tcPr>
            <w:tcW w:w="1964" w:type="dxa"/>
          </w:tcPr>
          <w:p w14:paraId="6969963A" w14:textId="1F70D47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26" w:type="dxa"/>
          </w:tcPr>
          <w:p w14:paraId="12B50E02" w14:textId="77777777" w:rsidR="00BF18CF" w:rsidRDefault="00BF18CF">
            <w:pPr>
              <w:pBdr>
                <w:top w:val="nil"/>
                <w:left w:val="nil"/>
                <w:bottom w:val="nil"/>
                <w:right w:val="nil"/>
                <w:between w:val="nil"/>
              </w:pBdr>
              <w:spacing w:before="36" w:after="36"/>
              <w:rPr>
                <w:color w:val="000000"/>
              </w:rPr>
            </w:pPr>
          </w:p>
        </w:tc>
      </w:tr>
      <w:tr w:rsidR="00BF18CF" w14:paraId="690F8903" w14:textId="77777777" w:rsidTr="00BF18CF">
        <w:tc>
          <w:tcPr>
            <w:tcW w:w="1964" w:type="dxa"/>
          </w:tcPr>
          <w:p w14:paraId="2B17B16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26" w:type="dxa"/>
          </w:tcPr>
          <w:p w14:paraId="46FCBDF0" w14:textId="77777777" w:rsidR="00BF18CF" w:rsidRDefault="00BF18CF">
            <w:pPr>
              <w:pBdr>
                <w:top w:val="nil"/>
                <w:left w:val="nil"/>
                <w:bottom w:val="nil"/>
                <w:right w:val="nil"/>
                <w:between w:val="nil"/>
              </w:pBdr>
              <w:spacing w:before="36" w:after="36"/>
              <w:rPr>
                <w:color w:val="000000"/>
              </w:rPr>
            </w:pPr>
          </w:p>
        </w:tc>
      </w:tr>
    </w:tbl>
    <w:p w14:paraId="1408165A" w14:textId="77777777" w:rsidR="00BF18CF" w:rsidRDefault="00E51347">
      <w:pPr>
        <w:pStyle w:val="Heading3"/>
      </w:pPr>
      <w:bookmarkStart w:id="293" w:name="bookmark=id.ymfzma" w:colFirst="0" w:colLast="0"/>
      <w:bookmarkStart w:id="294" w:name="_Toc144360890"/>
      <w:bookmarkEnd w:id="293"/>
      <w:r>
        <w:t>P16 a mobilisé l’objet spécifique (a été mobilisé pour)</w:t>
      </w:r>
      <w:bookmarkEnd w:id="294"/>
    </w:p>
    <w:tbl>
      <w:tblPr>
        <w:tblStyle w:val="a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3"/>
        <w:gridCol w:w="8837"/>
      </w:tblGrid>
      <w:tr w:rsidR="00BF18CF" w14:paraId="3A180136" w14:textId="77777777" w:rsidTr="00BF18CF">
        <w:tc>
          <w:tcPr>
            <w:tcW w:w="1853" w:type="dxa"/>
          </w:tcPr>
          <w:p w14:paraId="154E418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7" w:type="dxa"/>
          </w:tcPr>
          <w:p w14:paraId="7633BE4A" w14:textId="77777777" w:rsidR="00BF18CF" w:rsidRDefault="00E51347">
            <w:r>
              <w:rPr>
                <w:rFonts w:ascii="Consolas" w:eastAsia="Consolas" w:hAnsi="Consolas" w:cs="Consolas"/>
                <w:sz w:val="22"/>
                <w:szCs w:val="22"/>
                <w:shd w:val="clear" w:color="auto" w:fill="EAEEF3"/>
              </w:rPr>
              <w:t>E7_Activité</w:t>
            </w:r>
          </w:p>
        </w:tc>
      </w:tr>
      <w:tr w:rsidR="00BF18CF" w14:paraId="73E2DB7D" w14:textId="77777777" w:rsidTr="00BF18CF">
        <w:tc>
          <w:tcPr>
            <w:tcW w:w="1853" w:type="dxa"/>
          </w:tcPr>
          <w:p w14:paraId="45F356D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7" w:type="dxa"/>
          </w:tcPr>
          <w:p w14:paraId="2357A1B1" w14:textId="77777777" w:rsidR="00BF18CF" w:rsidRDefault="00E51347">
            <w:r>
              <w:rPr>
                <w:rFonts w:ascii="Consolas" w:eastAsia="Consolas" w:hAnsi="Consolas" w:cs="Consolas"/>
                <w:sz w:val="22"/>
                <w:szCs w:val="22"/>
                <w:shd w:val="clear" w:color="auto" w:fill="EAEEF3"/>
              </w:rPr>
              <w:t>E70_Chose</w:t>
            </w:r>
          </w:p>
        </w:tc>
      </w:tr>
      <w:tr w:rsidR="00BF18CF" w14:paraId="0831D2F9" w14:textId="77777777" w:rsidTr="00BF18CF">
        <w:tc>
          <w:tcPr>
            <w:tcW w:w="1853" w:type="dxa"/>
          </w:tcPr>
          <w:p w14:paraId="610B429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7" w:type="dxa"/>
          </w:tcPr>
          <w:p w14:paraId="0806A88C"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P12_a_eu_lieu_en_présence_de (a_été_présent_à)</w:t>
            </w:r>
            <w:r>
              <w:t xml:space="preserve">: </w:t>
            </w:r>
            <w:r>
              <w:rPr>
                <w:rFonts w:ascii="Consolas" w:eastAsia="Consolas" w:hAnsi="Consolas" w:cs="Consolas"/>
                <w:sz w:val="22"/>
                <w:szCs w:val="22"/>
                <w:shd w:val="clear" w:color="auto" w:fill="EAEEF3"/>
              </w:rPr>
              <w:t>E77_Entité_persistante</w:t>
            </w:r>
          </w:p>
          <w:p w14:paraId="027CC8D9" w14:textId="77777777" w:rsidR="00BF18CF" w:rsidRDefault="00E51347">
            <w:r>
              <w:rPr>
                <w:rFonts w:ascii="Consolas" w:eastAsia="Consolas" w:hAnsi="Consolas" w:cs="Consolas"/>
                <w:sz w:val="22"/>
                <w:szCs w:val="22"/>
                <w:shd w:val="clear" w:color="auto" w:fill="EAEEF3"/>
              </w:rPr>
              <w:t>E7_Activité</w:t>
            </w:r>
            <w:r>
              <w:t>. P</w:t>
            </w:r>
            <w:r>
              <w:rPr>
                <w:rFonts w:ascii="Consolas" w:eastAsia="Consolas" w:hAnsi="Consolas" w:cs="Consolas"/>
                <w:sz w:val="22"/>
                <w:szCs w:val="22"/>
                <w:shd w:val="clear" w:color="auto" w:fill="EAEEF3"/>
              </w:rPr>
              <w:t>15_a_été_influencé_par (a_influencé)</w:t>
            </w:r>
            <w:r>
              <w:t xml:space="preserve">: </w:t>
            </w:r>
            <w:r>
              <w:rPr>
                <w:rFonts w:ascii="Consolas" w:eastAsia="Consolas" w:hAnsi="Consolas" w:cs="Consolas"/>
                <w:sz w:val="22"/>
                <w:szCs w:val="22"/>
                <w:shd w:val="clear" w:color="auto" w:fill="EAEEF3"/>
              </w:rPr>
              <w:t>E1 Entité CRM</w:t>
            </w:r>
          </w:p>
        </w:tc>
      </w:tr>
      <w:tr w:rsidR="00BF18CF" w14:paraId="19272D18" w14:textId="77777777" w:rsidTr="00BF18CF">
        <w:tc>
          <w:tcPr>
            <w:tcW w:w="1853" w:type="dxa"/>
          </w:tcPr>
          <w:p w14:paraId="7A775F64"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7" w:type="dxa"/>
          </w:tcPr>
          <w:p w14:paraId="5093745B"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P33_a_mobilisé_comme_technique_spécifique (a_été_la_technique_spécifique_mise_en_œuvre_dans)</w:t>
            </w:r>
            <w:r>
              <w:t xml:space="preserve"> : </w:t>
            </w:r>
            <w:r>
              <w:rPr>
                <w:rFonts w:ascii="Consolas" w:eastAsia="Consolas" w:hAnsi="Consolas" w:cs="Consolas"/>
                <w:sz w:val="22"/>
                <w:szCs w:val="22"/>
                <w:shd w:val="clear" w:color="auto" w:fill="EAEEF3"/>
              </w:rPr>
              <w:t>E29_Conceptualisation_ou_procédure</w:t>
            </w:r>
          </w:p>
          <w:p w14:paraId="43E3AD7C" w14:textId="77777777" w:rsidR="00BF18CF" w:rsidRDefault="00E51347">
            <w:r>
              <w:rPr>
                <w:rFonts w:ascii="Consolas" w:eastAsia="Consolas" w:hAnsi="Consolas" w:cs="Consolas"/>
                <w:sz w:val="22"/>
                <w:szCs w:val="22"/>
                <w:shd w:val="clear" w:color="auto" w:fill="EAEEF3"/>
              </w:rPr>
              <w:lastRenderedPageBreak/>
              <w:t>E15_Assignation_d'identifiant</w:t>
            </w:r>
            <w:r>
              <w:t xml:space="preserve">. </w:t>
            </w:r>
            <w:r>
              <w:rPr>
                <w:rFonts w:ascii="Consolas" w:eastAsia="Consolas" w:hAnsi="Consolas" w:cs="Consolas"/>
                <w:sz w:val="22"/>
                <w:szCs w:val="22"/>
                <w:shd w:val="clear" w:color="auto" w:fill="EAEEF3"/>
              </w:rPr>
              <w:t>P142_a_mobilisé_comme_élément (a_été_mobilisé_dans)</w:t>
            </w:r>
            <w:r>
              <w:t xml:space="preserve"> : </w:t>
            </w:r>
            <w:r>
              <w:rPr>
                <w:rFonts w:ascii="Consolas" w:eastAsia="Consolas" w:hAnsi="Consolas" w:cs="Consolas"/>
                <w:sz w:val="22"/>
                <w:szCs w:val="22"/>
                <w:shd w:val="clear" w:color="auto" w:fill="EAEEF3"/>
              </w:rPr>
              <w:t>E90_Objet_symbolique</w:t>
            </w:r>
          </w:p>
          <w:p w14:paraId="10835381" w14:textId="77777777" w:rsidR="00BF18CF" w:rsidRDefault="00E51347">
            <w:r>
              <w:rPr>
                <w:rFonts w:ascii="Consolas" w:eastAsia="Consolas" w:hAnsi="Consolas" w:cs="Consolas"/>
                <w:sz w:val="22"/>
                <w:szCs w:val="22"/>
                <w:shd w:val="clear" w:color="auto" w:fill="EAEEF3"/>
              </w:rPr>
              <w:t>E79_Ajout_d’élément</w:t>
            </w:r>
            <w:r>
              <w:t xml:space="preserve">. </w:t>
            </w:r>
            <w:r>
              <w:rPr>
                <w:rFonts w:ascii="Consolas" w:eastAsia="Consolas" w:hAnsi="Consolas" w:cs="Consolas"/>
                <w:sz w:val="22"/>
                <w:szCs w:val="22"/>
                <w:shd w:val="clear" w:color="auto" w:fill="EAEEF3"/>
              </w:rPr>
              <w:t>P111_a_ajouté (a_été_ajouté_par)</w:t>
            </w:r>
            <w:r>
              <w:t xml:space="preserve"> : </w:t>
            </w:r>
            <w:r>
              <w:rPr>
                <w:rFonts w:ascii="Consolas" w:eastAsia="Consolas" w:hAnsi="Consolas" w:cs="Consolas"/>
                <w:sz w:val="22"/>
                <w:szCs w:val="22"/>
                <w:shd w:val="clear" w:color="auto" w:fill="EAEEF3"/>
              </w:rPr>
              <w:t>E18_Chose_matérielle</w:t>
            </w:r>
          </w:p>
        </w:tc>
      </w:tr>
      <w:tr w:rsidR="00BF18CF" w14:paraId="26B0BA38" w14:textId="77777777" w:rsidTr="00BF18CF">
        <w:tc>
          <w:tcPr>
            <w:tcW w:w="1853" w:type="dxa"/>
          </w:tcPr>
          <w:p w14:paraId="0EF9B229"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837" w:type="dxa"/>
          </w:tcPr>
          <w:p w14:paraId="1C348A77" w14:textId="77777777" w:rsidR="00BF18CF" w:rsidRDefault="00E51347">
            <w:proofErr w:type="gramStart"/>
            <w:r>
              <w:t>plusieurs</w:t>
            </w:r>
            <w:proofErr w:type="gramEnd"/>
            <w:r>
              <w:t xml:space="preserve"> à plusieurs (0,n:0,n)</w:t>
            </w:r>
          </w:p>
        </w:tc>
      </w:tr>
      <w:tr w:rsidR="00BF18CF" w14:paraId="6F9CE3A2" w14:textId="77777777" w:rsidTr="00BF18CF">
        <w:tc>
          <w:tcPr>
            <w:tcW w:w="1853" w:type="dxa"/>
          </w:tcPr>
          <w:p w14:paraId="64E4B8A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7" w:type="dxa"/>
          </w:tcPr>
          <w:p w14:paraId="358CD55B" w14:textId="77777777" w:rsidR="00BF18CF" w:rsidRDefault="00E51347">
            <w:r>
              <w:t xml:space="preserve">Cette propriété décrit l’utilisation d’une chose matérielle ou immatérielle d’une manière essentielle à la réalisation ou au résultat d’une instance de </w:t>
            </w:r>
            <w:r>
              <w:rPr>
                <w:rFonts w:ascii="Consolas" w:eastAsia="Consolas" w:hAnsi="Consolas" w:cs="Consolas"/>
                <w:sz w:val="22"/>
                <w:szCs w:val="22"/>
                <w:shd w:val="clear" w:color="auto" w:fill="EAEEF3"/>
              </w:rPr>
              <w:t>E7_Activité</w:t>
            </w:r>
            <w:r>
              <w:t>.</w:t>
            </w:r>
          </w:p>
          <w:p w14:paraId="76E1D31B" w14:textId="77777777" w:rsidR="00BF18CF" w:rsidRDefault="00E51347">
            <w:r>
              <w:t>Cette propriété s’applique particulièrement aux outils, instruments, moules, matières premières et entités impliqués dans une production. La présence de l’objet en question était donc une condition nécessaire à l’action.</w:t>
            </w:r>
          </w:p>
          <w:p w14:paraId="506CA4D9" w14:textId="77777777" w:rsidR="00BF18CF" w:rsidRDefault="00E51347">
            <w:r>
              <w:t>Par exemple, l’activité de rédaction de ce texte a nécessité l’utilisation d’un ordinateur. Une chose immatérielle peut être mobilisée si au moins un de ses supports est présent [n.d.t. lors de l’activité], par exemple les programmes informatiques installés sur un ordinateur.</w:t>
            </w:r>
          </w:p>
          <w:p w14:paraId="72FD045A" w14:textId="77777777" w:rsidR="00BF18CF" w:rsidRDefault="00E51347">
            <w:r>
              <w:t>Un autre exemple est l’utilisation sur une certaine durée d’un nom précis par un groupe précis pour identifier une chose, tel que l’occupation d’un lieu. Dans ce cas, les supports physiques de ce nom sont au moins les individus ayant la compréhension de son usage.</w:t>
            </w:r>
          </w:p>
        </w:tc>
      </w:tr>
      <w:tr w:rsidR="00BF18CF" w14:paraId="63CE8653" w14:textId="77777777" w:rsidTr="00BF18CF">
        <w:tc>
          <w:tcPr>
            <w:tcW w:w="1853" w:type="dxa"/>
          </w:tcPr>
          <w:p w14:paraId="70D5B04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37" w:type="dxa"/>
          </w:tcPr>
          <w:p w14:paraId="50D808A1" w14:textId="77777777" w:rsidR="00BF18CF" w:rsidRDefault="00E51347">
            <w:pPr>
              <w:numPr>
                <w:ilvl w:val="0"/>
                <w:numId w:val="19"/>
              </w:numPr>
            </w:pPr>
            <w:r>
              <w:t xml:space="preserve">L’écriture de la note d’application de la propriété CIDOC CRM </w:t>
            </w:r>
            <w:r>
              <w:rPr>
                <w:rFonts w:ascii="Consolas" w:eastAsia="Consolas" w:hAnsi="Consolas" w:cs="Consolas"/>
                <w:sz w:val="22"/>
                <w:szCs w:val="22"/>
                <w:shd w:val="clear" w:color="auto" w:fill="EAEEF3"/>
              </w:rPr>
              <w:t>P16_a_mobilisé_l’objet_spécifique (a_été_mobilisé_pour)</w:t>
            </w:r>
            <w:r>
              <w:t xml:space="preserve"> inclue dans la version 4.1 du CIDOC CRM (</w:t>
            </w:r>
            <w:r>
              <w:rPr>
                <w:rFonts w:ascii="Consolas" w:eastAsia="Consolas" w:hAnsi="Consolas" w:cs="Consolas"/>
                <w:sz w:val="22"/>
                <w:szCs w:val="22"/>
                <w:shd w:val="clear" w:color="auto" w:fill="EAEEF3"/>
              </w:rPr>
              <w:t>E7_Activité</w:t>
            </w:r>
            <w:r>
              <w:t>) a mobilisé comme objet spécifique (</w:t>
            </w:r>
            <w:r>
              <w:rPr>
                <w:rFonts w:ascii="Consolas" w:eastAsia="Consolas" w:hAnsi="Consolas" w:cs="Consolas"/>
                <w:sz w:val="22"/>
                <w:szCs w:val="22"/>
                <w:shd w:val="clear" w:color="auto" w:fill="EAEEF3"/>
              </w:rPr>
              <w:t>P16_a_mobilisé_l’objet_spécifique</w:t>
            </w:r>
            <w:r>
              <w:t>) l’ordinateur de Nicholas Crofts (</w:t>
            </w:r>
            <w:r>
              <w:rPr>
                <w:rFonts w:ascii="Consolas" w:eastAsia="Consolas" w:hAnsi="Consolas" w:cs="Consolas"/>
                <w:sz w:val="22"/>
                <w:szCs w:val="22"/>
                <w:shd w:val="clear" w:color="auto" w:fill="EAEEF3"/>
              </w:rPr>
              <w:t>E22_Objet_élaboré_par_l’humain</w:t>
            </w:r>
            <w:r>
              <w:t>) avec comme mode d’utilisation (</w:t>
            </w:r>
            <w:r>
              <w:rPr>
                <w:rFonts w:ascii="Consolas" w:eastAsia="Consolas" w:hAnsi="Consolas" w:cs="Consolas"/>
                <w:sz w:val="22"/>
                <w:szCs w:val="22"/>
                <w:shd w:val="clear" w:color="auto" w:fill="EAEEF3"/>
              </w:rPr>
              <w:t>P16.1_mode_d'utilisation</w:t>
            </w:r>
            <w:r>
              <w:t>) un outil de saisie et un support de stockage (</w:t>
            </w:r>
            <w:r>
              <w:rPr>
                <w:rFonts w:ascii="Consolas" w:eastAsia="Consolas" w:hAnsi="Consolas" w:cs="Consolas"/>
                <w:sz w:val="22"/>
                <w:szCs w:val="22"/>
                <w:shd w:val="clear" w:color="auto" w:fill="EAEEF3"/>
              </w:rPr>
              <w:t>E55_Type</w:t>
            </w:r>
            <w:r>
              <w:t>) [la note d’application originelle a été augmentée dans la version 4.3 du CIDOC CRM]</w:t>
            </w:r>
          </w:p>
          <w:p w14:paraId="0ACFDFEF" w14:textId="77777777" w:rsidR="00BF18CF" w:rsidRDefault="00E51347">
            <w:pPr>
              <w:numPr>
                <w:ilvl w:val="0"/>
                <w:numId w:val="19"/>
              </w:numPr>
            </w:pPr>
            <w:r>
              <w:t>Le peuple irakien appelant le lieu dont l’identifiant TGN est « 7017998 » (</w:t>
            </w:r>
            <w:r>
              <w:rPr>
                <w:rFonts w:ascii="Consolas" w:eastAsia="Consolas" w:hAnsi="Consolas" w:cs="Consolas"/>
                <w:sz w:val="22"/>
                <w:szCs w:val="22"/>
                <w:shd w:val="clear" w:color="auto" w:fill="EAEEF3"/>
              </w:rPr>
              <w:t>E7_Activité</w:t>
            </w:r>
            <w:r>
              <w:t>) a mobilisé l’objet spécifique (</w:t>
            </w:r>
            <w:r>
              <w:rPr>
                <w:rFonts w:ascii="Consolas" w:eastAsia="Consolas" w:hAnsi="Consolas" w:cs="Consolas"/>
                <w:sz w:val="22"/>
                <w:szCs w:val="22"/>
                <w:shd w:val="clear" w:color="auto" w:fill="EAEEF3"/>
              </w:rPr>
              <w:t>P16_a_mobilisé_l’objet_spécifique</w:t>
            </w:r>
            <w:r>
              <w:t>) « Quyunjig » (</w:t>
            </w:r>
            <w:r>
              <w:rPr>
                <w:rFonts w:ascii="Consolas" w:eastAsia="Consolas" w:hAnsi="Consolas" w:cs="Consolas"/>
                <w:sz w:val="22"/>
                <w:szCs w:val="22"/>
                <w:shd w:val="clear" w:color="auto" w:fill="EAEEF3"/>
              </w:rPr>
              <w:t>E41_Appellation</w:t>
            </w:r>
            <w:r>
              <w:t>), ayant comme mode d’utilisation (</w:t>
            </w:r>
            <w:r>
              <w:rPr>
                <w:rFonts w:ascii="Consolas" w:eastAsia="Consolas" w:hAnsi="Consolas" w:cs="Consolas"/>
                <w:sz w:val="22"/>
                <w:szCs w:val="22"/>
                <w:shd w:val="clear" w:color="auto" w:fill="EAEEF3"/>
              </w:rPr>
              <w:t>P16.1_mode_d'utilisation</w:t>
            </w:r>
            <w:r>
              <w:t>) actuel, vernaculaire (</w:t>
            </w:r>
            <w:r>
              <w:rPr>
                <w:rFonts w:ascii="Consolas" w:eastAsia="Consolas" w:hAnsi="Consolas" w:cs="Consolas"/>
                <w:sz w:val="22"/>
                <w:szCs w:val="22"/>
                <w:shd w:val="clear" w:color="auto" w:fill="EAEEF3"/>
              </w:rPr>
              <w:t>E55_Type</w:t>
            </w:r>
            <w:r>
              <w:t>).</w:t>
            </w:r>
          </w:p>
        </w:tc>
      </w:tr>
      <w:tr w:rsidR="00BF18CF" w14:paraId="715641B8" w14:textId="77777777" w:rsidTr="00BF18CF">
        <w:tc>
          <w:tcPr>
            <w:tcW w:w="1853" w:type="dxa"/>
          </w:tcPr>
          <w:p w14:paraId="0504085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7" w:type="dxa"/>
          </w:tcPr>
          <w:p w14:paraId="06C040C2" w14:textId="77777777" w:rsidR="00BF18CF" w:rsidRDefault="00E51347">
            <w:r>
              <w:t>P16(</w:t>
            </w:r>
            <w:proofErr w:type="gramStart"/>
            <w:r>
              <w:t>x,y</w:t>
            </w:r>
            <w:proofErr w:type="gramEnd"/>
            <w:r>
              <w:t>) ⇒ E7(x)</w:t>
            </w:r>
          </w:p>
          <w:p w14:paraId="1880F579" w14:textId="77777777" w:rsidR="00BF18CF" w:rsidRDefault="00E51347">
            <w:r>
              <w:t>P16(</w:t>
            </w:r>
            <w:proofErr w:type="gramStart"/>
            <w:r>
              <w:t>x,y</w:t>
            </w:r>
            <w:proofErr w:type="gramEnd"/>
            <w:r>
              <w:t>) ⇒ E70(y)</w:t>
            </w:r>
          </w:p>
          <w:p w14:paraId="2655CFC4" w14:textId="77777777" w:rsidR="00BF18CF" w:rsidRDefault="00E51347">
            <w:r>
              <w:t>P16(</w:t>
            </w:r>
            <w:proofErr w:type="gramStart"/>
            <w:r>
              <w:t>x,y</w:t>
            </w:r>
            <w:proofErr w:type="gramEnd"/>
            <w:r>
              <w:t>) ⇒ P12(x,y)</w:t>
            </w:r>
          </w:p>
          <w:p w14:paraId="45105D82" w14:textId="77777777" w:rsidR="00BF18CF" w:rsidRDefault="00E51347">
            <w:r>
              <w:t>P16(</w:t>
            </w:r>
            <w:proofErr w:type="gramStart"/>
            <w:r>
              <w:t>x,y</w:t>
            </w:r>
            <w:proofErr w:type="gramEnd"/>
            <w:r>
              <w:t>) ⇒ P15(x,y)</w:t>
            </w:r>
          </w:p>
          <w:p w14:paraId="1FE00CC2" w14:textId="77777777" w:rsidR="00BF18CF" w:rsidRDefault="00E51347">
            <w:r>
              <w:t>P16(</w:t>
            </w:r>
            <w:proofErr w:type="gramStart"/>
            <w:r>
              <w:t>x,y</w:t>
            </w:r>
            <w:proofErr w:type="gramEnd"/>
            <w:r>
              <w:t>,z) ⇒ [P16(x,y) ∧ E55(z)]</w:t>
            </w:r>
          </w:p>
        </w:tc>
      </w:tr>
      <w:tr w:rsidR="00BF18CF" w14:paraId="39E91B15" w14:textId="77777777" w:rsidTr="00BF18CF">
        <w:tc>
          <w:tcPr>
            <w:tcW w:w="1853" w:type="dxa"/>
          </w:tcPr>
          <w:p w14:paraId="1524287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7" w:type="dxa"/>
          </w:tcPr>
          <w:p w14:paraId="2731BB3F" w14:textId="77777777" w:rsidR="00BF18CF" w:rsidRDefault="00E51347">
            <w:r>
              <w:rPr>
                <w:rFonts w:ascii="Consolas" w:eastAsia="Consolas" w:hAnsi="Consolas" w:cs="Consolas"/>
                <w:sz w:val="22"/>
                <w:szCs w:val="22"/>
                <w:shd w:val="clear" w:color="auto" w:fill="EAEEF3"/>
              </w:rPr>
              <w:t>P16.1_mode_d'utilisation</w:t>
            </w:r>
            <w:r>
              <w:t xml:space="preserve"> : </w:t>
            </w:r>
            <w:r>
              <w:rPr>
                <w:rFonts w:ascii="Consolas" w:eastAsia="Consolas" w:hAnsi="Consolas" w:cs="Consolas"/>
                <w:sz w:val="22"/>
                <w:szCs w:val="22"/>
                <w:shd w:val="clear" w:color="auto" w:fill="EAEEF3"/>
              </w:rPr>
              <w:t>E55_Type</w:t>
            </w:r>
          </w:p>
        </w:tc>
      </w:tr>
      <w:tr w:rsidR="00BF18CF" w14:paraId="3436894D" w14:textId="77777777" w:rsidTr="00BF18CF">
        <w:tc>
          <w:tcPr>
            <w:tcW w:w="1853" w:type="dxa"/>
          </w:tcPr>
          <w:p w14:paraId="3EC0BB23" w14:textId="0F0A9287"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837" w:type="dxa"/>
          </w:tcPr>
          <w:p w14:paraId="02D804A3" w14:textId="77777777" w:rsidR="00BF18CF" w:rsidRDefault="00BF18CF">
            <w:pPr>
              <w:pBdr>
                <w:top w:val="nil"/>
                <w:left w:val="nil"/>
                <w:bottom w:val="nil"/>
                <w:right w:val="nil"/>
                <w:between w:val="nil"/>
              </w:pBdr>
              <w:spacing w:before="36" w:after="36"/>
              <w:rPr>
                <w:color w:val="000000"/>
              </w:rPr>
            </w:pPr>
          </w:p>
        </w:tc>
      </w:tr>
      <w:tr w:rsidR="00BF18CF" w14:paraId="676E4488" w14:textId="77777777" w:rsidTr="00BF18CF">
        <w:tc>
          <w:tcPr>
            <w:tcW w:w="1853" w:type="dxa"/>
          </w:tcPr>
          <w:p w14:paraId="2B3E2FA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7" w:type="dxa"/>
          </w:tcPr>
          <w:p w14:paraId="0BB63079" w14:textId="77777777" w:rsidR="00BF18CF" w:rsidRDefault="00BF18CF">
            <w:pPr>
              <w:pBdr>
                <w:top w:val="nil"/>
                <w:left w:val="nil"/>
                <w:bottom w:val="nil"/>
                <w:right w:val="nil"/>
                <w:between w:val="nil"/>
              </w:pBdr>
              <w:spacing w:before="36" w:after="36"/>
              <w:rPr>
                <w:color w:val="000000"/>
              </w:rPr>
            </w:pPr>
          </w:p>
        </w:tc>
      </w:tr>
    </w:tbl>
    <w:p w14:paraId="0C48068D" w14:textId="77777777" w:rsidR="00BF18CF" w:rsidRDefault="00E51347">
      <w:pPr>
        <w:pStyle w:val="Heading3"/>
      </w:pPr>
      <w:bookmarkStart w:id="295" w:name="bookmark=id.3im3ia3" w:colFirst="0" w:colLast="0"/>
      <w:bookmarkStart w:id="296" w:name="_Toc144360891"/>
      <w:bookmarkEnd w:id="295"/>
      <w:r>
        <w:t>P17 a été motivé par (a motivé)</w:t>
      </w:r>
      <w:bookmarkEnd w:id="296"/>
    </w:p>
    <w:tbl>
      <w:tblPr>
        <w:tblStyle w:val="afff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02"/>
        <w:gridCol w:w="8688"/>
      </w:tblGrid>
      <w:tr w:rsidR="00BF18CF" w14:paraId="6D208EE3" w14:textId="77777777" w:rsidTr="00BF18CF">
        <w:tc>
          <w:tcPr>
            <w:tcW w:w="2002" w:type="dxa"/>
          </w:tcPr>
          <w:p w14:paraId="42300D57"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688" w:type="dxa"/>
          </w:tcPr>
          <w:p w14:paraId="487C8C56" w14:textId="77777777" w:rsidR="00BF18CF" w:rsidRDefault="00E51347">
            <w:r>
              <w:rPr>
                <w:rFonts w:ascii="Consolas" w:eastAsia="Consolas" w:hAnsi="Consolas" w:cs="Consolas"/>
                <w:sz w:val="22"/>
                <w:szCs w:val="22"/>
                <w:shd w:val="clear" w:color="auto" w:fill="EAEEF3"/>
              </w:rPr>
              <w:t>E7_Activité</w:t>
            </w:r>
          </w:p>
        </w:tc>
      </w:tr>
      <w:tr w:rsidR="00BF18CF" w14:paraId="5732C52D" w14:textId="77777777" w:rsidTr="00BF18CF">
        <w:tc>
          <w:tcPr>
            <w:tcW w:w="2002" w:type="dxa"/>
          </w:tcPr>
          <w:p w14:paraId="15169DE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688" w:type="dxa"/>
          </w:tcPr>
          <w:p w14:paraId="1FB3FE62" w14:textId="77777777" w:rsidR="00BF18CF" w:rsidRDefault="00E51347">
            <w:r>
              <w:rPr>
                <w:rFonts w:ascii="Consolas" w:eastAsia="Consolas" w:hAnsi="Consolas" w:cs="Consolas"/>
                <w:sz w:val="22"/>
                <w:szCs w:val="22"/>
                <w:shd w:val="clear" w:color="auto" w:fill="EAEEF3"/>
              </w:rPr>
              <w:t>E1_Entité_CRM</w:t>
            </w:r>
          </w:p>
        </w:tc>
      </w:tr>
      <w:tr w:rsidR="00BF18CF" w14:paraId="3E87A507" w14:textId="77777777" w:rsidTr="00BF18CF">
        <w:tc>
          <w:tcPr>
            <w:tcW w:w="2002" w:type="dxa"/>
          </w:tcPr>
          <w:p w14:paraId="51C32571"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688" w:type="dxa"/>
          </w:tcPr>
          <w:p w14:paraId="46802E93"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 xml:space="preserve">P15_a_été_influencé_par (a_influencé) </w:t>
            </w:r>
            <w:r>
              <w:t xml:space="preserve">: </w:t>
            </w:r>
            <w:r>
              <w:rPr>
                <w:rFonts w:ascii="Consolas" w:eastAsia="Consolas" w:hAnsi="Consolas" w:cs="Consolas"/>
                <w:sz w:val="22"/>
                <w:szCs w:val="22"/>
                <w:shd w:val="clear" w:color="auto" w:fill="EAEEF3"/>
              </w:rPr>
              <w:t>E1_Entité_CRM</w:t>
            </w:r>
          </w:p>
        </w:tc>
      </w:tr>
      <w:tr w:rsidR="00BF18CF" w14:paraId="6BEF4531" w14:textId="77777777" w:rsidTr="00BF18CF">
        <w:tc>
          <w:tcPr>
            <w:tcW w:w="2002" w:type="dxa"/>
          </w:tcPr>
          <w:p w14:paraId="74D2DF6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688" w:type="dxa"/>
          </w:tcPr>
          <w:p w14:paraId="58D12E6F" w14:textId="77777777" w:rsidR="00BF18CF" w:rsidRDefault="00BF18CF">
            <w:pPr>
              <w:pBdr>
                <w:top w:val="nil"/>
                <w:left w:val="nil"/>
                <w:bottom w:val="nil"/>
                <w:right w:val="nil"/>
                <w:between w:val="nil"/>
              </w:pBdr>
              <w:spacing w:before="36" w:after="36"/>
              <w:rPr>
                <w:color w:val="000000"/>
              </w:rPr>
            </w:pPr>
          </w:p>
        </w:tc>
      </w:tr>
      <w:tr w:rsidR="00BF18CF" w14:paraId="675F99EC" w14:textId="77777777" w:rsidTr="00BF18CF">
        <w:tc>
          <w:tcPr>
            <w:tcW w:w="2002" w:type="dxa"/>
          </w:tcPr>
          <w:p w14:paraId="553E6614"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688" w:type="dxa"/>
          </w:tcPr>
          <w:p w14:paraId="55DF0214" w14:textId="77777777" w:rsidR="00BF18CF" w:rsidRDefault="00E51347">
            <w:proofErr w:type="gramStart"/>
            <w:r>
              <w:t>plusieurs</w:t>
            </w:r>
            <w:proofErr w:type="gramEnd"/>
            <w:r>
              <w:t xml:space="preserve"> à plusieurs (0,n:0,n)</w:t>
            </w:r>
          </w:p>
        </w:tc>
      </w:tr>
      <w:tr w:rsidR="00BF18CF" w14:paraId="4D97D352" w14:textId="77777777" w:rsidTr="00BF18CF">
        <w:tc>
          <w:tcPr>
            <w:tcW w:w="2002" w:type="dxa"/>
          </w:tcPr>
          <w:p w14:paraId="59A0D8B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688" w:type="dxa"/>
          </w:tcPr>
          <w:p w14:paraId="0AA6A021" w14:textId="77777777" w:rsidR="00BF18CF" w:rsidRDefault="00E51347">
            <w:r>
              <w:t xml:space="preserve">Cette propriété décrit le fait qu’une ou des entités sont considérées comme ayant motivé la création d’une instance de </w:t>
            </w:r>
            <w:r>
              <w:rPr>
                <w:rFonts w:ascii="Consolas" w:eastAsia="Consolas" w:hAnsi="Consolas" w:cs="Consolas"/>
                <w:sz w:val="22"/>
                <w:szCs w:val="22"/>
                <w:shd w:val="clear" w:color="auto" w:fill="EAEEF3"/>
              </w:rPr>
              <w:t>E7_Activité</w:t>
            </w:r>
            <w:r>
              <w:t>.</w:t>
            </w:r>
          </w:p>
          <w:p w14:paraId="3559B595" w14:textId="77777777" w:rsidR="00BF18CF" w:rsidRDefault="00E51347">
            <w:r>
              <w:t>Par exemple, la découverte d’un important trésor peut donner lieu à une célébration, un ordre émanant du quartier général peut déclencher une manœuvre militaire.</w:t>
            </w:r>
          </w:p>
        </w:tc>
      </w:tr>
      <w:tr w:rsidR="00BF18CF" w14:paraId="27ADC002" w14:textId="77777777" w:rsidTr="00BF18CF">
        <w:tc>
          <w:tcPr>
            <w:tcW w:w="2002" w:type="dxa"/>
          </w:tcPr>
          <w:p w14:paraId="5492C17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688" w:type="dxa"/>
          </w:tcPr>
          <w:p w14:paraId="1D15A3F1" w14:textId="77777777" w:rsidR="00BF18CF" w:rsidRDefault="00E51347">
            <w:pPr>
              <w:numPr>
                <w:ilvl w:val="0"/>
                <w:numId w:val="19"/>
              </w:numPr>
            </w:pPr>
            <w:r>
              <w:t>La démission du chef de la direction (</w:t>
            </w:r>
            <w:r>
              <w:rPr>
                <w:rFonts w:ascii="Consolas" w:eastAsia="Consolas" w:hAnsi="Consolas" w:cs="Consolas"/>
                <w:sz w:val="22"/>
                <w:szCs w:val="22"/>
                <w:shd w:val="clear" w:color="auto" w:fill="EAEEF3"/>
              </w:rPr>
              <w:t>E7_Activité</w:t>
            </w:r>
            <w:r>
              <w:t>) a été motivée par (</w:t>
            </w:r>
            <w:r>
              <w:rPr>
                <w:rFonts w:ascii="Consolas" w:eastAsia="Consolas" w:hAnsi="Consolas" w:cs="Consolas"/>
                <w:sz w:val="22"/>
                <w:szCs w:val="22"/>
                <w:shd w:val="clear" w:color="auto" w:fill="EAEEF3"/>
              </w:rPr>
              <w:t>P17_a_été_motivé_par)</w:t>
            </w:r>
            <w:r>
              <w:t xml:space="preserve"> la faillite de Swissair (</w:t>
            </w:r>
            <w:r>
              <w:rPr>
                <w:rFonts w:ascii="Consolas" w:eastAsia="Consolas" w:hAnsi="Consolas" w:cs="Consolas"/>
                <w:sz w:val="22"/>
                <w:szCs w:val="22"/>
                <w:shd w:val="clear" w:color="auto" w:fill="EAEEF3"/>
              </w:rPr>
              <w:t>E68_Dissolution</w:t>
            </w:r>
            <w:r>
              <w:t>)</w:t>
            </w:r>
          </w:p>
          <w:p w14:paraId="623F0B9F" w14:textId="77777777" w:rsidR="00BF18CF" w:rsidRDefault="00E51347">
            <w:pPr>
              <w:numPr>
                <w:ilvl w:val="0"/>
                <w:numId w:val="19"/>
              </w:numPr>
            </w:pPr>
            <w:r>
              <w:t>Le couronnement d’Elizabeth II (</w:t>
            </w:r>
            <w:r>
              <w:rPr>
                <w:rFonts w:ascii="Consolas" w:eastAsia="Consolas" w:hAnsi="Consolas" w:cs="Consolas"/>
                <w:sz w:val="22"/>
                <w:szCs w:val="22"/>
                <w:shd w:val="clear" w:color="auto" w:fill="EAEEF3"/>
              </w:rPr>
              <w:t>E7_Activité</w:t>
            </w:r>
            <w:r>
              <w:t>) a été motivé par (</w:t>
            </w:r>
            <w:r>
              <w:rPr>
                <w:rFonts w:ascii="Consolas" w:eastAsia="Consolas" w:hAnsi="Consolas" w:cs="Consolas"/>
                <w:sz w:val="22"/>
                <w:szCs w:val="22"/>
                <w:shd w:val="clear" w:color="auto" w:fill="EAEEF3"/>
              </w:rPr>
              <w:t>P17_a_été_motivé_par)</w:t>
            </w:r>
            <w:r>
              <w:t xml:space="preserve"> la mort de George VI (</w:t>
            </w:r>
            <w:r>
              <w:rPr>
                <w:rFonts w:ascii="Consolas" w:eastAsia="Consolas" w:hAnsi="Consolas" w:cs="Consolas"/>
                <w:sz w:val="22"/>
                <w:szCs w:val="22"/>
                <w:shd w:val="clear" w:color="auto" w:fill="EAEEF3"/>
              </w:rPr>
              <w:t>E69_Mort</w:t>
            </w:r>
            <w:r>
              <w:t>) (Strong, 2005)</w:t>
            </w:r>
          </w:p>
        </w:tc>
      </w:tr>
      <w:tr w:rsidR="00BF18CF" w14:paraId="4E078858" w14:textId="77777777" w:rsidTr="00BF18CF">
        <w:tc>
          <w:tcPr>
            <w:tcW w:w="2002" w:type="dxa"/>
          </w:tcPr>
          <w:p w14:paraId="4FABE01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688" w:type="dxa"/>
          </w:tcPr>
          <w:p w14:paraId="0FC1E579" w14:textId="77777777" w:rsidR="00BF18CF" w:rsidRDefault="00E51347">
            <w:r>
              <w:t>P17(</w:t>
            </w:r>
            <w:proofErr w:type="gramStart"/>
            <w:r>
              <w:t>x,y</w:t>
            </w:r>
            <w:proofErr w:type="gramEnd"/>
            <w:r>
              <w:t>) ⇒ E7(x)</w:t>
            </w:r>
          </w:p>
          <w:p w14:paraId="1C8D0F20" w14:textId="77777777" w:rsidR="00BF18CF" w:rsidRDefault="00E51347">
            <w:r>
              <w:t>P17(</w:t>
            </w:r>
            <w:proofErr w:type="gramStart"/>
            <w:r>
              <w:t>x,y</w:t>
            </w:r>
            <w:proofErr w:type="gramEnd"/>
            <w:r>
              <w:t>) ⇒ E1(y)</w:t>
            </w:r>
          </w:p>
          <w:p w14:paraId="6A8A12FE" w14:textId="77777777" w:rsidR="00BF18CF" w:rsidRDefault="00E51347">
            <w:r>
              <w:t>P17(</w:t>
            </w:r>
            <w:proofErr w:type="gramStart"/>
            <w:r>
              <w:t>x,y</w:t>
            </w:r>
            <w:proofErr w:type="gramEnd"/>
            <w:r>
              <w:t>) ⇒ P15(x,y)</w:t>
            </w:r>
          </w:p>
        </w:tc>
      </w:tr>
      <w:tr w:rsidR="00BF18CF" w14:paraId="396CBEEA" w14:textId="77777777" w:rsidTr="00BF18CF">
        <w:tc>
          <w:tcPr>
            <w:tcW w:w="2002" w:type="dxa"/>
          </w:tcPr>
          <w:p w14:paraId="12066B4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688" w:type="dxa"/>
          </w:tcPr>
          <w:p w14:paraId="1B4ECF20" w14:textId="77777777" w:rsidR="00BF18CF" w:rsidRDefault="00BF18CF">
            <w:pPr>
              <w:pBdr>
                <w:top w:val="nil"/>
                <w:left w:val="nil"/>
                <w:bottom w:val="nil"/>
                <w:right w:val="nil"/>
                <w:between w:val="nil"/>
              </w:pBdr>
              <w:spacing w:before="36" w:after="36"/>
              <w:rPr>
                <w:color w:val="000000"/>
              </w:rPr>
            </w:pPr>
          </w:p>
        </w:tc>
      </w:tr>
      <w:tr w:rsidR="00BF18CF" w14:paraId="17D898C9" w14:textId="77777777" w:rsidTr="00BF18CF">
        <w:tc>
          <w:tcPr>
            <w:tcW w:w="2002" w:type="dxa"/>
          </w:tcPr>
          <w:p w14:paraId="1BE4EB01" w14:textId="658D2BF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688" w:type="dxa"/>
          </w:tcPr>
          <w:p w14:paraId="38185098" w14:textId="77777777" w:rsidR="00BF18CF" w:rsidRDefault="00BF18CF">
            <w:pPr>
              <w:pBdr>
                <w:top w:val="nil"/>
                <w:left w:val="nil"/>
                <w:bottom w:val="nil"/>
                <w:right w:val="nil"/>
                <w:between w:val="nil"/>
              </w:pBdr>
              <w:spacing w:before="36" w:after="36"/>
              <w:rPr>
                <w:color w:val="000000"/>
              </w:rPr>
            </w:pPr>
          </w:p>
        </w:tc>
      </w:tr>
      <w:tr w:rsidR="00BF18CF" w14:paraId="0E83E746" w14:textId="77777777" w:rsidTr="00BF18CF">
        <w:tc>
          <w:tcPr>
            <w:tcW w:w="2002" w:type="dxa"/>
          </w:tcPr>
          <w:p w14:paraId="6B6A080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688" w:type="dxa"/>
          </w:tcPr>
          <w:p w14:paraId="5DC2A013" w14:textId="77777777" w:rsidR="00BF18CF" w:rsidRDefault="00BF18CF">
            <w:pPr>
              <w:pBdr>
                <w:top w:val="nil"/>
                <w:left w:val="nil"/>
                <w:bottom w:val="nil"/>
                <w:right w:val="nil"/>
                <w:between w:val="nil"/>
              </w:pBdr>
              <w:spacing w:before="36" w:after="36"/>
              <w:rPr>
                <w:color w:val="000000"/>
              </w:rPr>
            </w:pPr>
          </w:p>
        </w:tc>
      </w:tr>
    </w:tbl>
    <w:p w14:paraId="754C3142" w14:textId="77777777" w:rsidR="00BF18CF" w:rsidRDefault="00E51347">
      <w:pPr>
        <w:pStyle w:val="Heading3"/>
      </w:pPr>
      <w:bookmarkStart w:id="297" w:name="bookmark=id.1xrdshw" w:colFirst="0" w:colLast="0"/>
      <w:bookmarkStart w:id="298" w:name="_Toc144360892"/>
      <w:bookmarkEnd w:id="297"/>
      <w:r>
        <w:t>P19 a été l’usage prévu de (a été élaboré pour)</w:t>
      </w:r>
      <w:bookmarkEnd w:id="298"/>
    </w:p>
    <w:tbl>
      <w:tblPr>
        <w:tblStyle w:val="af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0"/>
        <w:gridCol w:w="8810"/>
      </w:tblGrid>
      <w:tr w:rsidR="00BF18CF" w14:paraId="22A730CB" w14:textId="77777777" w:rsidTr="00BF18CF">
        <w:tc>
          <w:tcPr>
            <w:tcW w:w="1880" w:type="dxa"/>
          </w:tcPr>
          <w:p w14:paraId="070AA01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0" w:type="dxa"/>
          </w:tcPr>
          <w:p w14:paraId="3DACA0F2" w14:textId="77777777" w:rsidR="00BF18CF" w:rsidRDefault="00E51347">
            <w:r>
              <w:rPr>
                <w:rFonts w:ascii="Consolas" w:eastAsia="Consolas" w:hAnsi="Consolas" w:cs="Consolas"/>
                <w:sz w:val="22"/>
                <w:szCs w:val="22"/>
                <w:shd w:val="clear" w:color="auto" w:fill="EAEEF3"/>
              </w:rPr>
              <w:t>E7_Activité</w:t>
            </w:r>
          </w:p>
        </w:tc>
      </w:tr>
      <w:tr w:rsidR="00BF18CF" w14:paraId="6331054B" w14:textId="77777777" w:rsidTr="00BF18CF">
        <w:tc>
          <w:tcPr>
            <w:tcW w:w="1880" w:type="dxa"/>
          </w:tcPr>
          <w:p w14:paraId="03079D2A"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0" w:type="dxa"/>
          </w:tcPr>
          <w:p w14:paraId="5624F753" w14:textId="77777777" w:rsidR="00BF18CF" w:rsidRDefault="00E51347">
            <w:r>
              <w:rPr>
                <w:rFonts w:ascii="Consolas" w:eastAsia="Consolas" w:hAnsi="Consolas" w:cs="Consolas"/>
                <w:sz w:val="22"/>
                <w:szCs w:val="22"/>
                <w:shd w:val="clear" w:color="auto" w:fill="EAEEF3"/>
              </w:rPr>
              <w:t>E71_Chose_élaborée_par_l’humain</w:t>
            </w:r>
          </w:p>
        </w:tc>
      </w:tr>
      <w:tr w:rsidR="00BF18CF" w14:paraId="630501CE" w14:textId="77777777" w:rsidTr="00BF18CF">
        <w:tc>
          <w:tcPr>
            <w:tcW w:w="1880" w:type="dxa"/>
          </w:tcPr>
          <w:p w14:paraId="6AA4EC6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0" w:type="dxa"/>
          </w:tcPr>
          <w:p w14:paraId="540F1E2A" w14:textId="77777777" w:rsidR="00BF18CF" w:rsidRDefault="00BF18CF">
            <w:pPr>
              <w:pBdr>
                <w:top w:val="nil"/>
                <w:left w:val="nil"/>
                <w:bottom w:val="nil"/>
                <w:right w:val="nil"/>
                <w:between w:val="nil"/>
              </w:pBdr>
              <w:spacing w:before="36" w:after="36"/>
              <w:rPr>
                <w:color w:val="000000"/>
              </w:rPr>
            </w:pPr>
          </w:p>
        </w:tc>
      </w:tr>
      <w:tr w:rsidR="00BF18CF" w14:paraId="6E9621F1" w14:textId="77777777" w:rsidTr="00BF18CF">
        <w:tc>
          <w:tcPr>
            <w:tcW w:w="1880" w:type="dxa"/>
          </w:tcPr>
          <w:p w14:paraId="52231FCA"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0" w:type="dxa"/>
          </w:tcPr>
          <w:p w14:paraId="28876E10" w14:textId="77777777" w:rsidR="00BF18CF" w:rsidRDefault="00BF18CF">
            <w:pPr>
              <w:pBdr>
                <w:top w:val="nil"/>
                <w:left w:val="nil"/>
                <w:bottom w:val="nil"/>
                <w:right w:val="nil"/>
                <w:between w:val="nil"/>
              </w:pBdr>
              <w:spacing w:before="36" w:after="36"/>
              <w:rPr>
                <w:color w:val="000000"/>
              </w:rPr>
            </w:pPr>
          </w:p>
        </w:tc>
      </w:tr>
      <w:tr w:rsidR="00BF18CF" w14:paraId="02483A69" w14:textId="77777777" w:rsidTr="00BF18CF">
        <w:tc>
          <w:tcPr>
            <w:tcW w:w="1880" w:type="dxa"/>
          </w:tcPr>
          <w:p w14:paraId="10A11B5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0" w:type="dxa"/>
          </w:tcPr>
          <w:p w14:paraId="0FA32ED4" w14:textId="77777777" w:rsidR="00BF18CF" w:rsidRDefault="00E51347">
            <w:proofErr w:type="gramStart"/>
            <w:r>
              <w:t>plusieurs</w:t>
            </w:r>
            <w:proofErr w:type="gramEnd"/>
            <w:r>
              <w:t xml:space="preserve"> à plusieurs (0,n:0,n)</w:t>
            </w:r>
          </w:p>
        </w:tc>
      </w:tr>
      <w:tr w:rsidR="00BF18CF" w14:paraId="0C287B4F" w14:textId="77777777" w:rsidTr="00BF18CF">
        <w:tc>
          <w:tcPr>
            <w:tcW w:w="1880" w:type="dxa"/>
          </w:tcPr>
          <w:p w14:paraId="27F574E2"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810" w:type="dxa"/>
          </w:tcPr>
          <w:p w14:paraId="0E91D86D" w14:textId="77777777" w:rsidR="00BF18CF" w:rsidRDefault="00E51347">
            <w:r>
              <w:t xml:space="preserve">Cette propriété relie une instance de </w:t>
            </w:r>
            <w:r>
              <w:rPr>
                <w:rFonts w:ascii="Consolas" w:eastAsia="Consolas" w:hAnsi="Consolas" w:cs="Consolas"/>
                <w:sz w:val="22"/>
                <w:szCs w:val="22"/>
                <w:shd w:val="clear" w:color="auto" w:fill="EAEEF3"/>
              </w:rPr>
              <w:t>E7_Activité</w:t>
            </w:r>
            <w:r>
              <w:t xml:space="preserve"> à des instances de </w:t>
            </w:r>
            <w:r>
              <w:rPr>
                <w:rFonts w:ascii="Consolas" w:eastAsia="Consolas" w:hAnsi="Consolas" w:cs="Consolas"/>
                <w:sz w:val="22"/>
                <w:szCs w:val="22"/>
                <w:shd w:val="clear" w:color="auto" w:fill="EAEEF3"/>
              </w:rPr>
              <w:t>E71_Chose_élaborée_par_l’humain</w:t>
            </w:r>
            <w:r>
              <w:t xml:space="preserve">, créées spécifiquement pour être utilisées au cours de l’activité en question. Ce cas est à distinguer de l’utilisation prévue d’une entité dans une activité de type général, tel que le livre de la prière commune, dont l’utilisation prévue était d’être lu pendant les offices de l’Église d’Angleterre (voir </w:t>
            </w:r>
            <w:r>
              <w:rPr>
                <w:rFonts w:ascii="Consolas" w:eastAsia="Consolas" w:hAnsi="Consolas" w:cs="Consolas"/>
                <w:sz w:val="22"/>
                <w:szCs w:val="22"/>
                <w:shd w:val="clear" w:color="auto" w:fill="EAEEF3"/>
              </w:rPr>
              <w:t>P101_a_eu_pour_usage_général (a_été_l’usage_général_de)</w:t>
            </w:r>
            <w:r>
              <w:t>).</w:t>
            </w:r>
          </w:p>
        </w:tc>
      </w:tr>
      <w:tr w:rsidR="00BF18CF" w14:paraId="0083795D" w14:textId="77777777" w:rsidTr="00BF18CF">
        <w:tc>
          <w:tcPr>
            <w:tcW w:w="1880" w:type="dxa"/>
          </w:tcPr>
          <w:p w14:paraId="080F3189"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0" w:type="dxa"/>
          </w:tcPr>
          <w:p w14:paraId="49EC1236" w14:textId="77777777" w:rsidR="00BF18CF" w:rsidRDefault="00E51347">
            <w:pPr>
              <w:numPr>
                <w:ilvl w:val="0"/>
                <w:numId w:val="19"/>
              </w:numPr>
            </w:pPr>
            <w:r>
              <w:t>La robe de mariée de Lady Diana Spencer (</w:t>
            </w:r>
            <w:r>
              <w:rPr>
                <w:rFonts w:ascii="Consolas" w:eastAsia="Consolas" w:hAnsi="Consolas" w:cs="Consolas"/>
                <w:sz w:val="22"/>
                <w:szCs w:val="22"/>
                <w:shd w:val="clear" w:color="auto" w:fill="EAEEF3"/>
              </w:rPr>
              <w:t>E71_Chose_élaborée_par_l’humain</w:t>
            </w:r>
            <w:r>
              <w:t>) a été élaborée pour (</w:t>
            </w:r>
            <w:r>
              <w:rPr>
                <w:rFonts w:ascii="Consolas" w:eastAsia="Consolas" w:hAnsi="Consolas" w:cs="Consolas"/>
                <w:sz w:val="22"/>
                <w:szCs w:val="22"/>
                <w:shd w:val="clear" w:color="auto" w:fill="EAEEF3"/>
              </w:rPr>
              <w:t>P19i_a_été_élaboré_pour</w:t>
            </w:r>
            <w:r>
              <w:t>) le mariage de Lady Diana Spencer avec le Prince Charles (</w:t>
            </w:r>
            <w:r>
              <w:rPr>
                <w:rFonts w:ascii="Consolas" w:eastAsia="Consolas" w:hAnsi="Consolas" w:cs="Consolas"/>
                <w:sz w:val="22"/>
                <w:szCs w:val="22"/>
                <w:shd w:val="clear" w:color="auto" w:fill="EAEEF3"/>
              </w:rPr>
              <w:t>E7_Activité</w:t>
            </w:r>
            <w:r>
              <w:t>) avec pour mode d’utilisation (</w:t>
            </w:r>
            <w:r>
              <w:rPr>
                <w:rFonts w:ascii="Consolas" w:eastAsia="Consolas" w:hAnsi="Consolas" w:cs="Consolas"/>
                <w:sz w:val="22"/>
                <w:szCs w:val="22"/>
                <w:shd w:val="clear" w:color="auto" w:fill="EAEEF3"/>
              </w:rPr>
              <w:t>P19.1_mode_d’utilisation</w:t>
            </w:r>
            <w:r>
              <w:t>) être portée (</w:t>
            </w:r>
            <w:r>
              <w:rPr>
                <w:rFonts w:ascii="Consolas" w:eastAsia="Consolas" w:hAnsi="Consolas" w:cs="Consolas"/>
                <w:sz w:val="22"/>
                <w:szCs w:val="22"/>
                <w:shd w:val="clear" w:color="auto" w:fill="EAEEF3"/>
              </w:rPr>
              <w:t>E55_Type</w:t>
            </w:r>
            <w:r>
              <w:t>) (Daly, 1981)</w:t>
            </w:r>
          </w:p>
        </w:tc>
      </w:tr>
      <w:tr w:rsidR="00BF18CF" w14:paraId="012B2437" w14:textId="77777777" w:rsidTr="00BF18CF">
        <w:tc>
          <w:tcPr>
            <w:tcW w:w="1880" w:type="dxa"/>
          </w:tcPr>
          <w:p w14:paraId="4ED38CC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0" w:type="dxa"/>
          </w:tcPr>
          <w:p w14:paraId="24CD47CD" w14:textId="77777777" w:rsidR="00BF18CF" w:rsidRDefault="00E51347">
            <w:r>
              <w:t>P19(</w:t>
            </w:r>
            <w:proofErr w:type="gramStart"/>
            <w:r>
              <w:t>x,y</w:t>
            </w:r>
            <w:proofErr w:type="gramEnd"/>
            <w:r>
              <w:t>) ⇒ E7(x)</w:t>
            </w:r>
          </w:p>
          <w:p w14:paraId="724852AB" w14:textId="77777777" w:rsidR="00BF18CF" w:rsidRDefault="00E51347">
            <w:r>
              <w:t>P19(</w:t>
            </w:r>
            <w:proofErr w:type="gramStart"/>
            <w:r>
              <w:t>x,y</w:t>
            </w:r>
            <w:proofErr w:type="gramEnd"/>
            <w:r>
              <w:t>) ⇒ E71(y)</w:t>
            </w:r>
          </w:p>
          <w:p w14:paraId="5B986A19" w14:textId="77777777" w:rsidR="00BF18CF" w:rsidRDefault="00E51347">
            <w:r>
              <w:t>P19(</w:t>
            </w:r>
            <w:proofErr w:type="gramStart"/>
            <w:r>
              <w:t>x,y</w:t>
            </w:r>
            <w:proofErr w:type="gramEnd"/>
            <w:r>
              <w:t>,z) ⇒ [P19(x,y) ∧ E55(z)]</w:t>
            </w:r>
          </w:p>
        </w:tc>
      </w:tr>
      <w:tr w:rsidR="00BF18CF" w14:paraId="628806F7" w14:textId="77777777" w:rsidTr="00BF18CF">
        <w:tc>
          <w:tcPr>
            <w:tcW w:w="1880" w:type="dxa"/>
          </w:tcPr>
          <w:p w14:paraId="6F19115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0" w:type="dxa"/>
          </w:tcPr>
          <w:p w14:paraId="2FBC369E" w14:textId="77777777" w:rsidR="00BF18CF" w:rsidRDefault="00E51347">
            <w:r>
              <w:rPr>
                <w:rFonts w:ascii="Consolas" w:eastAsia="Consolas" w:hAnsi="Consolas" w:cs="Consolas"/>
                <w:sz w:val="22"/>
                <w:szCs w:val="22"/>
                <w:shd w:val="clear" w:color="auto" w:fill="EAEEF3"/>
              </w:rPr>
              <w:t>P19.1_mode_d’utilisation</w:t>
            </w:r>
            <w:r>
              <w:t xml:space="preserve"> : </w:t>
            </w:r>
            <w:r>
              <w:rPr>
                <w:rFonts w:ascii="Consolas" w:eastAsia="Consolas" w:hAnsi="Consolas" w:cs="Consolas"/>
                <w:sz w:val="22"/>
                <w:szCs w:val="22"/>
                <w:shd w:val="clear" w:color="auto" w:fill="EAEEF3"/>
              </w:rPr>
              <w:t>E55_Type</w:t>
            </w:r>
          </w:p>
        </w:tc>
      </w:tr>
      <w:tr w:rsidR="00BF18CF" w14:paraId="78C60BDF" w14:textId="77777777" w:rsidTr="00BF18CF">
        <w:tc>
          <w:tcPr>
            <w:tcW w:w="1880" w:type="dxa"/>
          </w:tcPr>
          <w:p w14:paraId="17801B15" w14:textId="66E1210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0" w:type="dxa"/>
          </w:tcPr>
          <w:p w14:paraId="289BB6F1" w14:textId="77777777" w:rsidR="00BF18CF" w:rsidRDefault="00BF18CF">
            <w:pPr>
              <w:pBdr>
                <w:top w:val="nil"/>
                <w:left w:val="nil"/>
                <w:bottom w:val="nil"/>
                <w:right w:val="nil"/>
                <w:between w:val="nil"/>
              </w:pBdr>
              <w:spacing w:before="36" w:after="36"/>
              <w:rPr>
                <w:color w:val="000000"/>
              </w:rPr>
            </w:pPr>
          </w:p>
        </w:tc>
      </w:tr>
      <w:tr w:rsidR="00BF18CF" w14:paraId="2154DCAD" w14:textId="77777777" w:rsidTr="00BF18CF">
        <w:tc>
          <w:tcPr>
            <w:tcW w:w="1880" w:type="dxa"/>
          </w:tcPr>
          <w:p w14:paraId="60C25F6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0" w:type="dxa"/>
          </w:tcPr>
          <w:p w14:paraId="1BD3A45A" w14:textId="77777777" w:rsidR="00BF18CF" w:rsidRDefault="00BF18CF">
            <w:pPr>
              <w:pBdr>
                <w:top w:val="nil"/>
                <w:left w:val="nil"/>
                <w:bottom w:val="nil"/>
                <w:right w:val="nil"/>
                <w:between w:val="nil"/>
              </w:pBdr>
              <w:spacing w:before="36" w:after="36"/>
              <w:rPr>
                <w:color w:val="000000"/>
              </w:rPr>
            </w:pPr>
          </w:p>
        </w:tc>
      </w:tr>
    </w:tbl>
    <w:p w14:paraId="4FA2935E" w14:textId="77777777" w:rsidR="00BF18CF" w:rsidRDefault="00E51347">
      <w:pPr>
        <w:pStyle w:val="Heading3"/>
      </w:pPr>
      <w:bookmarkStart w:id="299" w:name="bookmark=id.4hr1b5p" w:colFirst="0" w:colLast="0"/>
      <w:bookmarkStart w:id="300" w:name="_Toc144360893"/>
      <w:bookmarkEnd w:id="299"/>
      <w:r>
        <w:t>P20 a eu pour finalité spécifique (a été la finalité de)</w:t>
      </w:r>
      <w:bookmarkEnd w:id="300"/>
    </w:p>
    <w:tbl>
      <w:tblPr>
        <w:tblStyle w:val="a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6"/>
        <w:gridCol w:w="8834"/>
      </w:tblGrid>
      <w:tr w:rsidR="00BF18CF" w14:paraId="24694449" w14:textId="77777777" w:rsidTr="00BF18CF">
        <w:tc>
          <w:tcPr>
            <w:tcW w:w="1856" w:type="dxa"/>
          </w:tcPr>
          <w:p w14:paraId="2AFC51AB"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4" w:type="dxa"/>
          </w:tcPr>
          <w:p w14:paraId="2CD5E2C4" w14:textId="77777777" w:rsidR="00BF18CF" w:rsidRDefault="00E51347">
            <w:r>
              <w:rPr>
                <w:rFonts w:ascii="Consolas" w:eastAsia="Consolas" w:hAnsi="Consolas" w:cs="Consolas"/>
                <w:sz w:val="22"/>
                <w:szCs w:val="22"/>
                <w:shd w:val="clear" w:color="auto" w:fill="EAEEF3"/>
              </w:rPr>
              <w:t>E7_Activité</w:t>
            </w:r>
          </w:p>
        </w:tc>
      </w:tr>
      <w:tr w:rsidR="00BF18CF" w14:paraId="4173BADF" w14:textId="77777777" w:rsidTr="00BF18CF">
        <w:tc>
          <w:tcPr>
            <w:tcW w:w="1856" w:type="dxa"/>
          </w:tcPr>
          <w:p w14:paraId="756D582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4" w:type="dxa"/>
          </w:tcPr>
          <w:p w14:paraId="7EDB630C" w14:textId="77777777" w:rsidR="00BF18CF" w:rsidRDefault="00E51347">
            <w:r>
              <w:rPr>
                <w:rFonts w:ascii="Consolas" w:eastAsia="Consolas" w:hAnsi="Consolas" w:cs="Consolas"/>
                <w:sz w:val="22"/>
                <w:szCs w:val="22"/>
                <w:shd w:val="clear" w:color="auto" w:fill="EAEEF3"/>
              </w:rPr>
              <w:t>E5_Évènement</w:t>
            </w:r>
          </w:p>
        </w:tc>
      </w:tr>
      <w:tr w:rsidR="00BF18CF" w14:paraId="6D9A9FC8" w14:textId="77777777" w:rsidTr="00BF18CF">
        <w:tc>
          <w:tcPr>
            <w:tcW w:w="1856" w:type="dxa"/>
          </w:tcPr>
          <w:p w14:paraId="0FD4CC1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4" w:type="dxa"/>
          </w:tcPr>
          <w:p w14:paraId="71A54D7D" w14:textId="77777777" w:rsidR="00BF18CF" w:rsidRDefault="00BF18CF">
            <w:pPr>
              <w:pBdr>
                <w:top w:val="nil"/>
                <w:left w:val="nil"/>
                <w:bottom w:val="nil"/>
                <w:right w:val="nil"/>
                <w:between w:val="nil"/>
              </w:pBdr>
              <w:spacing w:before="36" w:after="36"/>
              <w:rPr>
                <w:color w:val="000000"/>
              </w:rPr>
            </w:pPr>
          </w:p>
        </w:tc>
      </w:tr>
      <w:tr w:rsidR="00BF18CF" w14:paraId="6A1E9C0E" w14:textId="77777777" w:rsidTr="00BF18CF">
        <w:tc>
          <w:tcPr>
            <w:tcW w:w="1856" w:type="dxa"/>
          </w:tcPr>
          <w:p w14:paraId="5FF0A0BC"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4" w:type="dxa"/>
          </w:tcPr>
          <w:p w14:paraId="2D53277C" w14:textId="77777777" w:rsidR="00BF18CF" w:rsidRDefault="00BF18CF">
            <w:pPr>
              <w:pBdr>
                <w:top w:val="nil"/>
                <w:left w:val="nil"/>
                <w:bottom w:val="nil"/>
                <w:right w:val="nil"/>
                <w:between w:val="nil"/>
              </w:pBdr>
              <w:spacing w:before="36" w:after="36"/>
              <w:rPr>
                <w:color w:val="000000"/>
              </w:rPr>
            </w:pPr>
          </w:p>
        </w:tc>
      </w:tr>
      <w:tr w:rsidR="00BF18CF" w14:paraId="2ABDAAEA" w14:textId="77777777" w:rsidTr="00BF18CF">
        <w:tc>
          <w:tcPr>
            <w:tcW w:w="1856" w:type="dxa"/>
          </w:tcPr>
          <w:p w14:paraId="3355C76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4" w:type="dxa"/>
          </w:tcPr>
          <w:p w14:paraId="7CCEF5EE" w14:textId="77777777" w:rsidR="00BF18CF" w:rsidRDefault="00E51347">
            <w:proofErr w:type="gramStart"/>
            <w:r>
              <w:t>plusieurs</w:t>
            </w:r>
            <w:proofErr w:type="gramEnd"/>
            <w:r>
              <w:t xml:space="preserve"> à plusieurs (0,n:0,n)</w:t>
            </w:r>
          </w:p>
        </w:tc>
      </w:tr>
      <w:tr w:rsidR="00BF18CF" w14:paraId="4332F3B1" w14:textId="77777777" w:rsidTr="00BF18CF">
        <w:tc>
          <w:tcPr>
            <w:tcW w:w="1856" w:type="dxa"/>
          </w:tcPr>
          <w:p w14:paraId="4952ABC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4" w:type="dxa"/>
          </w:tcPr>
          <w:p w14:paraId="03959452" w14:textId="77777777" w:rsidR="00BF18CF" w:rsidRDefault="00E51347">
            <w:r>
              <w:t xml:space="preserve">Cette propriété identifie la relation entre une activité préparatoire (instance de </w:t>
            </w:r>
            <w:r>
              <w:rPr>
                <w:rFonts w:ascii="Consolas" w:eastAsia="Consolas" w:hAnsi="Consolas" w:cs="Consolas"/>
                <w:sz w:val="22"/>
                <w:szCs w:val="22"/>
                <w:shd w:val="clear" w:color="auto" w:fill="EAEEF3"/>
              </w:rPr>
              <w:t>E7_Activité</w:t>
            </w:r>
            <w:r>
              <w:t xml:space="preserve">) et l’instance de </w:t>
            </w:r>
            <w:r>
              <w:rPr>
                <w:rFonts w:ascii="Consolas" w:eastAsia="Consolas" w:hAnsi="Consolas" w:cs="Consolas"/>
                <w:sz w:val="22"/>
                <w:szCs w:val="22"/>
                <w:shd w:val="clear" w:color="auto" w:fill="EAEEF3"/>
              </w:rPr>
              <w:t>E5_Évènement</w:t>
            </w:r>
            <w:r>
              <w:t xml:space="preserve"> à laquelle elle se rattache.</w:t>
            </w:r>
          </w:p>
          <w:p w14:paraId="1C67ADC9" w14:textId="77777777" w:rsidR="00BF18CF" w:rsidRDefault="00E51347">
            <w:r>
              <w:t>Cela comprend les activités, les directives et autres actions organisationnelles menées en préparation d'autres activités ou évènements.</w:t>
            </w:r>
          </w:p>
          <w:p w14:paraId="5082C100" w14:textId="77777777" w:rsidR="00BF18CF" w:rsidRDefault="00E51347">
            <w:r>
              <w:rPr>
                <w:rFonts w:ascii="Consolas" w:eastAsia="Consolas" w:hAnsi="Consolas" w:cs="Consolas"/>
                <w:sz w:val="22"/>
                <w:szCs w:val="22"/>
                <w:shd w:val="clear" w:color="auto" w:fill="EAEEF3"/>
              </w:rPr>
              <w:t>P20_a_eu_pour_finalité_spécifique (a_été_la_finalité_de)</w:t>
            </w:r>
            <w:r>
              <w:t xml:space="preserve"> implique que l’objectif d’une activité a été atteint. Si cet objectif n’a pas été atteint, comme lorsque la pose d'un piège n'a pas permis d’attraper quoi que ce soit, il est possible de documenter l'intention qui n’a pas été réalisée en utilisant </w:t>
            </w:r>
            <w:r>
              <w:rPr>
                <w:rFonts w:ascii="Consolas" w:eastAsia="Consolas" w:hAnsi="Consolas" w:cs="Consolas"/>
                <w:sz w:val="22"/>
                <w:szCs w:val="22"/>
                <w:shd w:val="clear" w:color="auto" w:fill="EAEEF3"/>
              </w:rPr>
              <w:t>P21_a_eu_pour_finalité_générale (a_été_la_finalité_de)</w:t>
            </w:r>
            <w:r>
              <w:t xml:space="preserve"> : </w:t>
            </w:r>
            <w:r>
              <w:rPr>
                <w:rFonts w:ascii="Consolas" w:eastAsia="Consolas" w:hAnsi="Consolas" w:cs="Consolas"/>
                <w:sz w:val="22"/>
                <w:szCs w:val="22"/>
                <w:shd w:val="clear" w:color="auto" w:fill="EAEEF3"/>
              </w:rPr>
              <w:t>E55_Type</w:t>
            </w:r>
            <w:r>
              <w:t xml:space="preserve"> et/ou </w:t>
            </w:r>
            <w:r>
              <w:rPr>
                <w:rFonts w:ascii="Consolas" w:eastAsia="Consolas" w:hAnsi="Consolas" w:cs="Consolas"/>
                <w:sz w:val="22"/>
                <w:szCs w:val="22"/>
                <w:shd w:val="clear" w:color="auto" w:fill="EAEEF3"/>
              </w:rPr>
              <w:t>P33_a_mobilisé_comme_technique_spécifique (a_été_la_technique_spécifique_mise_en_œuvre_dans)</w:t>
            </w:r>
            <w:r>
              <w:t xml:space="preserve"> : </w:t>
            </w:r>
            <w:r>
              <w:rPr>
                <w:rFonts w:ascii="Consolas" w:eastAsia="Consolas" w:hAnsi="Consolas" w:cs="Consolas"/>
                <w:sz w:val="22"/>
                <w:szCs w:val="22"/>
                <w:shd w:val="clear" w:color="auto" w:fill="EAEEF3"/>
              </w:rPr>
              <w:t>E29_Conceptualisation_ou_procédure</w:t>
            </w:r>
            <w:r>
              <w:t>.</w:t>
            </w:r>
          </w:p>
        </w:tc>
      </w:tr>
      <w:tr w:rsidR="00BF18CF" w14:paraId="73B3DD48" w14:textId="77777777" w:rsidTr="00BF18CF">
        <w:tc>
          <w:tcPr>
            <w:tcW w:w="1856" w:type="dxa"/>
          </w:tcPr>
          <w:p w14:paraId="14BBAD36"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34" w:type="dxa"/>
          </w:tcPr>
          <w:p w14:paraId="7EF0B745" w14:textId="77777777" w:rsidR="00BF18CF" w:rsidRDefault="00E51347">
            <w:pPr>
              <w:numPr>
                <w:ilvl w:val="0"/>
                <w:numId w:val="19"/>
              </w:numPr>
            </w:pPr>
            <w:r>
              <w:t>Le broyage des pigments par Van Eyck en 1432 (</w:t>
            </w:r>
            <w:r>
              <w:rPr>
                <w:rFonts w:ascii="Consolas" w:eastAsia="Consolas" w:hAnsi="Consolas" w:cs="Consolas"/>
                <w:sz w:val="22"/>
                <w:szCs w:val="22"/>
                <w:shd w:val="clear" w:color="auto" w:fill="EAEEF3"/>
              </w:rPr>
              <w:t>E7_Activité</w:t>
            </w:r>
            <w:r>
              <w:t>) a eu pour finalité spécifique (</w:t>
            </w:r>
            <w:r>
              <w:rPr>
                <w:rFonts w:ascii="Consolas" w:eastAsia="Consolas" w:hAnsi="Consolas" w:cs="Consolas"/>
                <w:sz w:val="22"/>
                <w:szCs w:val="22"/>
                <w:shd w:val="clear" w:color="auto" w:fill="EAEEF3"/>
              </w:rPr>
              <w:t>P20_a_eu_pour_finalité_spécifique</w:t>
            </w:r>
            <w:r>
              <w:t>) la peinture du retable de Gand (Het Lam Gods</w:t>
            </w:r>
            <w:r>
              <w:rPr>
                <w:b/>
              </w:rPr>
              <w:t>)</w:t>
            </w:r>
            <w:r>
              <w:t xml:space="preserve"> (</w:t>
            </w:r>
            <w:r>
              <w:rPr>
                <w:rFonts w:ascii="Consolas" w:eastAsia="Consolas" w:hAnsi="Consolas" w:cs="Consolas"/>
                <w:sz w:val="22"/>
                <w:szCs w:val="22"/>
                <w:shd w:val="clear" w:color="auto" w:fill="EAEEF3"/>
              </w:rPr>
              <w:t>E12_Production</w:t>
            </w:r>
            <w:r>
              <w:t>) (Borchert, 2008)</w:t>
            </w:r>
          </w:p>
        </w:tc>
      </w:tr>
      <w:tr w:rsidR="00BF18CF" w14:paraId="161771B9" w14:textId="77777777" w:rsidTr="00BF18CF">
        <w:tc>
          <w:tcPr>
            <w:tcW w:w="1856" w:type="dxa"/>
          </w:tcPr>
          <w:p w14:paraId="563CFFE0"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4" w:type="dxa"/>
          </w:tcPr>
          <w:p w14:paraId="7D3123CA" w14:textId="77777777" w:rsidR="00BF18CF" w:rsidRDefault="00E51347">
            <w:r>
              <w:t>P20(</w:t>
            </w:r>
            <w:proofErr w:type="gramStart"/>
            <w:r>
              <w:t>x,y</w:t>
            </w:r>
            <w:proofErr w:type="gramEnd"/>
            <w:r>
              <w:t>) ⇒ E7(x)</w:t>
            </w:r>
          </w:p>
          <w:p w14:paraId="61370068" w14:textId="77777777" w:rsidR="00BF18CF" w:rsidRDefault="00E51347">
            <w:r>
              <w:t>P20(</w:t>
            </w:r>
            <w:proofErr w:type="gramStart"/>
            <w:r>
              <w:t>x,y</w:t>
            </w:r>
            <w:proofErr w:type="gramEnd"/>
            <w:r>
              <w:t>) ⇒ E5(y)</w:t>
            </w:r>
          </w:p>
        </w:tc>
      </w:tr>
      <w:tr w:rsidR="00BF18CF" w14:paraId="643C6762" w14:textId="77777777" w:rsidTr="00BF18CF">
        <w:tc>
          <w:tcPr>
            <w:tcW w:w="1856" w:type="dxa"/>
          </w:tcPr>
          <w:p w14:paraId="1C7274D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4" w:type="dxa"/>
          </w:tcPr>
          <w:p w14:paraId="6DF828A6" w14:textId="77777777" w:rsidR="00BF18CF" w:rsidRDefault="00BF18CF">
            <w:pPr>
              <w:pBdr>
                <w:top w:val="nil"/>
                <w:left w:val="nil"/>
                <w:bottom w:val="nil"/>
                <w:right w:val="nil"/>
                <w:between w:val="nil"/>
              </w:pBdr>
              <w:spacing w:before="36" w:after="36"/>
              <w:rPr>
                <w:color w:val="000000"/>
              </w:rPr>
            </w:pPr>
          </w:p>
        </w:tc>
      </w:tr>
      <w:tr w:rsidR="00BF18CF" w14:paraId="06AE2340" w14:textId="77777777" w:rsidTr="00BF18CF">
        <w:tc>
          <w:tcPr>
            <w:tcW w:w="1856" w:type="dxa"/>
          </w:tcPr>
          <w:p w14:paraId="7C56F6D6" w14:textId="4339E24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4" w:type="dxa"/>
          </w:tcPr>
          <w:p w14:paraId="2F486096" w14:textId="77777777" w:rsidR="00BF18CF" w:rsidRDefault="00E51347">
            <w:r>
              <w:t>Une erreur s’est glissée dans la version anglophone, au premier paragraphe; on devrait lire « [...] an instance of E7 Activity and the instance of E5 Event [...] ».</w:t>
            </w:r>
          </w:p>
        </w:tc>
      </w:tr>
      <w:tr w:rsidR="00BF18CF" w14:paraId="3E8E3B08" w14:textId="77777777" w:rsidTr="00BF18CF">
        <w:tc>
          <w:tcPr>
            <w:tcW w:w="1856" w:type="dxa"/>
          </w:tcPr>
          <w:p w14:paraId="618B100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4" w:type="dxa"/>
          </w:tcPr>
          <w:p w14:paraId="2EF3158B" w14:textId="77777777" w:rsidR="00BF18CF" w:rsidRDefault="00BF18CF">
            <w:pPr>
              <w:pBdr>
                <w:top w:val="nil"/>
                <w:left w:val="nil"/>
                <w:bottom w:val="nil"/>
                <w:right w:val="nil"/>
                <w:between w:val="nil"/>
              </w:pBdr>
              <w:spacing w:before="36" w:after="36"/>
              <w:rPr>
                <w:color w:val="000000"/>
              </w:rPr>
            </w:pPr>
          </w:p>
        </w:tc>
      </w:tr>
    </w:tbl>
    <w:p w14:paraId="717B6AF5" w14:textId="77777777" w:rsidR="00BF18CF" w:rsidRDefault="00E51347">
      <w:pPr>
        <w:pStyle w:val="Heading3"/>
      </w:pPr>
      <w:bookmarkStart w:id="301" w:name="bookmark=id.2wwbldi" w:colFirst="0" w:colLast="0"/>
      <w:bookmarkStart w:id="302" w:name="_Toc144360894"/>
      <w:bookmarkEnd w:id="301"/>
      <w:r>
        <w:t>P21 a eu pour finalité générale (a été la finalité de)</w:t>
      </w:r>
      <w:bookmarkEnd w:id="302"/>
    </w:p>
    <w:tbl>
      <w:tblPr>
        <w:tblStyle w:val="aff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0"/>
        <w:gridCol w:w="8810"/>
      </w:tblGrid>
      <w:tr w:rsidR="00BF18CF" w14:paraId="15F070A8" w14:textId="77777777" w:rsidTr="00BF18CF">
        <w:tc>
          <w:tcPr>
            <w:tcW w:w="1880" w:type="dxa"/>
          </w:tcPr>
          <w:p w14:paraId="26C33D0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0" w:type="dxa"/>
          </w:tcPr>
          <w:p w14:paraId="2B09117B" w14:textId="77777777" w:rsidR="00BF18CF" w:rsidRDefault="00E51347">
            <w:r>
              <w:rPr>
                <w:rFonts w:ascii="Consolas" w:eastAsia="Consolas" w:hAnsi="Consolas" w:cs="Consolas"/>
                <w:sz w:val="22"/>
                <w:szCs w:val="22"/>
                <w:shd w:val="clear" w:color="auto" w:fill="EAEEF3"/>
              </w:rPr>
              <w:t>E7_Activité</w:t>
            </w:r>
          </w:p>
        </w:tc>
      </w:tr>
      <w:tr w:rsidR="00BF18CF" w14:paraId="6EC1DA09" w14:textId="77777777" w:rsidTr="00BF18CF">
        <w:tc>
          <w:tcPr>
            <w:tcW w:w="1880" w:type="dxa"/>
          </w:tcPr>
          <w:p w14:paraId="441E8FC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0" w:type="dxa"/>
          </w:tcPr>
          <w:p w14:paraId="637DDE31" w14:textId="77777777" w:rsidR="00BF18CF" w:rsidRDefault="00E51347">
            <w:r>
              <w:rPr>
                <w:rFonts w:ascii="Consolas" w:eastAsia="Consolas" w:hAnsi="Consolas" w:cs="Consolas"/>
                <w:sz w:val="22"/>
                <w:szCs w:val="22"/>
                <w:shd w:val="clear" w:color="auto" w:fill="EAEEF3"/>
              </w:rPr>
              <w:t>E55_Type</w:t>
            </w:r>
          </w:p>
        </w:tc>
      </w:tr>
      <w:tr w:rsidR="00BF18CF" w14:paraId="462A5808" w14:textId="77777777" w:rsidTr="00BF18CF">
        <w:tc>
          <w:tcPr>
            <w:tcW w:w="1880" w:type="dxa"/>
          </w:tcPr>
          <w:p w14:paraId="1DD67C1D"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0" w:type="dxa"/>
          </w:tcPr>
          <w:p w14:paraId="48642D4A" w14:textId="77777777" w:rsidR="00BF18CF" w:rsidRDefault="00BF18CF">
            <w:pPr>
              <w:pBdr>
                <w:top w:val="nil"/>
                <w:left w:val="nil"/>
                <w:bottom w:val="nil"/>
                <w:right w:val="nil"/>
                <w:between w:val="nil"/>
              </w:pBdr>
              <w:spacing w:before="36" w:after="36"/>
              <w:rPr>
                <w:color w:val="000000"/>
              </w:rPr>
            </w:pPr>
          </w:p>
        </w:tc>
      </w:tr>
      <w:tr w:rsidR="00BF18CF" w14:paraId="24040AF2" w14:textId="77777777" w:rsidTr="00BF18CF">
        <w:tc>
          <w:tcPr>
            <w:tcW w:w="1880" w:type="dxa"/>
          </w:tcPr>
          <w:p w14:paraId="6180172D"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0" w:type="dxa"/>
          </w:tcPr>
          <w:p w14:paraId="0A06053F" w14:textId="77777777" w:rsidR="00BF18CF" w:rsidRDefault="00BF18CF">
            <w:pPr>
              <w:pBdr>
                <w:top w:val="nil"/>
                <w:left w:val="nil"/>
                <w:bottom w:val="nil"/>
                <w:right w:val="nil"/>
                <w:between w:val="nil"/>
              </w:pBdr>
              <w:spacing w:before="36" w:after="36"/>
              <w:rPr>
                <w:color w:val="000000"/>
              </w:rPr>
            </w:pPr>
          </w:p>
        </w:tc>
      </w:tr>
      <w:tr w:rsidR="00BF18CF" w14:paraId="6F72E8D0" w14:textId="77777777" w:rsidTr="00BF18CF">
        <w:tc>
          <w:tcPr>
            <w:tcW w:w="1880" w:type="dxa"/>
          </w:tcPr>
          <w:p w14:paraId="4A249D3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0" w:type="dxa"/>
          </w:tcPr>
          <w:p w14:paraId="79AFFC67" w14:textId="77777777" w:rsidR="00BF18CF" w:rsidRDefault="00E51347">
            <w:proofErr w:type="gramStart"/>
            <w:r>
              <w:t>plusieurs</w:t>
            </w:r>
            <w:proofErr w:type="gramEnd"/>
            <w:r>
              <w:t xml:space="preserve"> à plusieurs (0,n:0,n)</w:t>
            </w:r>
          </w:p>
        </w:tc>
      </w:tr>
      <w:tr w:rsidR="00BF18CF" w14:paraId="7A63F4ED" w14:textId="77777777" w:rsidTr="00BF18CF">
        <w:tc>
          <w:tcPr>
            <w:tcW w:w="1880" w:type="dxa"/>
          </w:tcPr>
          <w:p w14:paraId="265A54E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0" w:type="dxa"/>
          </w:tcPr>
          <w:p w14:paraId="7277AD3B" w14:textId="77777777" w:rsidR="00BF18CF" w:rsidRDefault="00E51347">
            <w:r>
              <w:t xml:space="preserve">Cette propriété décrit la relation intentionnelle [n.d.t. qu’établit un actant] entre une instance de </w:t>
            </w:r>
            <w:r>
              <w:rPr>
                <w:rFonts w:ascii="Consolas" w:eastAsia="Consolas" w:hAnsi="Consolas" w:cs="Consolas"/>
                <w:sz w:val="22"/>
                <w:szCs w:val="22"/>
                <w:shd w:val="clear" w:color="auto" w:fill="EAEEF3"/>
              </w:rPr>
              <w:t>E7_Activité</w:t>
            </w:r>
            <w:r>
              <w:t xml:space="preserve"> et sa finalité ou son but généraux, décrits par une instance de </w:t>
            </w:r>
            <w:r>
              <w:rPr>
                <w:rFonts w:ascii="Consolas" w:eastAsia="Consolas" w:hAnsi="Consolas" w:cs="Consolas"/>
                <w:sz w:val="22"/>
                <w:szCs w:val="22"/>
                <w:shd w:val="clear" w:color="auto" w:fill="EAEEF3"/>
              </w:rPr>
              <w:t>E55_Type</w:t>
            </w:r>
            <w:r>
              <w:t>.</w:t>
            </w:r>
          </w:p>
          <w:p w14:paraId="743D9AAE" w14:textId="77777777" w:rsidR="00BF18CF" w:rsidRDefault="00E51347">
            <w:r>
              <w:t xml:space="preserve">Ceci peut inclure des activités qui ont pour objectif la préparation d’une activité ou d’un évènement quelconque. </w:t>
            </w:r>
            <w:r>
              <w:rPr>
                <w:rFonts w:ascii="Consolas" w:eastAsia="Consolas" w:hAnsi="Consolas" w:cs="Consolas"/>
                <w:sz w:val="22"/>
                <w:szCs w:val="22"/>
                <w:shd w:val="clear" w:color="auto" w:fill="EAEEF3"/>
              </w:rPr>
              <w:t>P21_a_eu_pour_finalité_générale (a_été_la_finalité_de)</w:t>
            </w:r>
            <w:r>
              <w:t xml:space="preserve"> se distingue de </w:t>
            </w:r>
            <w:r>
              <w:rPr>
                <w:rFonts w:ascii="Consolas" w:eastAsia="Consolas" w:hAnsi="Consolas" w:cs="Consolas"/>
                <w:sz w:val="22"/>
                <w:szCs w:val="22"/>
                <w:shd w:val="clear" w:color="auto" w:fill="EAEEF3"/>
              </w:rPr>
              <w:t>P20_a_eu_pour_finalité_spécifique (a_été_la_finalité_de)</w:t>
            </w:r>
            <w:r>
              <w:t xml:space="preserve"> du fait que sa finalité n’est pas par défaut l’occurrence d’un évènement.</w:t>
            </w:r>
          </w:p>
        </w:tc>
      </w:tr>
      <w:tr w:rsidR="00BF18CF" w14:paraId="3541A7E5" w14:textId="77777777" w:rsidTr="00BF18CF">
        <w:tc>
          <w:tcPr>
            <w:tcW w:w="1880" w:type="dxa"/>
          </w:tcPr>
          <w:p w14:paraId="67B821B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0" w:type="dxa"/>
          </w:tcPr>
          <w:p w14:paraId="1DF1EF1A" w14:textId="77777777" w:rsidR="00BF18CF" w:rsidRDefault="00E51347">
            <w:pPr>
              <w:numPr>
                <w:ilvl w:val="0"/>
                <w:numId w:val="19"/>
              </w:numPr>
            </w:pPr>
            <w:r>
              <w:t>Le broyage de pigments par Van Eyck (</w:t>
            </w:r>
            <w:r>
              <w:rPr>
                <w:rFonts w:ascii="Consolas" w:eastAsia="Consolas" w:hAnsi="Consolas" w:cs="Consolas"/>
                <w:sz w:val="22"/>
                <w:szCs w:val="22"/>
                <w:shd w:val="clear" w:color="auto" w:fill="EAEEF3"/>
              </w:rPr>
              <w:t>E7_Activité</w:t>
            </w:r>
            <w:r>
              <w:t>) a eu pour finalité générale (</w:t>
            </w:r>
            <w:r>
              <w:rPr>
                <w:rFonts w:ascii="Consolas" w:eastAsia="Consolas" w:hAnsi="Consolas" w:cs="Consolas"/>
                <w:sz w:val="22"/>
                <w:szCs w:val="22"/>
                <w:shd w:val="clear" w:color="auto" w:fill="EAEEF3"/>
              </w:rPr>
              <w:t>P21_a_eu_pour_finalité_générale</w:t>
            </w:r>
            <w:r>
              <w:t>) le fait de peindre (</w:t>
            </w:r>
            <w:r>
              <w:rPr>
                <w:rFonts w:ascii="Consolas" w:eastAsia="Consolas" w:hAnsi="Consolas" w:cs="Consolas"/>
                <w:sz w:val="22"/>
                <w:szCs w:val="22"/>
                <w:shd w:val="clear" w:color="auto" w:fill="EAEEF3"/>
              </w:rPr>
              <w:t>E55_Type</w:t>
            </w:r>
            <w:r>
              <w:t>) (Brochert, 2008)</w:t>
            </w:r>
          </w:p>
          <w:p w14:paraId="656E83D2" w14:textId="77777777" w:rsidR="00BF18CF" w:rsidRDefault="00E51347">
            <w:pPr>
              <w:numPr>
                <w:ilvl w:val="0"/>
                <w:numId w:val="19"/>
              </w:numPr>
            </w:pPr>
            <w:r>
              <w:t>La mise en place de la trappe « 2742 » le 17 mai 1874 (</w:t>
            </w:r>
            <w:r>
              <w:rPr>
                <w:rFonts w:ascii="Consolas" w:eastAsia="Consolas" w:hAnsi="Consolas" w:cs="Consolas"/>
                <w:sz w:val="22"/>
                <w:szCs w:val="22"/>
                <w:shd w:val="clear" w:color="auto" w:fill="EAEEF3"/>
              </w:rPr>
              <w:t>E7_Activité</w:t>
            </w:r>
            <w:r>
              <w:t>) a eu pour finalité générale (</w:t>
            </w:r>
            <w:r>
              <w:rPr>
                <w:rFonts w:ascii="Consolas" w:eastAsia="Consolas" w:hAnsi="Consolas" w:cs="Consolas"/>
                <w:sz w:val="22"/>
                <w:szCs w:val="22"/>
                <w:shd w:val="clear" w:color="auto" w:fill="EAEEF3"/>
              </w:rPr>
              <w:t>P21_a_eu_pour_finalité_générale</w:t>
            </w:r>
            <w:r>
              <w:t>) d’attraper un orignal (</w:t>
            </w:r>
            <w:r>
              <w:rPr>
                <w:rFonts w:ascii="Consolas" w:eastAsia="Consolas" w:hAnsi="Consolas" w:cs="Consolas"/>
                <w:sz w:val="22"/>
                <w:szCs w:val="22"/>
                <w:shd w:val="clear" w:color="auto" w:fill="EAEEF3"/>
              </w:rPr>
              <w:t>E55_Type</w:t>
            </w:r>
            <w:r>
              <w:t>) (fictif)</w:t>
            </w:r>
          </w:p>
          <w:p w14:paraId="5BC40526" w14:textId="77777777" w:rsidR="00BF18CF" w:rsidRDefault="00E51347">
            <w:pPr>
              <w:numPr>
                <w:ilvl w:val="0"/>
                <w:numId w:val="19"/>
              </w:numPr>
            </w:pPr>
            <w:r>
              <w:t>La construction du mur de Berlin, commencée le 13 août 1961 (</w:t>
            </w:r>
            <w:r>
              <w:rPr>
                <w:rFonts w:ascii="Consolas" w:eastAsia="Consolas" w:hAnsi="Consolas" w:cs="Consolas"/>
                <w:sz w:val="22"/>
                <w:szCs w:val="22"/>
                <w:shd w:val="clear" w:color="auto" w:fill="EAEEF3"/>
              </w:rPr>
              <w:t>E12_Production</w:t>
            </w:r>
            <w:r>
              <w:t>), a eu pour finalité générale (</w:t>
            </w:r>
            <w:r>
              <w:rPr>
                <w:rFonts w:ascii="Consolas" w:eastAsia="Consolas" w:hAnsi="Consolas" w:cs="Consolas"/>
                <w:sz w:val="22"/>
                <w:szCs w:val="22"/>
                <w:shd w:val="clear" w:color="auto" w:fill="EAEEF3"/>
              </w:rPr>
              <w:t>P21_a_eu_pour_finalité_générale</w:t>
            </w:r>
            <w:r>
              <w:t>) d’empêcher l’émigration (</w:t>
            </w:r>
            <w:r>
              <w:rPr>
                <w:rFonts w:ascii="Consolas" w:eastAsia="Consolas" w:hAnsi="Consolas" w:cs="Consolas"/>
                <w:sz w:val="22"/>
                <w:szCs w:val="22"/>
                <w:shd w:val="clear" w:color="auto" w:fill="EAEEF3"/>
              </w:rPr>
              <w:t>E55_Type</w:t>
            </w:r>
            <w:r>
              <w:t>) (History.com Editors, 2020)</w:t>
            </w:r>
          </w:p>
          <w:p w14:paraId="0A06784C" w14:textId="77777777" w:rsidR="00BF18CF" w:rsidRDefault="00E51347">
            <w:pPr>
              <w:numPr>
                <w:ilvl w:val="0"/>
                <w:numId w:val="19"/>
              </w:numPr>
            </w:pPr>
            <w:r>
              <w:t>Le renforcement de la barrière frontalière entre les États-Unis et le Mexique à l’automne 2019 (</w:t>
            </w:r>
            <w:r>
              <w:rPr>
                <w:rFonts w:ascii="Consolas" w:eastAsia="Consolas" w:hAnsi="Consolas" w:cs="Consolas"/>
                <w:sz w:val="22"/>
                <w:szCs w:val="22"/>
                <w:shd w:val="clear" w:color="auto" w:fill="EAEEF3"/>
              </w:rPr>
              <w:t>E11_Modification</w:t>
            </w:r>
            <w:r>
              <w:t>) a eu pour finalité générale (</w:t>
            </w:r>
            <w:r>
              <w:rPr>
                <w:rFonts w:ascii="Consolas" w:eastAsia="Consolas" w:hAnsi="Consolas" w:cs="Consolas"/>
                <w:sz w:val="22"/>
                <w:szCs w:val="22"/>
                <w:shd w:val="clear" w:color="auto" w:fill="EAEEF3"/>
              </w:rPr>
              <w:t>P21_a_eu_pour_finalité_générale</w:t>
            </w:r>
            <w:r>
              <w:t>) de prévenir l’immigration (</w:t>
            </w:r>
            <w:r>
              <w:rPr>
                <w:rFonts w:ascii="Consolas" w:eastAsia="Consolas" w:hAnsi="Consolas" w:cs="Consolas"/>
                <w:sz w:val="22"/>
                <w:szCs w:val="22"/>
                <w:shd w:val="clear" w:color="auto" w:fill="EAEEF3"/>
              </w:rPr>
              <w:t>E55_Type</w:t>
            </w:r>
            <w:r>
              <w:t>)</w:t>
            </w:r>
          </w:p>
        </w:tc>
      </w:tr>
      <w:tr w:rsidR="00BF18CF" w14:paraId="09D5563D" w14:textId="77777777" w:rsidTr="00BF18CF">
        <w:tc>
          <w:tcPr>
            <w:tcW w:w="1880" w:type="dxa"/>
          </w:tcPr>
          <w:p w14:paraId="32D2BD15"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10" w:type="dxa"/>
          </w:tcPr>
          <w:p w14:paraId="59AC8DA4" w14:textId="77777777" w:rsidR="00BF18CF" w:rsidRDefault="00E51347">
            <w:r>
              <w:t>P21(</w:t>
            </w:r>
            <w:proofErr w:type="gramStart"/>
            <w:r>
              <w:t>x,y</w:t>
            </w:r>
            <w:proofErr w:type="gramEnd"/>
            <w:r>
              <w:t>) ⇒ E7(x)</w:t>
            </w:r>
          </w:p>
          <w:p w14:paraId="4BC2C390" w14:textId="77777777" w:rsidR="00BF18CF" w:rsidRDefault="00E51347">
            <w:r>
              <w:t>P21(</w:t>
            </w:r>
            <w:proofErr w:type="gramStart"/>
            <w:r>
              <w:t>x,y</w:t>
            </w:r>
            <w:proofErr w:type="gramEnd"/>
            <w:r>
              <w:t>) ⇒ E55(y)</w:t>
            </w:r>
          </w:p>
        </w:tc>
      </w:tr>
      <w:tr w:rsidR="00BF18CF" w14:paraId="687A7B97" w14:textId="77777777" w:rsidTr="00BF18CF">
        <w:tc>
          <w:tcPr>
            <w:tcW w:w="1880" w:type="dxa"/>
          </w:tcPr>
          <w:p w14:paraId="585A1D5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0" w:type="dxa"/>
          </w:tcPr>
          <w:p w14:paraId="1424F292" w14:textId="77777777" w:rsidR="00BF18CF" w:rsidRDefault="00BF18CF">
            <w:pPr>
              <w:pBdr>
                <w:top w:val="nil"/>
                <w:left w:val="nil"/>
                <w:bottom w:val="nil"/>
                <w:right w:val="nil"/>
                <w:between w:val="nil"/>
              </w:pBdr>
              <w:spacing w:before="36" w:after="36"/>
              <w:rPr>
                <w:color w:val="000000"/>
              </w:rPr>
            </w:pPr>
          </w:p>
        </w:tc>
      </w:tr>
      <w:tr w:rsidR="00BF18CF" w14:paraId="09949C46" w14:textId="77777777" w:rsidTr="00BF18CF">
        <w:tc>
          <w:tcPr>
            <w:tcW w:w="1880" w:type="dxa"/>
          </w:tcPr>
          <w:p w14:paraId="3DE444AB" w14:textId="3792BD5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0" w:type="dxa"/>
          </w:tcPr>
          <w:p w14:paraId="792B34C7" w14:textId="77777777" w:rsidR="00BF18CF" w:rsidRDefault="00BF18CF">
            <w:pPr>
              <w:pBdr>
                <w:top w:val="nil"/>
                <w:left w:val="nil"/>
                <w:bottom w:val="nil"/>
                <w:right w:val="nil"/>
                <w:between w:val="nil"/>
              </w:pBdr>
              <w:spacing w:before="36" w:after="36"/>
              <w:rPr>
                <w:color w:val="000000"/>
              </w:rPr>
            </w:pPr>
          </w:p>
        </w:tc>
      </w:tr>
      <w:tr w:rsidR="00BF18CF" w14:paraId="7F45C700" w14:textId="77777777" w:rsidTr="00BF18CF">
        <w:tc>
          <w:tcPr>
            <w:tcW w:w="1880" w:type="dxa"/>
          </w:tcPr>
          <w:p w14:paraId="253BE52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0" w:type="dxa"/>
          </w:tcPr>
          <w:p w14:paraId="05D2B3BB" w14:textId="77777777" w:rsidR="00BF18CF" w:rsidRDefault="00BF18CF">
            <w:pPr>
              <w:pBdr>
                <w:top w:val="nil"/>
                <w:left w:val="nil"/>
                <w:bottom w:val="nil"/>
                <w:right w:val="nil"/>
                <w:between w:val="nil"/>
              </w:pBdr>
              <w:spacing w:before="36" w:after="36"/>
              <w:rPr>
                <w:color w:val="000000"/>
              </w:rPr>
            </w:pPr>
          </w:p>
        </w:tc>
      </w:tr>
    </w:tbl>
    <w:p w14:paraId="32F04270" w14:textId="77777777" w:rsidR="00BF18CF" w:rsidRDefault="00E51347">
      <w:pPr>
        <w:pStyle w:val="Heading3"/>
      </w:pPr>
      <w:bookmarkStart w:id="303" w:name="bookmark=id.1c1lvlb" w:colFirst="0" w:colLast="0"/>
      <w:bookmarkStart w:id="304" w:name="_Toc144360895"/>
      <w:bookmarkEnd w:id="303"/>
      <w:r>
        <w:t>P22 a transféré le titre de propriété à (a acquis le titre de propriété par)</w:t>
      </w:r>
      <w:bookmarkEnd w:id="304"/>
    </w:p>
    <w:tbl>
      <w:tblPr>
        <w:tblStyle w:val="af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03"/>
        <w:gridCol w:w="8887"/>
      </w:tblGrid>
      <w:tr w:rsidR="00BF18CF" w14:paraId="56277FAC" w14:textId="77777777" w:rsidTr="00BF18CF">
        <w:tc>
          <w:tcPr>
            <w:tcW w:w="1803" w:type="dxa"/>
          </w:tcPr>
          <w:p w14:paraId="46318AD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87" w:type="dxa"/>
          </w:tcPr>
          <w:p w14:paraId="75A8573C" w14:textId="77777777" w:rsidR="00BF18CF" w:rsidRDefault="00E51347">
            <w:r>
              <w:rPr>
                <w:rFonts w:ascii="Consolas" w:eastAsia="Consolas" w:hAnsi="Consolas" w:cs="Consolas"/>
                <w:sz w:val="22"/>
                <w:szCs w:val="22"/>
                <w:shd w:val="clear" w:color="auto" w:fill="EAEEF3"/>
              </w:rPr>
              <w:t>E8_Acquisition</w:t>
            </w:r>
          </w:p>
        </w:tc>
      </w:tr>
      <w:tr w:rsidR="00BF18CF" w14:paraId="22FFBDF5" w14:textId="77777777" w:rsidTr="00BF18CF">
        <w:tc>
          <w:tcPr>
            <w:tcW w:w="1803" w:type="dxa"/>
          </w:tcPr>
          <w:p w14:paraId="4459D27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87" w:type="dxa"/>
          </w:tcPr>
          <w:p w14:paraId="44EBBEB3" w14:textId="77777777" w:rsidR="00BF18CF" w:rsidRDefault="00E51347">
            <w:r>
              <w:rPr>
                <w:rFonts w:ascii="Consolas" w:eastAsia="Consolas" w:hAnsi="Consolas" w:cs="Consolas"/>
                <w:sz w:val="22"/>
                <w:szCs w:val="22"/>
                <w:shd w:val="clear" w:color="auto" w:fill="EAEEF3"/>
              </w:rPr>
              <w:t>E39_Actant</w:t>
            </w:r>
          </w:p>
        </w:tc>
      </w:tr>
      <w:tr w:rsidR="00BF18CF" w14:paraId="060187F3" w14:textId="77777777" w:rsidTr="00BF18CF">
        <w:tc>
          <w:tcPr>
            <w:tcW w:w="1803" w:type="dxa"/>
          </w:tcPr>
          <w:p w14:paraId="48272D2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87" w:type="dxa"/>
          </w:tcPr>
          <w:p w14:paraId="21FD1B00"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P14_a_été_effectué_par (a_effectué)</w:t>
            </w:r>
            <w:r>
              <w:t xml:space="preserve"> : </w:t>
            </w:r>
            <w:r>
              <w:rPr>
                <w:rFonts w:ascii="Consolas" w:eastAsia="Consolas" w:hAnsi="Consolas" w:cs="Consolas"/>
                <w:sz w:val="22"/>
                <w:szCs w:val="22"/>
                <w:shd w:val="clear" w:color="auto" w:fill="EAEEF3"/>
              </w:rPr>
              <w:t>E39_Actant</w:t>
            </w:r>
          </w:p>
        </w:tc>
      </w:tr>
      <w:tr w:rsidR="00BF18CF" w14:paraId="5574F6C9" w14:textId="77777777" w:rsidTr="00BF18CF">
        <w:tc>
          <w:tcPr>
            <w:tcW w:w="1803" w:type="dxa"/>
          </w:tcPr>
          <w:p w14:paraId="03C92A8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87" w:type="dxa"/>
          </w:tcPr>
          <w:p w14:paraId="577242AE" w14:textId="77777777" w:rsidR="00BF18CF" w:rsidRDefault="00BF18CF">
            <w:pPr>
              <w:pBdr>
                <w:top w:val="nil"/>
                <w:left w:val="nil"/>
                <w:bottom w:val="nil"/>
                <w:right w:val="nil"/>
                <w:between w:val="nil"/>
              </w:pBdr>
              <w:spacing w:before="36" w:after="36"/>
              <w:rPr>
                <w:color w:val="000000"/>
              </w:rPr>
            </w:pPr>
          </w:p>
        </w:tc>
      </w:tr>
      <w:tr w:rsidR="00BF18CF" w14:paraId="1648B171" w14:textId="77777777" w:rsidTr="00BF18CF">
        <w:tc>
          <w:tcPr>
            <w:tcW w:w="1803" w:type="dxa"/>
          </w:tcPr>
          <w:p w14:paraId="032C543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87" w:type="dxa"/>
          </w:tcPr>
          <w:p w14:paraId="56A86C1E" w14:textId="77777777" w:rsidR="00BF18CF" w:rsidRDefault="00E51347">
            <w:proofErr w:type="gramStart"/>
            <w:r>
              <w:t>plusieurs</w:t>
            </w:r>
            <w:proofErr w:type="gramEnd"/>
            <w:r>
              <w:t xml:space="preserve"> à plusieurs (0,n:0,n)</w:t>
            </w:r>
          </w:p>
        </w:tc>
      </w:tr>
      <w:tr w:rsidR="00BF18CF" w14:paraId="13653D52" w14:textId="77777777" w:rsidTr="00BF18CF">
        <w:tc>
          <w:tcPr>
            <w:tcW w:w="1803" w:type="dxa"/>
          </w:tcPr>
          <w:p w14:paraId="7DCBEDCD"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87" w:type="dxa"/>
          </w:tcPr>
          <w:p w14:paraId="136EC2B1" w14:textId="77777777" w:rsidR="00BF18CF" w:rsidRDefault="00E51347">
            <w:r>
              <w:t xml:space="preserve">Cette propriété identifie une instance de </w:t>
            </w:r>
            <w:r>
              <w:rPr>
                <w:rFonts w:ascii="Consolas" w:eastAsia="Consolas" w:hAnsi="Consolas" w:cs="Consolas"/>
                <w:sz w:val="22"/>
                <w:szCs w:val="22"/>
                <w:shd w:val="clear" w:color="auto" w:fill="EAEEF3"/>
              </w:rPr>
              <w:t>E39_Actant</w:t>
            </w:r>
            <w:r>
              <w:t xml:space="preserve"> qui acquiert le droit de propriété légale d’un objet à l’issue d’une instance de </w:t>
            </w:r>
            <w:r>
              <w:rPr>
                <w:rFonts w:ascii="Consolas" w:eastAsia="Consolas" w:hAnsi="Consolas" w:cs="Consolas"/>
                <w:sz w:val="22"/>
                <w:szCs w:val="22"/>
                <w:shd w:val="clear" w:color="auto" w:fill="EAEEF3"/>
              </w:rPr>
              <w:t>E8_Acquisition</w:t>
            </w:r>
            <w:r>
              <w:t>.</w:t>
            </w:r>
          </w:p>
          <w:p w14:paraId="1B2FC576" w14:textId="77777777" w:rsidR="00BF18CF" w:rsidRDefault="00E51347">
            <w:r>
              <w:t>La propriété décrit typiquement un actant achetant ou acquérant un objet auprès d’un autre actant. Cependant, le titre de propriété peut aussi être acquis sans qu’il en résulte une perte correspondante de propriété chez un autre actant, dans le cas d’un prélèvement légal sur le terrain tel que la chasse, le tir ou la pêche.</w:t>
            </w:r>
          </w:p>
          <w:p w14:paraId="12B70C72" w14:textId="77777777" w:rsidR="00BF18CF" w:rsidRDefault="00E51347">
            <w:r>
              <w:t>Concrètement, le titre de propriété est soit transféré d’un actant ou à un actant, soit les deux.</w:t>
            </w:r>
          </w:p>
        </w:tc>
      </w:tr>
      <w:tr w:rsidR="00BF18CF" w14:paraId="07133629" w14:textId="77777777" w:rsidTr="00BF18CF">
        <w:tc>
          <w:tcPr>
            <w:tcW w:w="1803" w:type="dxa"/>
          </w:tcPr>
          <w:p w14:paraId="2DEE2657"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87" w:type="dxa"/>
          </w:tcPr>
          <w:p w14:paraId="2441B03F" w14:textId="77777777" w:rsidR="00BF18CF" w:rsidRDefault="00E51347">
            <w:pPr>
              <w:numPr>
                <w:ilvl w:val="0"/>
                <w:numId w:val="19"/>
              </w:numPr>
            </w:pPr>
            <w:r>
              <w:t>L’acquisition de la collection Amoudruz par le Musée d’ethnographie de Genève (</w:t>
            </w:r>
            <w:r>
              <w:rPr>
                <w:rFonts w:ascii="Consolas" w:eastAsia="Consolas" w:hAnsi="Consolas" w:cs="Consolas"/>
                <w:sz w:val="22"/>
                <w:szCs w:val="22"/>
                <w:shd w:val="clear" w:color="auto" w:fill="EAEEF3"/>
              </w:rPr>
              <w:t>E8_Acquisition</w:t>
            </w:r>
            <w:r>
              <w:t>) a transféré le titre de propriété au (</w:t>
            </w:r>
            <w:r>
              <w:rPr>
                <w:rFonts w:ascii="Consolas" w:eastAsia="Consolas" w:hAnsi="Consolas" w:cs="Consolas"/>
                <w:sz w:val="22"/>
                <w:szCs w:val="22"/>
                <w:shd w:val="clear" w:color="auto" w:fill="EAEEF3"/>
              </w:rPr>
              <w:t>P22_a_transféré_le_titre_de_propriété_à</w:t>
            </w:r>
            <w:r>
              <w:t>) Musée d’ethnographie de Genève (</w:t>
            </w:r>
            <w:r>
              <w:rPr>
                <w:rFonts w:ascii="Consolas" w:eastAsia="Consolas" w:hAnsi="Consolas" w:cs="Consolas"/>
                <w:sz w:val="22"/>
                <w:szCs w:val="22"/>
                <w:shd w:val="clear" w:color="auto" w:fill="EAEEF3"/>
              </w:rPr>
              <w:t>E74_Groupe</w:t>
            </w:r>
            <w:r>
              <w:t>)</w:t>
            </w:r>
          </w:p>
        </w:tc>
      </w:tr>
      <w:tr w:rsidR="00BF18CF" w14:paraId="6D57F9E8" w14:textId="77777777" w:rsidTr="00BF18CF">
        <w:tc>
          <w:tcPr>
            <w:tcW w:w="1803" w:type="dxa"/>
          </w:tcPr>
          <w:p w14:paraId="07116B2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87" w:type="dxa"/>
          </w:tcPr>
          <w:p w14:paraId="4247BF95" w14:textId="77777777" w:rsidR="00BF18CF" w:rsidRDefault="00E51347">
            <w:r>
              <w:t>P22(</w:t>
            </w:r>
            <w:proofErr w:type="gramStart"/>
            <w:r>
              <w:t>x,y</w:t>
            </w:r>
            <w:proofErr w:type="gramEnd"/>
            <w:r>
              <w:t>) ⇒ E8(x)</w:t>
            </w:r>
          </w:p>
          <w:p w14:paraId="558D94DD" w14:textId="77777777" w:rsidR="00BF18CF" w:rsidRDefault="00E51347">
            <w:r>
              <w:t>P22(</w:t>
            </w:r>
            <w:proofErr w:type="gramStart"/>
            <w:r>
              <w:t>x,y</w:t>
            </w:r>
            <w:proofErr w:type="gramEnd"/>
            <w:r>
              <w:t>) ⇒ E39(y)</w:t>
            </w:r>
          </w:p>
          <w:p w14:paraId="3394C50B" w14:textId="77777777" w:rsidR="00BF18CF" w:rsidRDefault="00E51347">
            <w:r>
              <w:t>P22(</w:t>
            </w:r>
            <w:proofErr w:type="gramStart"/>
            <w:r>
              <w:t>x,y</w:t>
            </w:r>
            <w:proofErr w:type="gramEnd"/>
            <w:r>
              <w:t>) ⇒ P14(x,y)</w:t>
            </w:r>
          </w:p>
        </w:tc>
      </w:tr>
      <w:tr w:rsidR="00BF18CF" w14:paraId="3D36E1BC" w14:textId="77777777" w:rsidTr="00BF18CF">
        <w:tc>
          <w:tcPr>
            <w:tcW w:w="1803" w:type="dxa"/>
          </w:tcPr>
          <w:p w14:paraId="631B1AF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87" w:type="dxa"/>
          </w:tcPr>
          <w:p w14:paraId="21E7305B" w14:textId="77777777" w:rsidR="00BF18CF" w:rsidRDefault="00BF18CF">
            <w:pPr>
              <w:pBdr>
                <w:top w:val="nil"/>
                <w:left w:val="nil"/>
                <w:bottom w:val="nil"/>
                <w:right w:val="nil"/>
                <w:between w:val="nil"/>
              </w:pBdr>
              <w:spacing w:before="36" w:after="36"/>
              <w:rPr>
                <w:color w:val="000000"/>
              </w:rPr>
            </w:pPr>
          </w:p>
        </w:tc>
      </w:tr>
      <w:tr w:rsidR="00BF18CF" w14:paraId="0F7ADDE2" w14:textId="77777777" w:rsidTr="00BF18CF">
        <w:tc>
          <w:tcPr>
            <w:tcW w:w="1803" w:type="dxa"/>
          </w:tcPr>
          <w:p w14:paraId="7D7EB87E" w14:textId="6E7430BC"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87" w:type="dxa"/>
          </w:tcPr>
          <w:p w14:paraId="0178B9C1" w14:textId="77777777" w:rsidR="00BF18CF" w:rsidRDefault="00BF18CF">
            <w:pPr>
              <w:pBdr>
                <w:top w:val="nil"/>
                <w:left w:val="nil"/>
                <w:bottom w:val="nil"/>
                <w:right w:val="nil"/>
                <w:between w:val="nil"/>
              </w:pBdr>
              <w:spacing w:before="36" w:after="36"/>
              <w:rPr>
                <w:color w:val="000000"/>
              </w:rPr>
            </w:pPr>
          </w:p>
        </w:tc>
      </w:tr>
      <w:tr w:rsidR="00BF18CF" w:rsidRPr="00103833" w14:paraId="00CE6FF5" w14:textId="77777777" w:rsidTr="00BF18CF">
        <w:tc>
          <w:tcPr>
            <w:tcW w:w="1803" w:type="dxa"/>
          </w:tcPr>
          <w:p w14:paraId="779EE67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87" w:type="dxa"/>
          </w:tcPr>
          <w:p w14:paraId="25FD4861" w14:textId="77777777" w:rsidR="00BF18CF" w:rsidRPr="00EE61A5" w:rsidRDefault="00E51347">
            <w:pPr>
              <w:rPr>
                <w:lang w:val="en-CA"/>
              </w:rPr>
            </w:pPr>
            <w:r w:rsidRPr="00EE61A5">
              <w:rPr>
                <w:lang w:val="en-CA"/>
              </w:rPr>
              <w:t xml:space="preserve">Wikipédia. « Georges Amoudruz ». Dans </w:t>
            </w:r>
            <w:r w:rsidRPr="00EE61A5">
              <w:rPr>
                <w:i/>
                <w:lang w:val="en-CA"/>
              </w:rPr>
              <w:t>Wikipédia</w:t>
            </w:r>
            <w:r w:rsidRPr="00EE61A5">
              <w:rPr>
                <w:lang w:val="en-CA"/>
              </w:rPr>
              <w:t>. San Francisco, US-CA: Wikipédia, 10 mars 2023.</w:t>
            </w:r>
            <w:hyperlink r:id="rId405">
              <w:r w:rsidRPr="00EE61A5">
                <w:rPr>
                  <w:color w:val="4F81BD"/>
                  <w:lang w:val="en-CA"/>
                </w:rPr>
                <w:t xml:space="preserve"> https://fr.wikipedia.org/w/index.php?title=Georges_Amoudruz&amp;oldid=202151566</w:t>
              </w:r>
            </w:hyperlink>
            <w:r w:rsidRPr="00EE61A5">
              <w:rPr>
                <w:lang w:val="en-CA"/>
              </w:rPr>
              <w:t>.</w:t>
            </w:r>
          </w:p>
        </w:tc>
      </w:tr>
    </w:tbl>
    <w:p w14:paraId="0AA9BEC2" w14:textId="77777777" w:rsidR="00BF18CF" w:rsidRDefault="00E51347">
      <w:pPr>
        <w:pStyle w:val="Heading3"/>
      </w:pPr>
      <w:bookmarkStart w:id="305" w:name="bookmark=id.3w19e94" w:colFirst="0" w:colLast="0"/>
      <w:bookmarkStart w:id="306" w:name="_Toc144360896"/>
      <w:bookmarkEnd w:id="305"/>
      <w:r>
        <w:lastRenderedPageBreak/>
        <w:t>P23 a transféré le titre de propriété de (a cédé le titre de propriété à)</w:t>
      </w:r>
      <w:bookmarkEnd w:id="306"/>
    </w:p>
    <w:tbl>
      <w:tblPr>
        <w:tblStyle w:val="af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4"/>
        <w:gridCol w:w="8806"/>
      </w:tblGrid>
      <w:tr w:rsidR="00BF18CF" w14:paraId="51B19699" w14:textId="77777777" w:rsidTr="00BF18CF">
        <w:tc>
          <w:tcPr>
            <w:tcW w:w="1884" w:type="dxa"/>
          </w:tcPr>
          <w:p w14:paraId="2D07C72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6" w:type="dxa"/>
          </w:tcPr>
          <w:p w14:paraId="1E703518" w14:textId="77777777" w:rsidR="00BF18CF" w:rsidRDefault="00E51347">
            <w:r>
              <w:rPr>
                <w:rFonts w:ascii="Consolas" w:eastAsia="Consolas" w:hAnsi="Consolas" w:cs="Consolas"/>
                <w:sz w:val="22"/>
                <w:szCs w:val="22"/>
                <w:shd w:val="clear" w:color="auto" w:fill="EAEEF3"/>
              </w:rPr>
              <w:t>E8_Acquisition</w:t>
            </w:r>
          </w:p>
        </w:tc>
      </w:tr>
      <w:tr w:rsidR="00BF18CF" w14:paraId="3B11EF17" w14:textId="77777777" w:rsidTr="00BF18CF">
        <w:tc>
          <w:tcPr>
            <w:tcW w:w="1884" w:type="dxa"/>
          </w:tcPr>
          <w:p w14:paraId="24EB489C"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6" w:type="dxa"/>
          </w:tcPr>
          <w:p w14:paraId="714D3C5F" w14:textId="77777777" w:rsidR="00BF18CF" w:rsidRDefault="00E51347">
            <w:r>
              <w:rPr>
                <w:rFonts w:ascii="Consolas" w:eastAsia="Consolas" w:hAnsi="Consolas" w:cs="Consolas"/>
                <w:sz w:val="22"/>
                <w:szCs w:val="22"/>
                <w:shd w:val="clear" w:color="auto" w:fill="EAEEF3"/>
              </w:rPr>
              <w:t>E39_Actant</w:t>
            </w:r>
          </w:p>
        </w:tc>
      </w:tr>
      <w:tr w:rsidR="00BF18CF" w14:paraId="5D7EA3B8" w14:textId="77777777" w:rsidTr="00BF18CF">
        <w:tc>
          <w:tcPr>
            <w:tcW w:w="1884" w:type="dxa"/>
          </w:tcPr>
          <w:p w14:paraId="3A0E127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6" w:type="dxa"/>
          </w:tcPr>
          <w:p w14:paraId="48E6E8D2"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P14_a_été_effectué_par (a_effectué)</w:t>
            </w:r>
            <w:r>
              <w:t xml:space="preserve"> : </w:t>
            </w:r>
            <w:r>
              <w:rPr>
                <w:rFonts w:ascii="Consolas" w:eastAsia="Consolas" w:hAnsi="Consolas" w:cs="Consolas"/>
                <w:sz w:val="22"/>
                <w:szCs w:val="22"/>
                <w:shd w:val="clear" w:color="auto" w:fill="EAEEF3"/>
              </w:rPr>
              <w:t>E39_Actant</w:t>
            </w:r>
          </w:p>
        </w:tc>
      </w:tr>
      <w:tr w:rsidR="00BF18CF" w14:paraId="4D6B2033" w14:textId="77777777" w:rsidTr="00BF18CF">
        <w:tc>
          <w:tcPr>
            <w:tcW w:w="1884" w:type="dxa"/>
          </w:tcPr>
          <w:p w14:paraId="5E5BA51B"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6" w:type="dxa"/>
          </w:tcPr>
          <w:p w14:paraId="7CD9DFC9" w14:textId="77777777" w:rsidR="00BF18CF" w:rsidRDefault="00BF18CF">
            <w:pPr>
              <w:pBdr>
                <w:top w:val="nil"/>
                <w:left w:val="nil"/>
                <w:bottom w:val="nil"/>
                <w:right w:val="nil"/>
                <w:between w:val="nil"/>
              </w:pBdr>
              <w:spacing w:before="36" w:after="36"/>
              <w:rPr>
                <w:color w:val="000000"/>
              </w:rPr>
            </w:pPr>
          </w:p>
        </w:tc>
      </w:tr>
      <w:tr w:rsidR="00BF18CF" w14:paraId="13EFF93E" w14:textId="77777777" w:rsidTr="00BF18CF">
        <w:tc>
          <w:tcPr>
            <w:tcW w:w="1884" w:type="dxa"/>
          </w:tcPr>
          <w:p w14:paraId="21BF19D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6" w:type="dxa"/>
          </w:tcPr>
          <w:p w14:paraId="3B505595" w14:textId="77777777" w:rsidR="00BF18CF" w:rsidRDefault="00E51347">
            <w:proofErr w:type="gramStart"/>
            <w:r>
              <w:t>plusieurs</w:t>
            </w:r>
            <w:proofErr w:type="gramEnd"/>
            <w:r>
              <w:t xml:space="preserve"> à plusieurs (0,n:0,n)</w:t>
            </w:r>
          </w:p>
        </w:tc>
      </w:tr>
      <w:tr w:rsidR="00BF18CF" w14:paraId="16253608" w14:textId="77777777" w:rsidTr="00BF18CF">
        <w:tc>
          <w:tcPr>
            <w:tcW w:w="1884" w:type="dxa"/>
          </w:tcPr>
          <w:p w14:paraId="7839774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6" w:type="dxa"/>
          </w:tcPr>
          <w:p w14:paraId="4FA1714D" w14:textId="77777777" w:rsidR="00BF18CF" w:rsidRDefault="00E51347">
            <w:r>
              <w:t xml:space="preserve">Cette propriété identifie la ou les instances de </w:t>
            </w:r>
            <w:r>
              <w:rPr>
                <w:rFonts w:ascii="Consolas" w:eastAsia="Consolas" w:hAnsi="Consolas" w:cs="Consolas"/>
                <w:sz w:val="22"/>
                <w:szCs w:val="22"/>
                <w:shd w:val="clear" w:color="auto" w:fill="EAEEF3"/>
              </w:rPr>
              <w:t>E39_Actant</w:t>
            </w:r>
            <w:r>
              <w:t xml:space="preserve"> qui cèdent une propriété légale à l’issue d’une instance de </w:t>
            </w:r>
            <w:r>
              <w:rPr>
                <w:rFonts w:ascii="Consolas" w:eastAsia="Consolas" w:hAnsi="Consolas" w:cs="Consolas"/>
                <w:sz w:val="22"/>
                <w:szCs w:val="22"/>
                <w:shd w:val="clear" w:color="auto" w:fill="EAEEF3"/>
              </w:rPr>
              <w:t>E8_Acquisition</w:t>
            </w:r>
            <w:r>
              <w:t>.</w:t>
            </w:r>
          </w:p>
          <w:p w14:paraId="7F846BB7" w14:textId="77777777" w:rsidR="00BF18CF" w:rsidRDefault="00E51347">
            <w:r>
              <w:t>La propriété est utilisée typiquement pour décrire un actant donnant ou vendant un objet à un musée. Concrètement, le titre de propriété est soit transféré à un actant ou d’un actant, soit les deux.</w:t>
            </w:r>
          </w:p>
        </w:tc>
      </w:tr>
      <w:tr w:rsidR="00BF18CF" w14:paraId="20ABB734" w14:textId="77777777" w:rsidTr="00BF18CF">
        <w:tc>
          <w:tcPr>
            <w:tcW w:w="1884" w:type="dxa"/>
          </w:tcPr>
          <w:p w14:paraId="2C968FC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6" w:type="dxa"/>
          </w:tcPr>
          <w:p w14:paraId="2716619E" w14:textId="77777777" w:rsidR="00BF18CF" w:rsidRDefault="00E51347">
            <w:pPr>
              <w:numPr>
                <w:ilvl w:val="0"/>
                <w:numId w:val="19"/>
              </w:numPr>
            </w:pPr>
            <w:r>
              <w:t>L’acquisition de la collection Amoudruz par le Musée d’ethnographie de Genève (</w:t>
            </w:r>
            <w:r>
              <w:rPr>
                <w:rFonts w:ascii="Consolas" w:eastAsia="Consolas" w:hAnsi="Consolas" w:cs="Consolas"/>
                <w:sz w:val="22"/>
                <w:szCs w:val="22"/>
                <w:shd w:val="clear" w:color="auto" w:fill="EAEEF3"/>
              </w:rPr>
              <w:t>E8_Acquisition</w:t>
            </w:r>
            <w:r>
              <w:t>) a transféré le titre de propriété des (</w:t>
            </w:r>
            <w:r>
              <w:rPr>
                <w:rFonts w:ascii="Consolas" w:eastAsia="Consolas" w:hAnsi="Consolas" w:cs="Consolas"/>
                <w:sz w:val="22"/>
                <w:szCs w:val="22"/>
                <w:shd w:val="clear" w:color="auto" w:fill="EAEEF3"/>
              </w:rPr>
              <w:t>P23_a_transféré_le_titre_de_propriété_de</w:t>
            </w:r>
            <w:r>
              <w:t>) héritiers de Georges Amoudruz (</w:t>
            </w:r>
            <w:r>
              <w:rPr>
                <w:rFonts w:ascii="Consolas" w:eastAsia="Consolas" w:hAnsi="Consolas" w:cs="Consolas"/>
                <w:sz w:val="22"/>
                <w:szCs w:val="22"/>
                <w:shd w:val="clear" w:color="auto" w:fill="EAEEF3"/>
              </w:rPr>
              <w:t>E74_Groupe</w:t>
            </w:r>
            <w:r>
              <w:t>).</w:t>
            </w:r>
          </w:p>
        </w:tc>
      </w:tr>
      <w:tr w:rsidR="00BF18CF" w14:paraId="57BB3D84" w14:textId="77777777" w:rsidTr="00BF18CF">
        <w:tc>
          <w:tcPr>
            <w:tcW w:w="1884" w:type="dxa"/>
          </w:tcPr>
          <w:p w14:paraId="76A00055"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6" w:type="dxa"/>
          </w:tcPr>
          <w:p w14:paraId="7339B0CA" w14:textId="77777777" w:rsidR="00BF18CF" w:rsidRDefault="00E51347">
            <w:r>
              <w:t>P23(</w:t>
            </w:r>
            <w:proofErr w:type="gramStart"/>
            <w:r>
              <w:t>x,y</w:t>
            </w:r>
            <w:proofErr w:type="gramEnd"/>
            <w:r>
              <w:t>) ⇒ E8(x)</w:t>
            </w:r>
          </w:p>
          <w:p w14:paraId="07403597" w14:textId="77777777" w:rsidR="00BF18CF" w:rsidRDefault="00E51347">
            <w:r>
              <w:t>P23(</w:t>
            </w:r>
            <w:proofErr w:type="gramStart"/>
            <w:r>
              <w:t>x,y</w:t>
            </w:r>
            <w:proofErr w:type="gramEnd"/>
            <w:r>
              <w:t>) ⇒ E39(y)</w:t>
            </w:r>
          </w:p>
          <w:p w14:paraId="45548D3D" w14:textId="77777777" w:rsidR="00BF18CF" w:rsidRDefault="00E51347">
            <w:r>
              <w:t>P23(</w:t>
            </w:r>
            <w:proofErr w:type="gramStart"/>
            <w:r>
              <w:t>x,y</w:t>
            </w:r>
            <w:proofErr w:type="gramEnd"/>
            <w:r>
              <w:t>) ⇒ P14(x,y)</w:t>
            </w:r>
          </w:p>
        </w:tc>
      </w:tr>
      <w:tr w:rsidR="00BF18CF" w14:paraId="43BC903E" w14:textId="77777777" w:rsidTr="00BF18CF">
        <w:tc>
          <w:tcPr>
            <w:tcW w:w="1884" w:type="dxa"/>
          </w:tcPr>
          <w:p w14:paraId="4533E16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6" w:type="dxa"/>
          </w:tcPr>
          <w:p w14:paraId="725BB85C" w14:textId="77777777" w:rsidR="00BF18CF" w:rsidRDefault="00BF18CF">
            <w:pPr>
              <w:pBdr>
                <w:top w:val="nil"/>
                <w:left w:val="nil"/>
                <w:bottom w:val="nil"/>
                <w:right w:val="nil"/>
                <w:between w:val="nil"/>
              </w:pBdr>
              <w:spacing w:before="36" w:after="36"/>
              <w:rPr>
                <w:color w:val="000000"/>
              </w:rPr>
            </w:pPr>
          </w:p>
        </w:tc>
      </w:tr>
      <w:tr w:rsidR="00BF18CF" w14:paraId="2F1F1E93" w14:textId="77777777" w:rsidTr="00BF18CF">
        <w:tc>
          <w:tcPr>
            <w:tcW w:w="1884" w:type="dxa"/>
          </w:tcPr>
          <w:p w14:paraId="33F666E0" w14:textId="641EC51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6" w:type="dxa"/>
          </w:tcPr>
          <w:p w14:paraId="0ED57CBD" w14:textId="77777777" w:rsidR="00BF18CF" w:rsidRDefault="00BF18CF">
            <w:pPr>
              <w:pBdr>
                <w:top w:val="nil"/>
                <w:left w:val="nil"/>
                <w:bottom w:val="nil"/>
                <w:right w:val="nil"/>
                <w:between w:val="nil"/>
              </w:pBdr>
              <w:spacing w:before="36" w:after="36"/>
              <w:rPr>
                <w:color w:val="000000"/>
              </w:rPr>
            </w:pPr>
          </w:p>
        </w:tc>
      </w:tr>
      <w:tr w:rsidR="00BF18CF" w14:paraId="4248EFF1" w14:textId="77777777" w:rsidTr="00BF18CF">
        <w:tc>
          <w:tcPr>
            <w:tcW w:w="1884" w:type="dxa"/>
          </w:tcPr>
          <w:p w14:paraId="57E4C4E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6" w:type="dxa"/>
          </w:tcPr>
          <w:p w14:paraId="7E634B33" w14:textId="77777777" w:rsidR="00BF18CF" w:rsidRDefault="00BF18CF">
            <w:pPr>
              <w:pBdr>
                <w:top w:val="nil"/>
                <w:left w:val="nil"/>
                <w:bottom w:val="nil"/>
                <w:right w:val="nil"/>
                <w:between w:val="nil"/>
              </w:pBdr>
              <w:spacing w:before="36" w:after="36"/>
              <w:rPr>
                <w:color w:val="000000"/>
              </w:rPr>
            </w:pPr>
          </w:p>
        </w:tc>
      </w:tr>
    </w:tbl>
    <w:p w14:paraId="0329D9AE" w14:textId="77777777" w:rsidR="00BF18CF" w:rsidRDefault="00E51347">
      <w:pPr>
        <w:pStyle w:val="Heading3"/>
      </w:pPr>
      <w:bookmarkStart w:id="307" w:name="bookmark=id.2b6jogx" w:colFirst="0" w:colLast="0"/>
      <w:bookmarkStart w:id="308" w:name="_Toc144360897"/>
      <w:bookmarkEnd w:id="307"/>
      <w:r>
        <w:t>P24 a transféré le titre de propriété de (a changé de propriétaire par)</w:t>
      </w:r>
      <w:bookmarkEnd w:id="308"/>
    </w:p>
    <w:tbl>
      <w:tblPr>
        <w:tblStyle w:val="aff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5"/>
        <w:gridCol w:w="8805"/>
      </w:tblGrid>
      <w:tr w:rsidR="00BF18CF" w14:paraId="2D584FEC" w14:textId="77777777" w:rsidTr="00BF18CF">
        <w:tc>
          <w:tcPr>
            <w:tcW w:w="1885" w:type="dxa"/>
          </w:tcPr>
          <w:p w14:paraId="7790959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5" w:type="dxa"/>
          </w:tcPr>
          <w:p w14:paraId="00C8AB17" w14:textId="77777777" w:rsidR="00BF18CF" w:rsidRDefault="00E51347">
            <w:r>
              <w:rPr>
                <w:rFonts w:ascii="Consolas" w:eastAsia="Consolas" w:hAnsi="Consolas" w:cs="Consolas"/>
                <w:sz w:val="22"/>
                <w:szCs w:val="22"/>
                <w:shd w:val="clear" w:color="auto" w:fill="EAEEF3"/>
              </w:rPr>
              <w:t>E8_Acquisition</w:t>
            </w:r>
          </w:p>
        </w:tc>
      </w:tr>
      <w:tr w:rsidR="00BF18CF" w14:paraId="501395EB" w14:textId="77777777" w:rsidTr="00BF18CF">
        <w:tc>
          <w:tcPr>
            <w:tcW w:w="1885" w:type="dxa"/>
          </w:tcPr>
          <w:p w14:paraId="2FFEDDEA"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5" w:type="dxa"/>
          </w:tcPr>
          <w:p w14:paraId="5F941C6E" w14:textId="77777777" w:rsidR="00BF18CF" w:rsidRDefault="00E51347">
            <w:r>
              <w:rPr>
                <w:rFonts w:ascii="Consolas" w:eastAsia="Consolas" w:hAnsi="Consolas" w:cs="Consolas"/>
                <w:sz w:val="22"/>
                <w:szCs w:val="22"/>
                <w:shd w:val="clear" w:color="auto" w:fill="EAEEF3"/>
              </w:rPr>
              <w:t>E18_Chose_matérielle</w:t>
            </w:r>
          </w:p>
        </w:tc>
      </w:tr>
      <w:tr w:rsidR="00BF18CF" w14:paraId="3A54D61A" w14:textId="77777777" w:rsidTr="00BF18CF">
        <w:tc>
          <w:tcPr>
            <w:tcW w:w="1885" w:type="dxa"/>
          </w:tcPr>
          <w:p w14:paraId="1A6B346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5" w:type="dxa"/>
          </w:tcPr>
          <w:p w14:paraId="1DC56F8A" w14:textId="77777777" w:rsidR="00BF18CF" w:rsidRDefault="00BF18CF">
            <w:pPr>
              <w:pBdr>
                <w:top w:val="nil"/>
                <w:left w:val="nil"/>
                <w:bottom w:val="nil"/>
                <w:right w:val="nil"/>
                <w:between w:val="nil"/>
              </w:pBdr>
              <w:spacing w:before="36" w:after="36"/>
              <w:rPr>
                <w:color w:val="000000"/>
              </w:rPr>
            </w:pPr>
          </w:p>
        </w:tc>
      </w:tr>
      <w:tr w:rsidR="00BF18CF" w14:paraId="15C2AD49" w14:textId="77777777" w:rsidTr="00BF18CF">
        <w:tc>
          <w:tcPr>
            <w:tcW w:w="1885" w:type="dxa"/>
          </w:tcPr>
          <w:p w14:paraId="63A67C88"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5" w:type="dxa"/>
          </w:tcPr>
          <w:p w14:paraId="05046C7D" w14:textId="77777777" w:rsidR="00BF18CF" w:rsidRDefault="00BF18CF">
            <w:pPr>
              <w:pBdr>
                <w:top w:val="nil"/>
                <w:left w:val="nil"/>
                <w:bottom w:val="nil"/>
                <w:right w:val="nil"/>
                <w:between w:val="nil"/>
              </w:pBdr>
              <w:spacing w:before="36" w:after="36"/>
              <w:rPr>
                <w:color w:val="000000"/>
              </w:rPr>
            </w:pPr>
          </w:p>
        </w:tc>
      </w:tr>
      <w:tr w:rsidR="00BF18CF" w14:paraId="3F1EF086" w14:textId="77777777" w:rsidTr="00BF18CF">
        <w:tc>
          <w:tcPr>
            <w:tcW w:w="1885" w:type="dxa"/>
          </w:tcPr>
          <w:p w14:paraId="687E93F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5" w:type="dxa"/>
          </w:tcPr>
          <w:p w14:paraId="5B008C9B" w14:textId="77777777" w:rsidR="00BF18CF" w:rsidRDefault="00E51347">
            <w:proofErr w:type="gramStart"/>
            <w:r>
              <w:t>plusieurs</w:t>
            </w:r>
            <w:proofErr w:type="gramEnd"/>
            <w:r>
              <w:t xml:space="preserve"> à plusieurs, nécessaire (1,n:0,n)</w:t>
            </w:r>
          </w:p>
        </w:tc>
      </w:tr>
      <w:tr w:rsidR="00BF18CF" w14:paraId="6419DC90" w14:textId="77777777" w:rsidTr="00BF18CF">
        <w:tc>
          <w:tcPr>
            <w:tcW w:w="1885" w:type="dxa"/>
          </w:tcPr>
          <w:p w14:paraId="20FE12D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5" w:type="dxa"/>
          </w:tcPr>
          <w:p w14:paraId="4E253A2A" w14:textId="77777777" w:rsidR="00BF18CF" w:rsidRDefault="00E51347">
            <w:r>
              <w:t xml:space="preserve">Cette propriété identifie la ou les instances de </w:t>
            </w:r>
            <w:r>
              <w:rPr>
                <w:rFonts w:ascii="Consolas" w:eastAsia="Consolas" w:hAnsi="Consolas" w:cs="Consolas"/>
                <w:sz w:val="22"/>
                <w:szCs w:val="22"/>
                <w:shd w:val="clear" w:color="auto" w:fill="EAEEF3"/>
              </w:rPr>
              <w:t>E18_Chose_matérielle</w:t>
            </w:r>
            <w:r>
              <w:t xml:space="preserve"> impliquées dans une instance de </w:t>
            </w:r>
            <w:r>
              <w:rPr>
                <w:rFonts w:ascii="Consolas" w:eastAsia="Consolas" w:hAnsi="Consolas" w:cs="Consolas"/>
                <w:sz w:val="22"/>
                <w:szCs w:val="22"/>
                <w:shd w:val="clear" w:color="auto" w:fill="EAEEF3"/>
              </w:rPr>
              <w:t>E8_Acquisition</w:t>
            </w:r>
            <w:r>
              <w:t>.</w:t>
            </w:r>
          </w:p>
          <w:p w14:paraId="05352D5C" w14:textId="77777777" w:rsidR="00BF18CF" w:rsidRDefault="00E51347">
            <w:r>
              <w:t>Concrètement, une acquisition doit se rapporter à au moins une chose matérielle transférée.</w:t>
            </w:r>
          </w:p>
        </w:tc>
      </w:tr>
      <w:tr w:rsidR="00BF18CF" w14:paraId="33E3FB24" w14:textId="77777777" w:rsidTr="00BF18CF">
        <w:tc>
          <w:tcPr>
            <w:tcW w:w="1885" w:type="dxa"/>
          </w:tcPr>
          <w:p w14:paraId="4F2F7EB7"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05" w:type="dxa"/>
          </w:tcPr>
          <w:p w14:paraId="6C1D1CBA" w14:textId="77777777" w:rsidR="00BF18CF" w:rsidRDefault="00E51347">
            <w:pPr>
              <w:numPr>
                <w:ilvl w:val="0"/>
                <w:numId w:val="19"/>
              </w:numPr>
            </w:pPr>
            <w:r>
              <w:t>L’acquisition de la collection Amoudruz par le Musée d’ethnographie de Genève (</w:t>
            </w:r>
            <w:r>
              <w:rPr>
                <w:rFonts w:ascii="Consolas" w:eastAsia="Consolas" w:hAnsi="Consolas" w:cs="Consolas"/>
                <w:sz w:val="22"/>
                <w:szCs w:val="22"/>
                <w:shd w:val="clear" w:color="auto" w:fill="EAEEF3"/>
              </w:rPr>
              <w:t>E8_Acquisition</w:t>
            </w:r>
            <w:r>
              <w:t>) a transféré le titre de propriété de (</w:t>
            </w:r>
            <w:r>
              <w:rPr>
                <w:rFonts w:ascii="Consolas" w:eastAsia="Consolas" w:hAnsi="Consolas" w:cs="Consolas"/>
                <w:sz w:val="22"/>
                <w:szCs w:val="22"/>
                <w:shd w:val="clear" w:color="auto" w:fill="EAEEF3"/>
              </w:rPr>
              <w:t>P24_a_transféré_le_titre_de_propriété_de</w:t>
            </w:r>
            <w:r>
              <w:t>) la collection Amoudruz (</w:t>
            </w:r>
            <w:r>
              <w:rPr>
                <w:rFonts w:ascii="Consolas" w:eastAsia="Consolas" w:hAnsi="Consolas" w:cs="Consolas"/>
                <w:sz w:val="22"/>
                <w:szCs w:val="22"/>
                <w:shd w:val="clear" w:color="auto" w:fill="EAEEF3"/>
              </w:rPr>
              <w:t>E78_Collection</w:t>
            </w:r>
            <w:r>
              <w:t xml:space="preserve"> ).</w:t>
            </w:r>
          </w:p>
        </w:tc>
      </w:tr>
      <w:tr w:rsidR="00BF18CF" w14:paraId="6DD021B4" w14:textId="77777777" w:rsidTr="00BF18CF">
        <w:tc>
          <w:tcPr>
            <w:tcW w:w="1885" w:type="dxa"/>
          </w:tcPr>
          <w:p w14:paraId="4C26596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5" w:type="dxa"/>
          </w:tcPr>
          <w:p w14:paraId="7640057A" w14:textId="77777777" w:rsidR="00BF18CF" w:rsidRDefault="00E51347">
            <w:r>
              <w:t>P24(</w:t>
            </w:r>
            <w:proofErr w:type="gramStart"/>
            <w:r>
              <w:t>x,y</w:t>
            </w:r>
            <w:proofErr w:type="gramEnd"/>
            <w:r>
              <w:t>) ⇒ E8(x)</w:t>
            </w:r>
          </w:p>
          <w:p w14:paraId="111F0359" w14:textId="77777777" w:rsidR="00BF18CF" w:rsidRDefault="00E51347">
            <w:r>
              <w:t>P24(</w:t>
            </w:r>
            <w:proofErr w:type="gramStart"/>
            <w:r>
              <w:t>x,y</w:t>
            </w:r>
            <w:proofErr w:type="gramEnd"/>
            <w:r>
              <w:t>) ⇒ E18(y)</w:t>
            </w:r>
          </w:p>
        </w:tc>
      </w:tr>
      <w:tr w:rsidR="00BF18CF" w14:paraId="7B1619D0" w14:textId="77777777" w:rsidTr="00BF18CF">
        <w:tc>
          <w:tcPr>
            <w:tcW w:w="1885" w:type="dxa"/>
          </w:tcPr>
          <w:p w14:paraId="64A9F55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5" w:type="dxa"/>
          </w:tcPr>
          <w:p w14:paraId="6735193D" w14:textId="77777777" w:rsidR="00BF18CF" w:rsidRDefault="00BF18CF">
            <w:pPr>
              <w:pBdr>
                <w:top w:val="nil"/>
                <w:left w:val="nil"/>
                <w:bottom w:val="nil"/>
                <w:right w:val="nil"/>
                <w:between w:val="nil"/>
              </w:pBdr>
              <w:spacing w:before="36" w:after="36"/>
              <w:rPr>
                <w:color w:val="000000"/>
              </w:rPr>
            </w:pPr>
          </w:p>
        </w:tc>
      </w:tr>
      <w:tr w:rsidR="00BF18CF" w14:paraId="5196FCEC" w14:textId="77777777" w:rsidTr="00BF18CF">
        <w:tc>
          <w:tcPr>
            <w:tcW w:w="1885" w:type="dxa"/>
          </w:tcPr>
          <w:p w14:paraId="19E94CE8" w14:textId="17776CE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5" w:type="dxa"/>
          </w:tcPr>
          <w:p w14:paraId="26381C00" w14:textId="77777777" w:rsidR="00BF18CF" w:rsidRDefault="00BF18CF">
            <w:pPr>
              <w:pBdr>
                <w:top w:val="nil"/>
                <w:left w:val="nil"/>
                <w:bottom w:val="nil"/>
                <w:right w:val="nil"/>
                <w:between w:val="nil"/>
              </w:pBdr>
              <w:spacing w:before="36" w:after="36"/>
              <w:rPr>
                <w:color w:val="000000"/>
              </w:rPr>
            </w:pPr>
          </w:p>
        </w:tc>
      </w:tr>
      <w:tr w:rsidR="00BF18CF" w14:paraId="466C08AC" w14:textId="77777777" w:rsidTr="00BF18CF">
        <w:tc>
          <w:tcPr>
            <w:tcW w:w="1885" w:type="dxa"/>
          </w:tcPr>
          <w:p w14:paraId="2871CA2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5" w:type="dxa"/>
          </w:tcPr>
          <w:p w14:paraId="3065A4B2" w14:textId="77777777" w:rsidR="00BF18CF" w:rsidRDefault="00BF18CF">
            <w:pPr>
              <w:pBdr>
                <w:top w:val="nil"/>
                <w:left w:val="nil"/>
                <w:bottom w:val="nil"/>
                <w:right w:val="nil"/>
                <w:between w:val="nil"/>
              </w:pBdr>
              <w:spacing w:before="36" w:after="36"/>
              <w:rPr>
                <w:color w:val="000000"/>
              </w:rPr>
            </w:pPr>
          </w:p>
        </w:tc>
      </w:tr>
    </w:tbl>
    <w:p w14:paraId="39957751" w14:textId="77777777" w:rsidR="00BF18CF" w:rsidRDefault="00E51347">
      <w:pPr>
        <w:pStyle w:val="Heading3"/>
      </w:pPr>
      <w:bookmarkStart w:id="309" w:name="bookmark=id.qbtyoq" w:colFirst="0" w:colLast="0"/>
      <w:bookmarkStart w:id="310" w:name="_Toc144360898"/>
      <w:bookmarkEnd w:id="309"/>
      <w:r>
        <w:t>P25 a déplacé (a été déplacé par)</w:t>
      </w:r>
      <w:bookmarkEnd w:id="310"/>
    </w:p>
    <w:tbl>
      <w:tblPr>
        <w:tblStyle w:val="a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2"/>
        <w:gridCol w:w="8808"/>
      </w:tblGrid>
      <w:tr w:rsidR="00BF18CF" w14:paraId="1C579F32" w14:textId="77777777" w:rsidTr="00BF18CF">
        <w:tc>
          <w:tcPr>
            <w:tcW w:w="1882" w:type="dxa"/>
          </w:tcPr>
          <w:p w14:paraId="360F272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8" w:type="dxa"/>
          </w:tcPr>
          <w:p w14:paraId="7E5EF7DC" w14:textId="77777777" w:rsidR="00BF18CF" w:rsidRDefault="00E51347">
            <w:r>
              <w:rPr>
                <w:rFonts w:ascii="Consolas" w:eastAsia="Consolas" w:hAnsi="Consolas" w:cs="Consolas"/>
                <w:sz w:val="22"/>
                <w:szCs w:val="22"/>
                <w:shd w:val="clear" w:color="auto" w:fill="EAEEF3"/>
              </w:rPr>
              <w:t>E9_Déplacement</w:t>
            </w:r>
          </w:p>
        </w:tc>
      </w:tr>
      <w:tr w:rsidR="00BF18CF" w14:paraId="0C2FCF2F" w14:textId="77777777" w:rsidTr="00BF18CF">
        <w:tc>
          <w:tcPr>
            <w:tcW w:w="1882" w:type="dxa"/>
          </w:tcPr>
          <w:p w14:paraId="688306C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8" w:type="dxa"/>
          </w:tcPr>
          <w:p w14:paraId="05A7A9F5" w14:textId="77777777" w:rsidR="00BF18CF" w:rsidRDefault="00E51347">
            <w:r>
              <w:rPr>
                <w:rFonts w:ascii="Consolas" w:eastAsia="Consolas" w:hAnsi="Consolas" w:cs="Consolas"/>
                <w:sz w:val="22"/>
                <w:szCs w:val="22"/>
                <w:shd w:val="clear" w:color="auto" w:fill="EAEEF3"/>
              </w:rPr>
              <w:t>E19_Objet_matériel</w:t>
            </w:r>
          </w:p>
        </w:tc>
      </w:tr>
      <w:tr w:rsidR="00BF18CF" w14:paraId="26642031" w14:textId="77777777" w:rsidTr="00BF18CF">
        <w:tc>
          <w:tcPr>
            <w:tcW w:w="1882" w:type="dxa"/>
          </w:tcPr>
          <w:p w14:paraId="212BF3E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8" w:type="dxa"/>
          </w:tcPr>
          <w:p w14:paraId="2E379BE3"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P12_a_eu_lieu_en_présence_de (a_été_présent_à)</w:t>
            </w:r>
            <w:r>
              <w:t xml:space="preserve"> : </w:t>
            </w:r>
            <w:r>
              <w:rPr>
                <w:rFonts w:ascii="Consolas" w:eastAsia="Consolas" w:hAnsi="Consolas" w:cs="Consolas"/>
                <w:sz w:val="22"/>
                <w:szCs w:val="22"/>
                <w:shd w:val="clear" w:color="auto" w:fill="EAEEF3"/>
              </w:rPr>
              <w:t>E77_Entité_persistante</w:t>
            </w:r>
          </w:p>
        </w:tc>
      </w:tr>
      <w:tr w:rsidR="00BF18CF" w14:paraId="17A63AA4" w14:textId="77777777" w:rsidTr="00BF18CF">
        <w:tc>
          <w:tcPr>
            <w:tcW w:w="1882" w:type="dxa"/>
          </w:tcPr>
          <w:p w14:paraId="6A33D1A3"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8" w:type="dxa"/>
          </w:tcPr>
          <w:p w14:paraId="60FE5240" w14:textId="77777777" w:rsidR="00BF18CF" w:rsidRDefault="00BF18CF">
            <w:pPr>
              <w:pBdr>
                <w:top w:val="nil"/>
                <w:left w:val="nil"/>
                <w:bottom w:val="nil"/>
                <w:right w:val="nil"/>
                <w:between w:val="nil"/>
              </w:pBdr>
              <w:spacing w:before="36" w:after="36"/>
              <w:rPr>
                <w:color w:val="000000"/>
              </w:rPr>
            </w:pPr>
          </w:p>
        </w:tc>
      </w:tr>
      <w:tr w:rsidR="00BF18CF" w14:paraId="5EC179D5" w14:textId="77777777" w:rsidTr="00BF18CF">
        <w:tc>
          <w:tcPr>
            <w:tcW w:w="1882" w:type="dxa"/>
          </w:tcPr>
          <w:p w14:paraId="5F2473C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8" w:type="dxa"/>
          </w:tcPr>
          <w:p w14:paraId="147B7197" w14:textId="77777777" w:rsidR="00BF18CF" w:rsidRDefault="00E51347">
            <w:proofErr w:type="gramStart"/>
            <w:r>
              <w:t>plusieurs</w:t>
            </w:r>
            <w:proofErr w:type="gramEnd"/>
            <w:r>
              <w:t xml:space="preserve"> à plusieurs, nécessaire (1,n:0,n)</w:t>
            </w:r>
          </w:p>
        </w:tc>
      </w:tr>
      <w:tr w:rsidR="00BF18CF" w14:paraId="2F87FC91" w14:textId="77777777" w:rsidTr="00BF18CF">
        <w:tc>
          <w:tcPr>
            <w:tcW w:w="1882" w:type="dxa"/>
          </w:tcPr>
          <w:p w14:paraId="3F6BC14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8" w:type="dxa"/>
          </w:tcPr>
          <w:p w14:paraId="23E1FBDC" w14:textId="77777777" w:rsidR="00BF18CF" w:rsidRDefault="00E51347">
            <w:r>
              <w:t xml:space="preserve">Cette propriété identifie une instance de </w:t>
            </w:r>
            <w:r>
              <w:rPr>
                <w:rFonts w:ascii="Consolas" w:eastAsia="Consolas" w:hAnsi="Consolas" w:cs="Consolas"/>
                <w:sz w:val="22"/>
                <w:szCs w:val="22"/>
                <w:shd w:val="clear" w:color="auto" w:fill="EAEEF3"/>
              </w:rPr>
              <w:t>E19_Objet_matériel</w:t>
            </w:r>
            <w:r>
              <w:t xml:space="preserve"> qui a été déplacée par une instance de </w:t>
            </w:r>
            <w:r>
              <w:rPr>
                <w:rFonts w:ascii="Consolas" w:eastAsia="Consolas" w:hAnsi="Consolas" w:cs="Consolas"/>
                <w:sz w:val="22"/>
                <w:szCs w:val="22"/>
                <w:shd w:val="clear" w:color="auto" w:fill="EAEEF3"/>
              </w:rPr>
              <w:t>E9_Déplacement</w:t>
            </w:r>
            <w:r>
              <w:t xml:space="preserve">. Un déplacement doit concerner au moins un objet. La propriété implique la participation passive de l’objet. Par exemple, le tableau de Monet </w:t>
            </w:r>
            <w:r>
              <w:rPr>
                <w:i/>
              </w:rPr>
              <w:t>Impression, soleil levant</w:t>
            </w:r>
            <w:r>
              <w:t xml:space="preserve"> a été déplacé en vue de la première exposition impressionniste en 1874.</w:t>
            </w:r>
          </w:p>
        </w:tc>
      </w:tr>
      <w:tr w:rsidR="00BF18CF" w14:paraId="10750C0F" w14:textId="77777777" w:rsidTr="00BF18CF">
        <w:tc>
          <w:tcPr>
            <w:tcW w:w="1882" w:type="dxa"/>
          </w:tcPr>
          <w:p w14:paraId="0EF111C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8" w:type="dxa"/>
          </w:tcPr>
          <w:p w14:paraId="5142F31A" w14:textId="77777777" w:rsidR="00BF18CF" w:rsidRDefault="00E51347">
            <w:pPr>
              <w:numPr>
                <w:ilvl w:val="0"/>
                <w:numId w:val="19"/>
              </w:numPr>
            </w:pPr>
            <w:r>
              <w:rPr>
                <w:i/>
              </w:rPr>
              <w:t>Impression, soleil levant</w:t>
            </w:r>
            <w:r>
              <w:t xml:space="preserve"> de Monet (</w:t>
            </w:r>
            <w:r>
              <w:rPr>
                <w:rFonts w:ascii="Consolas" w:eastAsia="Consolas" w:hAnsi="Consolas" w:cs="Consolas"/>
                <w:sz w:val="22"/>
                <w:szCs w:val="22"/>
                <w:shd w:val="clear" w:color="auto" w:fill="EAEEF3"/>
              </w:rPr>
              <w:t>E22_Objet_élaboré_par_l’humain</w:t>
            </w:r>
            <w:r>
              <w:t>) a été déplacé par (</w:t>
            </w:r>
            <w:r>
              <w:rPr>
                <w:rFonts w:ascii="Consolas" w:eastAsia="Consolas" w:hAnsi="Consolas" w:cs="Consolas"/>
                <w:sz w:val="22"/>
                <w:szCs w:val="22"/>
                <w:shd w:val="clear" w:color="auto" w:fill="EAEEF3"/>
              </w:rPr>
              <w:t>P25i_a_été_déplacé_par)</w:t>
            </w:r>
            <w:r>
              <w:t xml:space="preserve"> les préparatifs de la première exposition impressionniste (</w:t>
            </w:r>
            <w:r>
              <w:rPr>
                <w:rFonts w:ascii="Consolas" w:eastAsia="Consolas" w:hAnsi="Consolas" w:cs="Consolas"/>
                <w:sz w:val="22"/>
                <w:szCs w:val="22"/>
                <w:shd w:val="clear" w:color="auto" w:fill="EAEEF3"/>
              </w:rPr>
              <w:t>E9_Déplacement</w:t>
            </w:r>
            <w:r>
              <w:t>)</w:t>
            </w:r>
          </w:p>
        </w:tc>
      </w:tr>
      <w:tr w:rsidR="00BF18CF" w14:paraId="7C403608" w14:textId="77777777" w:rsidTr="00BF18CF">
        <w:tc>
          <w:tcPr>
            <w:tcW w:w="1882" w:type="dxa"/>
          </w:tcPr>
          <w:p w14:paraId="755C463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8" w:type="dxa"/>
          </w:tcPr>
          <w:p w14:paraId="6FFF3AC5" w14:textId="77777777" w:rsidR="00BF18CF" w:rsidRDefault="00E51347">
            <w:r>
              <w:t>P25(</w:t>
            </w:r>
            <w:proofErr w:type="gramStart"/>
            <w:r>
              <w:t>x,y</w:t>
            </w:r>
            <w:proofErr w:type="gramEnd"/>
            <w:r>
              <w:t>) ⇒ E9(x)</w:t>
            </w:r>
          </w:p>
          <w:p w14:paraId="2D7E82CA" w14:textId="77777777" w:rsidR="00BF18CF" w:rsidRDefault="00E51347">
            <w:r>
              <w:t>P25(</w:t>
            </w:r>
            <w:proofErr w:type="gramStart"/>
            <w:r>
              <w:t>x,y</w:t>
            </w:r>
            <w:proofErr w:type="gramEnd"/>
            <w:r>
              <w:t>) ⇒ E19(y)</w:t>
            </w:r>
          </w:p>
          <w:p w14:paraId="696C5686" w14:textId="77777777" w:rsidR="00BF18CF" w:rsidRDefault="00E51347">
            <w:r>
              <w:t>P25(</w:t>
            </w:r>
            <w:proofErr w:type="gramStart"/>
            <w:r>
              <w:t>x,y</w:t>
            </w:r>
            <w:proofErr w:type="gramEnd"/>
            <w:r>
              <w:t>) ⇒ P12(x,y)</w:t>
            </w:r>
          </w:p>
        </w:tc>
      </w:tr>
      <w:tr w:rsidR="00BF18CF" w14:paraId="76B3ABD1" w14:textId="77777777" w:rsidTr="00BF18CF">
        <w:tc>
          <w:tcPr>
            <w:tcW w:w="1882" w:type="dxa"/>
          </w:tcPr>
          <w:p w14:paraId="4665CB9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8" w:type="dxa"/>
          </w:tcPr>
          <w:p w14:paraId="4A3F3A7D" w14:textId="77777777" w:rsidR="00BF18CF" w:rsidRDefault="00BF18CF">
            <w:pPr>
              <w:pBdr>
                <w:top w:val="nil"/>
                <w:left w:val="nil"/>
                <w:bottom w:val="nil"/>
                <w:right w:val="nil"/>
                <w:between w:val="nil"/>
              </w:pBdr>
              <w:spacing w:before="36" w:after="36"/>
              <w:rPr>
                <w:color w:val="000000"/>
              </w:rPr>
            </w:pPr>
          </w:p>
        </w:tc>
      </w:tr>
      <w:tr w:rsidR="00BF18CF" w14:paraId="254B7C17" w14:textId="77777777" w:rsidTr="00BF18CF">
        <w:tc>
          <w:tcPr>
            <w:tcW w:w="1882" w:type="dxa"/>
          </w:tcPr>
          <w:p w14:paraId="65D36C08" w14:textId="5BBBD10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8" w:type="dxa"/>
          </w:tcPr>
          <w:p w14:paraId="7AE45987" w14:textId="77777777" w:rsidR="00BF18CF" w:rsidRDefault="00BF18CF">
            <w:pPr>
              <w:pBdr>
                <w:top w:val="nil"/>
                <w:left w:val="nil"/>
                <w:bottom w:val="nil"/>
                <w:right w:val="nil"/>
                <w:between w:val="nil"/>
              </w:pBdr>
              <w:spacing w:before="36" w:after="36"/>
              <w:rPr>
                <w:color w:val="000000"/>
              </w:rPr>
            </w:pPr>
          </w:p>
        </w:tc>
      </w:tr>
      <w:tr w:rsidR="00BF18CF" w14:paraId="56A1D211" w14:textId="77777777" w:rsidTr="00BF18CF">
        <w:tc>
          <w:tcPr>
            <w:tcW w:w="1882" w:type="dxa"/>
          </w:tcPr>
          <w:p w14:paraId="5BE4557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8" w:type="dxa"/>
          </w:tcPr>
          <w:p w14:paraId="61B0CC7D" w14:textId="77777777" w:rsidR="00BF18CF" w:rsidRDefault="00BF18CF">
            <w:pPr>
              <w:pBdr>
                <w:top w:val="nil"/>
                <w:left w:val="nil"/>
                <w:bottom w:val="nil"/>
                <w:right w:val="nil"/>
                <w:between w:val="nil"/>
              </w:pBdr>
              <w:spacing w:before="36" w:after="36"/>
              <w:rPr>
                <w:color w:val="000000"/>
              </w:rPr>
            </w:pPr>
          </w:p>
        </w:tc>
      </w:tr>
    </w:tbl>
    <w:p w14:paraId="1904BD48" w14:textId="77777777" w:rsidR="00BF18CF" w:rsidRDefault="00E51347">
      <w:pPr>
        <w:pStyle w:val="Heading3"/>
      </w:pPr>
      <w:bookmarkStart w:id="311" w:name="bookmark=id.3abhhcj" w:colFirst="0" w:colLast="0"/>
      <w:bookmarkStart w:id="312" w:name="_Toc144360899"/>
      <w:bookmarkEnd w:id="311"/>
      <w:r>
        <w:t>P26 a déplacé vers (a été la destination de)</w:t>
      </w:r>
      <w:bookmarkEnd w:id="312"/>
    </w:p>
    <w:tbl>
      <w:tblPr>
        <w:tblStyle w:val="a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07D73F92" w14:textId="77777777" w:rsidTr="00BF18CF">
        <w:tc>
          <w:tcPr>
            <w:tcW w:w="2097" w:type="dxa"/>
          </w:tcPr>
          <w:p w14:paraId="65DE243B"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1620EAAA" w14:textId="77777777" w:rsidR="00BF18CF" w:rsidRDefault="00E51347">
            <w:r>
              <w:rPr>
                <w:rFonts w:ascii="Consolas" w:eastAsia="Consolas" w:hAnsi="Consolas" w:cs="Consolas"/>
                <w:sz w:val="22"/>
                <w:szCs w:val="22"/>
                <w:shd w:val="clear" w:color="auto" w:fill="EAEEF3"/>
              </w:rPr>
              <w:t>E9_Déplacement</w:t>
            </w:r>
          </w:p>
        </w:tc>
      </w:tr>
      <w:tr w:rsidR="00BF18CF" w14:paraId="27B853FA" w14:textId="77777777" w:rsidTr="00BF18CF">
        <w:tc>
          <w:tcPr>
            <w:tcW w:w="2097" w:type="dxa"/>
          </w:tcPr>
          <w:p w14:paraId="67AE8646" w14:textId="77777777" w:rsidR="00BF18CF" w:rsidRDefault="00E51347">
            <w:pPr>
              <w:pBdr>
                <w:top w:val="nil"/>
                <w:left w:val="nil"/>
                <w:bottom w:val="nil"/>
                <w:right w:val="nil"/>
                <w:between w:val="nil"/>
              </w:pBdr>
              <w:spacing w:before="36" w:after="36"/>
              <w:rPr>
                <w:color w:val="000000"/>
              </w:rPr>
            </w:pPr>
            <w:r>
              <w:rPr>
                <w:b/>
                <w:color w:val="000000"/>
              </w:rPr>
              <w:lastRenderedPageBreak/>
              <w:t>Portée</w:t>
            </w:r>
          </w:p>
        </w:tc>
        <w:tc>
          <w:tcPr>
            <w:tcW w:w="8593" w:type="dxa"/>
          </w:tcPr>
          <w:p w14:paraId="2D621B26" w14:textId="77777777" w:rsidR="00BF18CF" w:rsidRDefault="00E51347">
            <w:r>
              <w:rPr>
                <w:rFonts w:ascii="Consolas" w:eastAsia="Consolas" w:hAnsi="Consolas" w:cs="Consolas"/>
                <w:sz w:val="22"/>
                <w:szCs w:val="22"/>
                <w:shd w:val="clear" w:color="auto" w:fill="EAEEF3"/>
              </w:rPr>
              <w:t>E53_Lieu</w:t>
            </w:r>
          </w:p>
        </w:tc>
      </w:tr>
      <w:tr w:rsidR="00BF18CF" w14:paraId="700F06C6" w14:textId="77777777" w:rsidTr="00BF18CF">
        <w:tc>
          <w:tcPr>
            <w:tcW w:w="2097" w:type="dxa"/>
          </w:tcPr>
          <w:p w14:paraId="657A691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241FB928" w14:textId="77777777" w:rsidR="00BF18CF" w:rsidRDefault="00BF18CF">
            <w:pPr>
              <w:pBdr>
                <w:top w:val="nil"/>
                <w:left w:val="nil"/>
                <w:bottom w:val="nil"/>
                <w:right w:val="nil"/>
                <w:between w:val="nil"/>
              </w:pBdr>
              <w:spacing w:before="36" w:after="36"/>
              <w:rPr>
                <w:color w:val="000000"/>
              </w:rPr>
            </w:pPr>
          </w:p>
        </w:tc>
      </w:tr>
      <w:tr w:rsidR="00BF18CF" w14:paraId="2001E45B" w14:textId="77777777" w:rsidTr="00BF18CF">
        <w:tc>
          <w:tcPr>
            <w:tcW w:w="2097" w:type="dxa"/>
          </w:tcPr>
          <w:p w14:paraId="0B83D291"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5B31C93C" w14:textId="77777777" w:rsidR="00BF18CF" w:rsidRDefault="00BF18CF">
            <w:pPr>
              <w:pBdr>
                <w:top w:val="nil"/>
                <w:left w:val="nil"/>
                <w:bottom w:val="nil"/>
                <w:right w:val="nil"/>
                <w:between w:val="nil"/>
              </w:pBdr>
              <w:spacing w:before="36" w:after="36"/>
              <w:rPr>
                <w:color w:val="000000"/>
              </w:rPr>
            </w:pPr>
          </w:p>
        </w:tc>
      </w:tr>
      <w:tr w:rsidR="00BF18CF" w14:paraId="3CA327AB" w14:textId="77777777" w:rsidTr="00BF18CF">
        <w:tc>
          <w:tcPr>
            <w:tcW w:w="2097" w:type="dxa"/>
          </w:tcPr>
          <w:p w14:paraId="03A23D9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0220BA99" w14:textId="77777777" w:rsidR="00BF18CF" w:rsidRDefault="00E51347">
            <w:proofErr w:type="gramStart"/>
            <w:r>
              <w:t>plusieurs</w:t>
            </w:r>
            <w:proofErr w:type="gramEnd"/>
            <w:r>
              <w:t xml:space="preserve"> à plusieurs, nécessaire (1,n:0,n)</w:t>
            </w:r>
          </w:p>
        </w:tc>
      </w:tr>
      <w:tr w:rsidR="00BF18CF" w14:paraId="5CC0CC5E" w14:textId="77777777" w:rsidTr="00BF18CF">
        <w:tc>
          <w:tcPr>
            <w:tcW w:w="2097" w:type="dxa"/>
          </w:tcPr>
          <w:p w14:paraId="5A35ABC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580BEE46" w14:textId="77777777" w:rsidR="00BF18CF" w:rsidRDefault="00E51347">
            <w:r>
              <w:t xml:space="preserve">Cette propriété identifie une destination, instance de </w:t>
            </w:r>
            <w:r>
              <w:rPr>
                <w:rFonts w:ascii="Consolas" w:eastAsia="Consolas" w:hAnsi="Consolas" w:cs="Consolas"/>
                <w:sz w:val="22"/>
                <w:szCs w:val="22"/>
                <w:shd w:val="clear" w:color="auto" w:fill="EAEEF3"/>
              </w:rPr>
              <w:t>E53_Lieu</w:t>
            </w:r>
            <w:r>
              <w:t xml:space="preserve">, d’une instance de </w:t>
            </w:r>
            <w:r>
              <w:rPr>
                <w:rFonts w:ascii="Consolas" w:eastAsia="Consolas" w:hAnsi="Consolas" w:cs="Consolas"/>
                <w:sz w:val="22"/>
                <w:szCs w:val="22"/>
                <w:shd w:val="clear" w:color="auto" w:fill="EAEEF3"/>
              </w:rPr>
              <w:t>E9_Déplacement</w:t>
            </w:r>
            <w:r>
              <w:t xml:space="preserve">. Un déplacement est lié à une destination, par exemple le déplacement d’un artefact depuis son lieu d’entreposage vers son lieu d’exposition. Un déplacement peut être lié à de nombreuses destinations, instances de </w:t>
            </w:r>
            <w:r>
              <w:rPr>
                <w:rFonts w:ascii="Consolas" w:eastAsia="Consolas" w:hAnsi="Consolas" w:cs="Consolas"/>
                <w:sz w:val="22"/>
                <w:szCs w:val="22"/>
                <w:shd w:val="clear" w:color="auto" w:fill="EAEEF3"/>
              </w:rPr>
              <w:t>E53_Lieu</w:t>
            </w:r>
            <w:r>
              <w:t xml:space="preserve">, par de multiples instances de cette propriété. Dans ce cas, le déplacement décrit la distribution d’un ensemble d’objets. L’étendue du déplacement inclut l’origine ou les origines, le trajet et la ou les destinations. Par conséquent, la destination décrite est une instance de </w:t>
            </w:r>
            <w:r>
              <w:rPr>
                <w:rFonts w:ascii="Consolas" w:eastAsia="Consolas" w:hAnsi="Consolas" w:cs="Consolas"/>
                <w:sz w:val="22"/>
                <w:szCs w:val="22"/>
                <w:shd w:val="clear" w:color="auto" w:fill="EAEEF3"/>
              </w:rPr>
              <w:t>E53_Lieu</w:t>
            </w:r>
            <w:r>
              <w:t xml:space="preserve"> qui s’insère dans (</w:t>
            </w:r>
            <w:r>
              <w:rPr>
                <w:rFonts w:ascii="Consolas" w:eastAsia="Consolas" w:hAnsi="Consolas" w:cs="Consolas"/>
                <w:sz w:val="22"/>
                <w:szCs w:val="22"/>
                <w:shd w:val="clear" w:color="auto" w:fill="EAEEF3"/>
              </w:rPr>
              <w:t>P89_s’insère_dans</w:t>
            </w:r>
            <w:r>
              <w:t xml:space="preserve">) l’instance de </w:t>
            </w:r>
            <w:r>
              <w:rPr>
                <w:rFonts w:ascii="Consolas" w:eastAsia="Consolas" w:hAnsi="Consolas" w:cs="Consolas"/>
                <w:sz w:val="22"/>
                <w:szCs w:val="22"/>
                <w:shd w:val="clear" w:color="auto" w:fill="EAEEF3"/>
              </w:rPr>
              <w:t>E53_Lieu</w:t>
            </w:r>
            <w:r>
              <w:t xml:space="preserve"> dans laquelle le déplacement a eu lieu (</w:t>
            </w:r>
            <w:r>
              <w:rPr>
                <w:rFonts w:ascii="Consolas" w:eastAsia="Consolas" w:hAnsi="Consolas" w:cs="Consolas"/>
                <w:sz w:val="22"/>
                <w:szCs w:val="22"/>
                <w:shd w:val="clear" w:color="auto" w:fill="EAEEF3"/>
              </w:rPr>
              <w:t>P7_a_eu_lieu_dans</w:t>
            </w:r>
            <w:r>
              <w:t>).</w:t>
            </w:r>
          </w:p>
        </w:tc>
      </w:tr>
      <w:tr w:rsidR="00BF18CF" w14:paraId="0A9A6398" w14:textId="77777777" w:rsidTr="00BF18CF">
        <w:tc>
          <w:tcPr>
            <w:tcW w:w="2097" w:type="dxa"/>
          </w:tcPr>
          <w:p w14:paraId="6B6D234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3" w:type="dxa"/>
          </w:tcPr>
          <w:p w14:paraId="54EFB25C" w14:textId="77777777" w:rsidR="00BF18CF" w:rsidRDefault="00E51347">
            <w:pPr>
              <w:numPr>
                <w:ilvl w:val="0"/>
                <w:numId w:val="19"/>
              </w:numPr>
            </w:pPr>
            <w:r>
              <w:t>Le déplacement de l’exposition « Toutânkhamon, le trésor du Pharaon » entre le 15 septembre et le 2 novembre 2019 (</w:t>
            </w:r>
            <w:r>
              <w:rPr>
                <w:rFonts w:ascii="Consolas" w:eastAsia="Consolas" w:hAnsi="Consolas" w:cs="Consolas"/>
                <w:sz w:val="22"/>
                <w:szCs w:val="22"/>
                <w:shd w:val="clear" w:color="auto" w:fill="EAEEF3"/>
              </w:rPr>
              <w:t>E9_Déplacement</w:t>
            </w:r>
            <w:r>
              <w:t>) a déplacé vers (</w:t>
            </w:r>
            <w:r>
              <w:rPr>
                <w:rFonts w:ascii="Consolas" w:eastAsia="Consolas" w:hAnsi="Consolas" w:cs="Consolas"/>
                <w:sz w:val="22"/>
                <w:szCs w:val="22"/>
                <w:shd w:val="clear" w:color="auto" w:fill="EAEEF3"/>
              </w:rPr>
              <w:t>P26_a_déplacé_vers</w:t>
            </w:r>
            <w:r>
              <w:t>) la galerie Saatchi à Londres (</w:t>
            </w:r>
            <w:r>
              <w:rPr>
                <w:rFonts w:ascii="Consolas" w:eastAsia="Consolas" w:hAnsi="Consolas" w:cs="Consolas"/>
                <w:sz w:val="22"/>
                <w:szCs w:val="22"/>
                <w:shd w:val="clear" w:color="auto" w:fill="EAEEF3"/>
              </w:rPr>
              <w:t>E53_Lieu</w:t>
            </w:r>
            <w:r>
              <w:t>) les objets concernés.</w:t>
            </w:r>
          </w:p>
        </w:tc>
      </w:tr>
      <w:tr w:rsidR="00BF18CF" w14:paraId="4C869227" w14:textId="77777777" w:rsidTr="00BF18CF">
        <w:tc>
          <w:tcPr>
            <w:tcW w:w="2097" w:type="dxa"/>
          </w:tcPr>
          <w:p w14:paraId="5FEB6E7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65F9F0E5" w14:textId="77777777" w:rsidR="00BF18CF" w:rsidRDefault="00E51347">
            <w:r>
              <w:t>P26(</w:t>
            </w:r>
            <w:proofErr w:type="gramStart"/>
            <w:r>
              <w:t>x,y</w:t>
            </w:r>
            <w:proofErr w:type="gramEnd"/>
            <w:r>
              <w:t>) ⇒ E9(x)</w:t>
            </w:r>
          </w:p>
          <w:p w14:paraId="409B7255" w14:textId="77777777" w:rsidR="00BF18CF" w:rsidRDefault="00E51347">
            <w:r>
              <w:t>P26(</w:t>
            </w:r>
            <w:proofErr w:type="gramStart"/>
            <w:r>
              <w:t>x,y</w:t>
            </w:r>
            <w:proofErr w:type="gramEnd"/>
            <w:r>
              <w:t>) ⇒ E53(y)</w:t>
            </w:r>
          </w:p>
          <w:p w14:paraId="267E0B5C" w14:textId="77777777" w:rsidR="00BF18CF" w:rsidRDefault="00E51347">
            <w:r>
              <w:t>P26(</w:t>
            </w:r>
            <w:proofErr w:type="gramStart"/>
            <w:r>
              <w:t>x,y</w:t>
            </w:r>
            <w:proofErr w:type="gramEnd"/>
            <w:r>
              <w:t>) ⇒ (∃z) [ E53(z) ∧ P7(x,z) ∧ P89(y,z) ]</w:t>
            </w:r>
          </w:p>
        </w:tc>
      </w:tr>
      <w:tr w:rsidR="00BF18CF" w14:paraId="1FB46351" w14:textId="77777777" w:rsidTr="00BF18CF">
        <w:tc>
          <w:tcPr>
            <w:tcW w:w="2097" w:type="dxa"/>
          </w:tcPr>
          <w:p w14:paraId="61A1B1D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132F7BFD" w14:textId="77777777" w:rsidR="00BF18CF" w:rsidRDefault="00BF18CF">
            <w:pPr>
              <w:pBdr>
                <w:top w:val="nil"/>
                <w:left w:val="nil"/>
                <w:bottom w:val="nil"/>
                <w:right w:val="nil"/>
                <w:between w:val="nil"/>
              </w:pBdr>
              <w:spacing w:before="36" w:after="36"/>
              <w:rPr>
                <w:color w:val="000000"/>
              </w:rPr>
            </w:pPr>
          </w:p>
        </w:tc>
      </w:tr>
      <w:tr w:rsidR="00BF18CF" w14:paraId="5B30EF94" w14:textId="77777777" w:rsidTr="00BF18CF">
        <w:tc>
          <w:tcPr>
            <w:tcW w:w="2097" w:type="dxa"/>
          </w:tcPr>
          <w:p w14:paraId="6652DC10" w14:textId="3057D5B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13D13026" w14:textId="77777777" w:rsidR="00BF18CF" w:rsidRDefault="00BF18CF">
            <w:pPr>
              <w:pBdr>
                <w:top w:val="nil"/>
                <w:left w:val="nil"/>
                <w:bottom w:val="nil"/>
                <w:right w:val="nil"/>
                <w:between w:val="nil"/>
              </w:pBdr>
              <w:spacing w:before="36" w:after="36"/>
              <w:rPr>
                <w:color w:val="000000"/>
              </w:rPr>
            </w:pPr>
          </w:p>
        </w:tc>
      </w:tr>
      <w:tr w:rsidR="00BF18CF" w14:paraId="74BB9D2D" w14:textId="77777777" w:rsidTr="00BF18CF">
        <w:tc>
          <w:tcPr>
            <w:tcW w:w="2097" w:type="dxa"/>
          </w:tcPr>
          <w:p w14:paraId="7F63EF6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37E55A07" w14:textId="77777777" w:rsidR="00BF18CF" w:rsidRDefault="00E51347">
            <w:r>
              <w:t xml:space="preserve">Wikipédia. « Expositions des vestiges archéologiques provenant de la tombe de Toutânkhamon ». Dans </w:t>
            </w:r>
            <w:r>
              <w:rPr>
                <w:i/>
              </w:rPr>
              <w:t>Wikipédia</w:t>
            </w:r>
            <w:r>
              <w:t>. San Francisco, US-CA: Wikipédia, 30 janvier 2021.</w:t>
            </w:r>
            <w:hyperlink r:id="rId406">
              <w:r>
                <w:rPr>
                  <w:color w:val="4F81BD"/>
                </w:rPr>
                <w:t xml:space="preserve"> https://fr.wikipedia.org/w/index.php?title=Expositions_des_vestiges_arch%C3%A9ologiques_provenant_de_la_tombe_de_Tout%C3%A2nkhamon&amp;oldid=179392035</w:t>
              </w:r>
            </w:hyperlink>
            <w:r>
              <w:t>.</w:t>
            </w:r>
          </w:p>
        </w:tc>
      </w:tr>
    </w:tbl>
    <w:p w14:paraId="5C89B0FF" w14:textId="77777777" w:rsidR="00BF18CF" w:rsidRDefault="00E51347">
      <w:pPr>
        <w:pStyle w:val="Heading3"/>
      </w:pPr>
      <w:bookmarkStart w:id="313" w:name="bookmark=id.1pgrrkc" w:colFirst="0" w:colLast="0"/>
      <w:bookmarkStart w:id="314" w:name="_Toc144360900"/>
      <w:bookmarkEnd w:id="313"/>
      <w:r>
        <w:t>P27 a déplacé depuis (a été le point de départ de)</w:t>
      </w:r>
      <w:bookmarkEnd w:id="314"/>
    </w:p>
    <w:tbl>
      <w:tblPr>
        <w:tblStyle w:val="af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59CDD01A" w14:textId="77777777" w:rsidTr="00BF18CF">
        <w:tc>
          <w:tcPr>
            <w:tcW w:w="2097" w:type="dxa"/>
          </w:tcPr>
          <w:p w14:paraId="295804F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30C3923C" w14:textId="77777777" w:rsidR="00BF18CF" w:rsidRDefault="00E51347">
            <w:r>
              <w:rPr>
                <w:rFonts w:ascii="Consolas" w:eastAsia="Consolas" w:hAnsi="Consolas" w:cs="Consolas"/>
                <w:sz w:val="22"/>
                <w:szCs w:val="22"/>
                <w:shd w:val="clear" w:color="auto" w:fill="EAEEF3"/>
              </w:rPr>
              <w:t>E9_Déplacement</w:t>
            </w:r>
          </w:p>
        </w:tc>
      </w:tr>
      <w:tr w:rsidR="00BF18CF" w14:paraId="0911AC57" w14:textId="77777777" w:rsidTr="00BF18CF">
        <w:tc>
          <w:tcPr>
            <w:tcW w:w="2097" w:type="dxa"/>
          </w:tcPr>
          <w:p w14:paraId="47B55A2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13504271" w14:textId="77777777" w:rsidR="00BF18CF" w:rsidRDefault="00E51347">
            <w:r>
              <w:rPr>
                <w:rFonts w:ascii="Consolas" w:eastAsia="Consolas" w:hAnsi="Consolas" w:cs="Consolas"/>
                <w:sz w:val="22"/>
                <w:szCs w:val="22"/>
                <w:shd w:val="clear" w:color="auto" w:fill="EAEEF3"/>
              </w:rPr>
              <w:t>E53_Lieu</w:t>
            </w:r>
          </w:p>
        </w:tc>
      </w:tr>
      <w:tr w:rsidR="00BF18CF" w14:paraId="54F9DD05" w14:textId="77777777" w:rsidTr="00BF18CF">
        <w:tc>
          <w:tcPr>
            <w:tcW w:w="2097" w:type="dxa"/>
          </w:tcPr>
          <w:p w14:paraId="060D3D6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44FA64CD" w14:textId="77777777" w:rsidR="00BF18CF" w:rsidRDefault="00BF18CF">
            <w:pPr>
              <w:pBdr>
                <w:top w:val="nil"/>
                <w:left w:val="nil"/>
                <w:bottom w:val="nil"/>
                <w:right w:val="nil"/>
                <w:between w:val="nil"/>
              </w:pBdr>
              <w:spacing w:before="36" w:after="36"/>
              <w:rPr>
                <w:color w:val="000000"/>
              </w:rPr>
            </w:pPr>
          </w:p>
        </w:tc>
      </w:tr>
      <w:tr w:rsidR="00BF18CF" w14:paraId="35F66205" w14:textId="77777777" w:rsidTr="00BF18CF">
        <w:tc>
          <w:tcPr>
            <w:tcW w:w="2097" w:type="dxa"/>
          </w:tcPr>
          <w:p w14:paraId="10A0ECC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08A8273F" w14:textId="77777777" w:rsidR="00BF18CF" w:rsidRDefault="00BF18CF">
            <w:pPr>
              <w:pBdr>
                <w:top w:val="nil"/>
                <w:left w:val="nil"/>
                <w:bottom w:val="nil"/>
                <w:right w:val="nil"/>
                <w:between w:val="nil"/>
              </w:pBdr>
              <w:spacing w:before="36" w:after="36"/>
              <w:rPr>
                <w:color w:val="000000"/>
              </w:rPr>
            </w:pPr>
          </w:p>
        </w:tc>
      </w:tr>
      <w:tr w:rsidR="00BF18CF" w14:paraId="4CDE72E8" w14:textId="77777777" w:rsidTr="00BF18CF">
        <w:tc>
          <w:tcPr>
            <w:tcW w:w="2097" w:type="dxa"/>
          </w:tcPr>
          <w:p w14:paraId="481B3441"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593" w:type="dxa"/>
          </w:tcPr>
          <w:p w14:paraId="56B084AB" w14:textId="77777777" w:rsidR="00BF18CF" w:rsidRDefault="00E51347">
            <w:proofErr w:type="gramStart"/>
            <w:r>
              <w:t>plusieurs</w:t>
            </w:r>
            <w:proofErr w:type="gramEnd"/>
            <w:r>
              <w:t xml:space="preserve"> à plusieurs, nécessaire (1,n:0,n)</w:t>
            </w:r>
          </w:p>
        </w:tc>
      </w:tr>
      <w:tr w:rsidR="00BF18CF" w14:paraId="3D99A993" w14:textId="77777777" w:rsidTr="00BF18CF">
        <w:tc>
          <w:tcPr>
            <w:tcW w:w="2097" w:type="dxa"/>
          </w:tcPr>
          <w:p w14:paraId="0CEAFF8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2E58CDCF" w14:textId="77777777" w:rsidR="00BF18CF" w:rsidRDefault="00E51347">
            <w:r>
              <w:t xml:space="preserve">Cette propriété identifie une origine, qui est une instance de </w:t>
            </w:r>
            <w:r>
              <w:rPr>
                <w:rFonts w:ascii="Consolas" w:eastAsia="Consolas" w:hAnsi="Consolas" w:cs="Consolas"/>
                <w:sz w:val="22"/>
                <w:szCs w:val="22"/>
                <w:shd w:val="clear" w:color="auto" w:fill="EAEEF3"/>
              </w:rPr>
              <w:t>E53_Lieu</w:t>
            </w:r>
            <w:r>
              <w:t xml:space="preserve">, d’une instance de </w:t>
            </w:r>
            <w:r>
              <w:rPr>
                <w:rFonts w:ascii="Consolas" w:eastAsia="Consolas" w:hAnsi="Consolas" w:cs="Consolas"/>
                <w:sz w:val="22"/>
                <w:szCs w:val="22"/>
                <w:shd w:val="clear" w:color="auto" w:fill="EAEEF3"/>
              </w:rPr>
              <w:t>E9_Déplacement</w:t>
            </w:r>
            <w:r>
              <w:t>.</w:t>
            </w:r>
          </w:p>
          <w:p w14:paraId="1FDC3ECA" w14:textId="77777777" w:rsidR="00BF18CF" w:rsidRDefault="00E51347">
            <w:r>
              <w:t xml:space="preserve">Un déplacement est lié à une origine, par exemple le déplacement d’un artefact depuis son espace d'entreposage vers son lieu d'exposition. Un déplacement peut être lié à de nombreuses instances de </w:t>
            </w:r>
            <w:r>
              <w:rPr>
                <w:rFonts w:ascii="Consolas" w:eastAsia="Consolas" w:hAnsi="Consolas" w:cs="Consolas"/>
                <w:sz w:val="22"/>
                <w:szCs w:val="22"/>
                <w:shd w:val="clear" w:color="auto" w:fill="EAEEF3"/>
              </w:rPr>
              <w:t>E53_Lieu</w:t>
            </w:r>
            <w:r>
              <w:t xml:space="preserve"> de départ par de multiples occurrences de cette propriété. Dans ce cas, le déplacement décrit le ramassage d’un ensemble d’objets. L'étendue du déplacement inclut l’origine ou les origines, le trajet et la ou les destinations.</w:t>
            </w:r>
          </w:p>
          <w:p w14:paraId="5F6194E3" w14:textId="77777777" w:rsidR="00BF18CF" w:rsidRDefault="00E51347">
            <w:r>
              <w:t xml:space="preserve">Par conséquent, l’origine décrite est une instance de </w:t>
            </w:r>
            <w:r>
              <w:rPr>
                <w:rFonts w:ascii="Consolas" w:eastAsia="Consolas" w:hAnsi="Consolas" w:cs="Consolas"/>
                <w:sz w:val="22"/>
                <w:szCs w:val="22"/>
                <w:shd w:val="clear" w:color="auto" w:fill="EAEEF3"/>
              </w:rPr>
              <w:t>E53_Lieu</w:t>
            </w:r>
            <w:r>
              <w:t xml:space="preserve"> qui s’insère dans (</w:t>
            </w:r>
            <w:r>
              <w:rPr>
                <w:rFonts w:ascii="Consolas" w:eastAsia="Consolas" w:hAnsi="Consolas" w:cs="Consolas"/>
                <w:sz w:val="22"/>
                <w:szCs w:val="22"/>
                <w:shd w:val="clear" w:color="auto" w:fill="EAEEF3"/>
              </w:rPr>
              <w:t>P89_s’insère_dans</w:t>
            </w:r>
            <w:r>
              <w:t xml:space="preserve">) l’instance de </w:t>
            </w:r>
            <w:r>
              <w:rPr>
                <w:rFonts w:ascii="Consolas" w:eastAsia="Consolas" w:hAnsi="Consolas" w:cs="Consolas"/>
                <w:sz w:val="22"/>
                <w:szCs w:val="22"/>
                <w:shd w:val="clear" w:color="auto" w:fill="EAEEF3"/>
              </w:rPr>
              <w:t>E53_Lieu</w:t>
            </w:r>
            <w:r>
              <w:t xml:space="preserve"> dans laquelle le déplacement a eu lieu (</w:t>
            </w:r>
            <w:r>
              <w:rPr>
                <w:rFonts w:ascii="Consolas" w:eastAsia="Consolas" w:hAnsi="Consolas" w:cs="Consolas"/>
                <w:sz w:val="22"/>
                <w:szCs w:val="22"/>
                <w:shd w:val="clear" w:color="auto" w:fill="EAEEF3"/>
              </w:rPr>
              <w:t>P7_a_eu_lieu_dans</w:t>
            </w:r>
            <w:r>
              <w:t>).</w:t>
            </w:r>
          </w:p>
        </w:tc>
      </w:tr>
      <w:tr w:rsidR="00BF18CF" w14:paraId="3F2EBACB" w14:textId="77777777" w:rsidTr="00BF18CF">
        <w:tc>
          <w:tcPr>
            <w:tcW w:w="2097" w:type="dxa"/>
          </w:tcPr>
          <w:p w14:paraId="4B0B2F7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3" w:type="dxa"/>
          </w:tcPr>
          <w:p w14:paraId="0728B184" w14:textId="77777777" w:rsidR="00BF18CF" w:rsidRDefault="00E51347">
            <w:pPr>
              <w:numPr>
                <w:ilvl w:val="0"/>
                <w:numId w:val="19"/>
              </w:numPr>
            </w:pPr>
            <w:r>
              <w:t>Le déplacement de l’exposition « Toutânkhamon, le trésor du Pharaon » entre le 15 septembre et le 2 novembre 2019 (</w:t>
            </w:r>
            <w:r>
              <w:rPr>
                <w:rFonts w:ascii="Consolas" w:eastAsia="Consolas" w:hAnsi="Consolas" w:cs="Consolas"/>
                <w:sz w:val="22"/>
                <w:szCs w:val="22"/>
                <w:shd w:val="clear" w:color="auto" w:fill="EAEEF3"/>
              </w:rPr>
              <w:t>E9_Déplacement</w:t>
            </w:r>
            <w:r>
              <w:t>) a déplacé depuis (</w:t>
            </w:r>
            <w:r>
              <w:rPr>
                <w:rFonts w:ascii="Consolas" w:eastAsia="Consolas" w:hAnsi="Consolas" w:cs="Consolas"/>
                <w:sz w:val="22"/>
                <w:szCs w:val="22"/>
                <w:shd w:val="clear" w:color="auto" w:fill="EAEEF3"/>
              </w:rPr>
              <w:t>P27_a_déplacé_depuis</w:t>
            </w:r>
            <w:r>
              <w:t>) la Grande Halle de la Villette à Paris (</w:t>
            </w:r>
            <w:r>
              <w:rPr>
                <w:rFonts w:ascii="Consolas" w:eastAsia="Consolas" w:hAnsi="Consolas" w:cs="Consolas"/>
                <w:sz w:val="22"/>
                <w:szCs w:val="22"/>
                <w:shd w:val="clear" w:color="auto" w:fill="EAEEF3"/>
              </w:rPr>
              <w:t>E53_Lieu</w:t>
            </w:r>
            <w:r>
              <w:t>) les objets concernés.</w:t>
            </w:r>
          </w:p>
        </w:tc>
      </w:tr>
      <w:tr w:rsidR="00BF18CF" w14:paraId="553323C2" w14:textId="77777777" w:rsidTr="00BF18CF">
        <w:tc>
          <w:tcPr>
            <w:tcW w:w="2097" w:type="dxa"/>
          </w:tcPr>
          <w:p w14:paraId="7EC0CD2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458BD924" w14:textId="77777777" w:rsidR="00BF18CF" w:rsidRDefault="00E51347">
            <w:r>
              <w:t>P27(</w:t>
            </w:r>
            <w:proofErr w:type="gramStart"/>
            <w:r>
              <w:t>x,y</w:t>
            </w:r>
            <w:proofErr w:type="gramEnd"/>
            <w:r>
              <w:t>) ⇒ E9(x)</w:t>
            </w:r>
          </w:p>
          <w:p w14:paraId="211610EC" w14:textId="77777777" w:rsidR="00BF18CF" w:rsidRDefault="00E51347">
            <w:r>
              <w:t>P27(</w:t>
            </w:r>
            <w:proofErr w:type="gramStart"/>
            <w:r>
              <w:t>x,y</w:t>
            </w:r>
            <w:proofErr w:type="gramEnd"/>
            <w:r>
              <w:t>) ⇒ E53(y)</w:t>
            </w:r>
          </w:p>
          <w:p w14:paraId="6693F537" w14:textId="77777777" w:rsidR="00BF18CF" w:rsidRDefault="00E51347">
            <w:r>
              <w:t>P27(</w:t>
            </w:r>
            <w:proofErr w:type="gramStart"/>
            <w:r>
              <w:t>x,y</w:t>
            </w:r>
            <w:proofErr w:type="gramEnd"/>
            <w:r>
              <w:t>) ⇒ (∃z)[ E53(z) ∧ P7(x,z) ∧ P89(y,z)]</w:t>
            </w:r>
          </w:p>
        </w:tc>
      </w:tr>
      <w:tr w:rsidR="00BF18CF" w14:paraId="1A2C854F" w14:textId="77777777" w:rsidTr="00BF18CF">
        <w:tc>
          <w:tcPr>
            <w:tcW w:w="2097" w:type="dxa"/>
          </w:tcPr>
          <w:p w14:paraId="25EFAF1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771C77CA" w14:textId="77777777" w:rsidR="00BF18CF" w:rsidRDefault="00BF18CF">
            <w:pPr>
              <w:pBdr>
                <w:top w:val="nil"/>
                <w:left w:val="nil"/>
                <w:bottom w:val="nil"/>
                <w:right w:val="nil"/>
                <w:between w:val="nil"/>
              </w:pBdr>
              <w:spacing w:before="36" w:after="36"/>
              <w:rPr>
                <w:color w:val="000000"/>
              </w:rPr>
            </w:pPr>
          </w:p>
        </w:tc>
      </w:tr>
      <w:tr w:rsidR="00BF18CF" w14:paraId="4D777F16" w14:textId="77777777" w:rsidTr="00BF18CF">
        <w:tc>
          <w:tcPr>
            <w:tcW w:w="2097" w:type="dxa"/>
          </w:tcPr>
          <w:p w14:paraId="3902E42B" w14:textId="42EFF69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3EF80F80" w14:textId="77777777" w:rsidR="00BF18CF" w:rsidRDefault="00E51347">
            <w:r>
              <w:t>Dans Wikipédia, l’exposition « Tutankhamun: Treasures of the Golden Pharaoh » a été traduite en français par « Trésors du pharaon d’or ».</w:t>
            </w:r>
          </w:p>
        </w:tc>
      </w:tr>
      <w:tr w:rsidR="00BF18CF" w14:paraId="137B4684" w14:textId="77777777" w:rsidTr="00BF18CF">
        <w:tc>
          <w:tcPr>
            <w:tcW w:w="2097" w:type="dxa"/>
          </w:tcPr>
          <w:p w14:paraId="7C5343C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215D4DB8" w14:textId="77777777" w:rsidR="00BF18CF" w:rsidRDefault="00E51347">
            <w:r>
              <w:t xml:space="preserve">Wikipédia. « Expositions des vestiges archéologiques provenant de la tombe de Toutânkhamon ». Dans </w:t>
            </w:r>
            <w:r>
              <w:rPr>
                <w:i/>
              </w:rPr>
              <w:t>Wikipédia</w:t>
            </w:r>
            <w:r>
              <w:t>. San Francisco, US-CA: Wikipédia, 30 janvier 2021.</w:t>
            </w:r>
            <w:hyperlink r:id="rId407">
              <w:r>
                <w:rPr>
                  <w:color w:val="4F81BD"/>
                </w:rPr>
                <w:t xml:space="preserve"> https://fr.wikipedia.org/w/index.php?title=Expositions_des_vestiges_arch%C3%A9ologiques_provenant_de_la_tombe_de_Tout%C3%A2nkhamon&amp;oldid=179392035</w:t>
              </w:r>
            </w:hyperlink>
            <w:r>
              <w:t>.</w:t>
            </w:r>
          </w:p>
        </w:tc>
      </w:tr>
    </w:tbl>
    <w:p w14:paraId="7B4CF20B" w14:textId="77777777" w:rsidR="00BF18CF" w:rsidRDefault="00E51347">
      <w:pPr>
        <w:pStyle w:val="Heading3"/>
      </w:pPr>
      <w:bookmarkStart w:id="315" w:name="bookmark=id.49gfa85" w:colFirst="0" w:colLast="0"/>
      <w:bookmarkStart w:id="316" w:name="_Toc144360901"/>
      <w:bookmarkEnd w:id="315"/>
      <w:r>
        <w:t>P28 a mis fin à la garde par (a cédé la garde par)</w:t>
      </w:r>
      <w:bookmarkEnd w:id="316"/>
    </w:p>
    <w:tbl>
      <w:tblPr>
        <w:tblStyle w:val="af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8"/>
        <w:gridCol w:w="8792"/>
      </w:tblGrid>
      <w:tr w:rsidR="00BF18CF" w14:paraId="5E00A1F0" w14:textId="77777777" w:rsidTr="00BF18CF">
        <w:tc>
          <w:tcPr>
            <w:tcW w:w="1898" w:type="dxa"/>
          </w:tcPr>
          <w:p w14:paraId="51EE83C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2" w:type="dxa"/>
          </w:tcPr>
          <w:p w14:paraId="46419BBE" w14:textId="77777777" w:rsidR="00BF18CF" w:rsidRDefault="00E51347">
            <w:r>
              <w:rPr>
                <w:rFonts w:ascii="Consolas" w:eastAsia="Consolas" w:hAnsi="Consolas" w:cs="Consolas"/>
                <w:sz w:val="22"/>
                <w:szCs w:val="22"/>
                <w:shd w:val="clear" w:color="auto" w:fill="EAEEF3"/>
              </w:rPr>
              <w:t>E10_Transfert_de_la_garde</w:t>
            </w:r>
          </w:p>
        </w:tc>
      </w:tr>
      <w:tr w:rsidR="00BF18CF" w14:paraId="73185D1E" w14:textId="77777777" w:rsidTr="00BF18CF">
        <w:tc>
          <w:tcPr>
            <w:tcW w:w="1898" w:type="dxa"/>
          </w:tcPr>
          <w:p w14:paraId="59514CD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2" w:type="dxa"/>
          </w:tcPr>
          <w:p w14:paraId="1EFD3649" w14:textId="77777777" w:rsidR="00BF18CF" w:rsidRDefault="00E51347">
            <w:r>
              <w:rPr>
                <w:rFonts w:ascii="Consolas" w:eastAsia="Consolas" w:hAnsi="Consolas" w:cs="Consolas"/>
                <w:sz w:val="22"/>
                <w:szCs w:val="22"/>
                <w:shd w:val="clear" w:color="auto" w:fill="EAEEF3"/>
              </w:rPr>
              <w:t>E39_Actant</w:t>
            </w:r>
          </w:p>
        </w:tc>
      </w:tr>
      <w:tr w:rsidR="00BF18CF" w14:paraId="0C4C26FC" w14:textId="77777777" w:rsidTr="00BF18CF">
        <w:tc>
          <w:tcPr>
            <w:tcW w:w="1898" w:type="dxa"/>
          </w:tcPr>
          <w:p w14:paraId="08B9367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2" w:type="dxa"/>
          </w:tcPr>
          <w:p w14:paraId="446C5D82"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P14_a_été_effectué_par (a_effectué)</w:t>
            </w:r>
            <w:r>
              <w:t xml:space="preserve"> : </w:t>
            </w:r>
            <w:r>
              <w:rPr>
                <w:rFonts w:ascii="Consolas" w:eastAsia="Consolas" w:hAnsi="Consolas" w:cs="Consolas"/>
                <w:sz w:val="22"/>
                <w:szCs w:val="22"/>
                <w:shd w:val="clear" w:color="auto" w:fill="EAEEF3"/>
              </w:rPr>
              <w:t>E39_Actant</w:t>
            </w:r>
          </w:p>
        </w:tc>
      </w:tr>
      <w:tr w:rsidR="00BF18CF" w14:paraId="27A36210" w14:textId="77777777" w:rsidTr="00BF18CF">
        <w:tc>
          <w:tcPr>
            <w:tcW w:w="1898" w:type="dxa"/>
          </w:tcPr>
          <w:p w14:paraId="6080547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2" w:type="dxa"/>
          </w:tcPr>
          <w:p w14:paraId="3634EE36" w14:textId="77777777" w:rsidR="00BF18CF" w:rsidRDefault="00BF18CF">
            <w:pPr>
              <w:pBdr>
                <w:top w:val="nil"/>
                <w:left w:val="nil"/>
                <w:bottom w:val="nil"/>
                <w:right w:val="nil"/>
                <w:between w:val="nil"/>
              </w:pBdr>
              <w:spacing w:before="36" w:after="36"/>
              <w:rPr>
                <w:color w:val="000000"/>
              </w:rPr>
            </w:pPr>
          </w:p>
        </w:tc>
      </w:tr>
      <w:tr w:rsidR="00BF18CF" w14:paraId="192A1A4A" w14:textId="77777777" w:rsidTr="00BF18CF">
        <w:tc>
          <w:tcPr>
            <w:tcW w:w="1898" w:type="dxa"/>
          </w:tcPr>
          <w:p w14:paraId="41F5CE7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2" w:type="dxa"/>
          </w:tcPr>
          <w:p w14:paraId="0DFF609D" w14:textId="77777777" w:rsidR="00BF18CF" w:rsidRDefault="00E51347">
            <w:proofErr w:type="gramStart"/>
            <w:r>
              <w:t>plusieurs</w:t>
            </w:r>
            <w:proofErr w:type="gramEnd"/>
            <w:r>
              <w:t xml:space="preserve"> à plusieurs (0,n:0,n)</w:t>
            </w:r>
          </w:p>
        </w:tc>
      </w:tr>
      <w:tr w:rsidR="00BF18CF" w14:paraId="6032BF58" w14:textId="77777777" w:rsidTr="00BF18CF">
        <w:tc>
          <w:tcPr>
            <w:tcW w:w="1898" w:type="dxa"/>
          </w:tcPr>
          <w:p w14:paraId="7F3F45A5"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792" w:type="dxa"/>
          </w:tcPr>
          <w:p w14:paraId="395FD70F" w14:textId="77777777" w:rsidR="00BF18CF" w:rsidRDefault="00E51347">
            <w:r>
              <w:t xml:space="preserve">Cette propriété identifie la ou les instances de </w:t>
            </w:r>
            <w:r>
              <w:rPr>
                <w:rFonts w:ascii="Consolas" w:eastAsia="Consolas" w:hAnsi="Consolas" w:cs="Consolas"/>
                <w:sz w:val="22"/>
                <w:szCs w:val="22"/>
                <w:shd w:val="clear" w:color="auto" w:fill="EAEEF3"/>
              </w:rPr>
              <w:t>E39_Actant</w:t>
            </w:r>
            <w:r>
              <w:t xml:space="preserve"> qui cèdent la garde d’une instance de </w:t>
            </w:r>
            <w:r>
              <w:rPr>
                <w:rFonts w:ascii="Consolas" w:eastAsia="Consolas" w:hAnsi="Consolas" w:cs="Consolas"/>
                <w:sz w:val="22"/>
                <w:szCs w:val="22"/>
                <w:shd w:val="clear" w:color="auto" w:fill="EAEEF3"/>
              </w:rPr>
              <w:t>E18_Chose_matérielle</w:t>
            </w:r>
            <w:r>
              <w:t xml:space="preserve"> lors d’une instance de </w:t>
            </w:r>
            <w:r>
              <w:rPr>
                <w:rFonts w:ascii="Consolas" w:eastAsia="Consolas" w:hAnsi="Consolas" w:cs="Consolas"/>
                <w:sz w:val="22"/>
                <w:szCs w:val="22"/>
                <w:shd w:val="clear" w:color="auto" w:fill="EAEEF3"/>
              </w:rPr>
              <w:t>E10_Transfert_de_la_garde</w:t>
            </w:r>
            <w:r>
              <w:t>.</w:t>
            </w:r>
          </w:p>
          <w:p w14:paraId="2CCA27B4" w14:textId="77777777" w:rsidR="00BF18CF" w:rsidRDefault="00E51347">
            <w:r>
              <w:t xml:space="preserve">Généralement, la propriété </w:t>
            </w:r>
            <w:r>
              <w:rPr>
                <w:rFonts w:ascii="Consolas" w:eastAsia="Consolas" w:hAnsi="Consolas" w:cs="Consolas"/>
                <w:sz w:val="22"/>
                <w:szCs w:val="22"/>
                <w:shd w:val="clear" w:color="auto" w:fill="EAEEF3"/>
              </w:rPr>
              <w:t>P28_a_mis_fin_à_la_garde_par (a_cédé_la_garde_par)</w:t>
            </w:r>
            <w:r>
              <w:t xml:space="preserve"> décrit un actant cédant la garde d’un objet en le remettant aux soins d’un autre actant. Parfois, la garde physique peut être cédée de manière involontaire par le biais d’un accident, d’une perte ou d’un vol.</w:t>
            </w:r>
          </w:p>
          <w:p w14:paraId="6261E248" w14:textId="77777777" w:rsidR="00BF18CF" w:rsidRDefault="00E51347">
            <w:r>
              <w:t>Concrètement, la garde est soit transférée à un actant ou d’un actant, soit les deux.</w:t>
            </w:r>
          </w:p>
        </w:tc>
      </w:tr>
      <w:tr w:rsidR="00BF18CF" w14:paraId="2424CD3C" w14:textId="77777777" w:rsidTr="00BF18CF">
        <w:tc>
          <w:tcPr>
            <w:tcW w:w="1898" w:type="dxa"/>
          </w:tcPr>
          <w:p w14:paraId="15E36EF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2" w:type="dxa"/>
          </w:tcPr>
          <w:p w14:paraId="51256F1F" w14:textId="77777777" w:rsidR="00BF18CF" w:rsidRDefault="00E51347">
            <w:pPr>
              <w:numPr>
                <w:ilvl w:val="0"/>
                <w:numId w:val="19"/>
              </w:numPr>
            </w:pPr>
            <w:r>
              <w:t>L’équipe de Secure Deliveries Inc. (</w:t>
            </w:r>
            <w:r>
              <w:rPr>
                <w:rFonts w:ascii="Consolas" w:eastAsia="Consolas" w:hAnsi="Consolas" w:cs="Consolas"/>
                <w:sz w:val="22"/>
                <w:szCs w:val="22"/>
                <w:shd w:val="clear" w:color="auto" w:fill="EAEEF3"/>
              </w:rPr>
              <w:t>E74_Groupe</w:t>
            </w:r>
            <w:r>
              <w:t>) a cédé la garde par (</w:t>
            </w:r>
            <w:r>
              <w:rPr>
                <w:rFonts w:ascii="Consolas" w:eastAsia="Consolas" w:hAnsi="Consolas" w:cs="Consolas"/>
                <w:sz w:val="22"/>
                <w:szCs w:val="22"/>
                <w:shd w:val="clear" w:color="auto" w:fill="EAEEF3"/>
              </w:rPr>
              <w:t>P28i_a_cédé_la_garde_par</w:t>
            </w:r>
            <w:r>
              <w:t>) la livraison des œuvres peintes par Secure Deliveries Inc. à la National Gallery (</w:t>
            </w:r>
            <w:r>
              <w:rPr>
                <w:rFonts w:ascii="Consolas" w:eastAsia="Consolas" w:hAnsi="Consolas" w:cs="Consolas"/>
                <w:sz w:val="22"/>
                <w:szCs w:val="22"/>
                <w:shd w:val="clear" w:color="auto" w:fill="EAEEF3"/>
              </w:rPr>
              <w:t>E10_Transfert_de_la_garde</w:t>
            </w:r>
            <w:r>
              <w:t>)</w:t>
            </w:r>
          </w:p>
        </w:tc>
      </w:tr>
      <w:tr w:rsidR="00BF18CF" w14:paraId="63729228" w14:textId="77777777" w:rsidTr="00BF18CF">
        <w:tc>
          <w:tcPr>
            <w:tcW w:w="1898" w:type="dxa"/>
          </w:tcPr>
          <w:p w14:paraId="32E22986"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2" w:type="dxa"/>
          </w:tcPr>
          <w:p w14:paraId="295FD266" w14:textId="77777777" w:rsidR="00BF18CF" w:rsidRDefault="00E51347">
            <w:r>
              <w:t>P28(</w:t>
            </w:r>
            <w:proofErr w:type="gramStart"/>
            <w:r>
              <w:t>x,y</w:t>
            </w:r>
            <w:proofErr w:type="gramEnd"/>
            <w:r>
              <w:t>) ⇒ E10(x)</w:t>
            </w:r>
          </w:p>
          <w:p w14:paraId="5C1748ED" w14:textId="77777777" w:rsidR="00BF18CF" w:rsidRDefault="00E51347">
            <w:r>
              <w:t>P28(</w:t>
            </w:r>
            <w:proofErr w:type="gramStart"/>
            <w:r>
              <w:t>x,y</w:t>
            </w:r>
            <w:proofErr w:type="gramEnd"/>
            <w:r>
              <w:t>) ⇒ E39(y)</w:t>
            </w:r>
          </w:p>
          <w:p w14:paraId="04559CF2" w14:textId="77777777" w:rsidR="00BF18CF" w:rsidRDefault="00E51347">
            <w:r>
              <w:t>P28(</w:t>
            </w:r>
            <w:proofErr w:type="gramStart"/>
            <w:r>
              <w:t>x,y</w:t>
            </w:r>
            <w:proofErr w:type="gramEnd"/>
            <w:r>
              <w:t>) ⇒ P14(x,y)</w:t>
            </w:r>
          </w:p>
        </w:tc>
      </w:tr>
      <w:tr w:rsidR="00BF18CF" w14:paraId="3BEC7DEB" w14:textId="77777777" w:rsidTr="00BF18CF">
        <w:tc>
          <w:tcPr>
            <w:tcW w:w="1898" w:type="dxa"/>
          </w:tcPr>
          <w:p w14:paraId="3D5DE2B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2" w:type="dxa"/>
          </w:tcPr>
          <w:p w14:paraId="55D08789" w14:textId="77777777" w:rsidR="00BF18CF" w:rsidRDefault="00BF18CF">
            <w:pPr>
              <w:pBdr>
                <w:top w:val="nil"/>
                <w:left w:val="nil"/>
                <w:bottom w:val="nil"/>
                <w:right w:val="nil"/>
                <w:between w:val="nil"/>
              </w:pBdr>
              <w:spacing w:before="36" w:after="36"/>
              <w:rPr>
                <w:color w:val="000000"/>
              </w:rPr>
            </w:pPr>
          </w:p>
        </w:tc>
      </w:tr>
      <w:tr w:rsidR="00BF18CF" w14:paraId="0515997D" w14:textId="77777777" w:rsidTr="00BF18CF">
        <w:tc>
          <w:tcPr>
            <w:tcW w:w="1898" w:type="dxa"/>
          </w:tcPr>
          <w:p w14:paraId="7AA77077" w14:textId="257F1A6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2" w:type="dxa"/>
          </w:tcPr>
          <w:p w14:paraId="04928C1B" w14:textId="77777777" w:rsidR="00BF18CF" w:rsidRDefault="00BF18CF">
            <w:pPr>
              <w:pBdr>
                <w:top w:val="nil"/>
                <w:left w:val="nil"/>
                <w:bottom w:val="nil"/>
                <w:right w:val="nil"/>
                <w:between w:val="nil"/>
              </w:pBdr>
              <w:spacing w:before="36" w:after="36"/>
              <w:rPr>
                <w:color w:val="000000"/>
              </w:rPr>
            </w:pPr>
          </w:p>
        </w:tc>
      </w:tr>
      <w:tr w:rsidR="00BF18CF" w14:paraId="6AEDC728" w14:textId="77777777" w:rsidTr="00BF18CF">
        <w:tc>
          <w:tcPr>
            <w:tcW w:w="1898" w:type="dxa"/>
          </w:tcPr>
          <w:p w14:paraId="28AE144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2" w:type="dxa"/>
          </w:tcPr>
          <w:p w14:paraId="394D70D1" w14:textId="77777777" w:rsidR="00BF18CF" w:rsidRDefault="00BF18CF">
            <w:pPr>
              <w:pBdr>
                <w:top w:val="nil"/>
                <w:left w:val="nil"/>
                <w:bottom w:val="nil"/>
                <w:right w:val="nil"/>
                <w:between w:val="nil"/>
              </w:pBdr>
              <w:spacing w:before="36" w:after="36"/>
              <w:rPr>
                <w:color w:val="000000"/>
              </w:rPr>
            </w:pPr>
          </w:p>
        </w:tc>
      </w:tr>
    </w:tbl>
    <w:p w14:paraId="3EFE4371" w14:textId="77777777" w:rsidR="00BF18CF" w:rsidRDefault="00E51347">
      <w:pPr>
        <w:pStyle w:val="Heading3"/>
      </w:pPr>
      <w:bookmarkStart w:id="317" w:name="bookmark=id.2olpkfy" w:colFirst="0" w:colLast="0"/>
      <w:bookmarkStart w:id="318" w:name="_Toc144360902"/>
      <w:bookmarkEnd w:id="317"/>
      <w:r>
        <w:t>P29 a confié la garde par (a reçu la garde par)</w:t>
      </w:r>
      <w:bookmarkEnd w:id="318"/>
    </w:p>
    <w:tbl>
      <w:tblPr>
        <w:tblStyle w:val="aff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0"/>
        <w:gridCol w:w="8790"/>
      </w:tblGrid>
      <w:tr w:rsidR="00BF18CF" w14:paraId="29EFA522" w14:textId="77777777" w:rsidTr="00BF18CF">
        <w:tc>
          <w:tcPr>
            <w:tcW w:w="1900" w:type="dxa"/>
          </w:tcPr>
          <w:p w14:paraId="3B6E0DE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0" w:type="dxa"/>
          </w:tcPr>
          <w:p w14:paraId="08185E8B" w14:textId="77777777" w:rsidR="00BF18CF" w:rsidRDefault="00E51347">
            <w:r>
              <w:rPr>
                <w:rFonts w:ascii="Consolas" w:eastAsia="Consolas" w:hAnsi="Consolas" w:cs="Consolas"/>
                <w:sz w:val="22"/>
                <w:szCs w:val="22"/>
                <w:shd w:val="clear" w:color="auto" w:fill="EAEEF3"/>
              </w:rPr>
              <w:t>E10_Transfert_de_la_garde</w:t>
            </w:r>
          </w:p>
        </w:tc>
      </w:tr>
      <w:tr w:rsidR="00BF18CF" w14:paraId="72D43189" w14:textId="77777777" w:rsidTr="00BF18CF">
        <w:tc>
          <w:tcPr>
            <w:tcW w:w="1900" w:type="dxa"/>
          </w:tcPr>
          <w:p w14:paraId="699ECA6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0" w:type="dxa"/>
          </w:tcPr>
          <w:p w14:paraId="0BC72B48" w14:textId="77777777" w:rsidR="00BF18CF" w:rsidRDefault="00E51347">
            <w:r>
              <w:rPr>
                <w:rFonts w:ascii="Consolas" w:eastAsia="Consolas" w:hAnsi="Consolas" w:cs="Consolas"/>
                <w:sz w:val="22"/>
                <w:szCs w:val="22"/>
                <w:shd w:val="clear" w:color="auto" w:fill="EAEEF3"/>
              </w:rPr>
              <w:t>E39_Actant</w:t>
            </w:r>
          </w:p>
        </w:tc>
      </w:tr>
      <w:tr w:rsidR="00BF18CF" w14:paraId="1464A336" w14:textId="77777777" w:rsidTr="00BF18CF">
        <w:tc>
          <w:tcPr>
            <w:tcW w:w="1900" w:type="dxa"/>
          </w:tcPr>
          <w:p w14:paraId="517D4071"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0" w:type="dxa"/>
          </w:tcPr>
          <w:p w14:paraId="4D1E09A3"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P14_a_été_effectué_par (a_effectué)</w:t>
            </w:r>
            <w:r>
              <w:t xml:space="preserve"> : </w:t>
            </w:r>
            <w:r>
              <w:rPr>
                <w:rFonts w:ascii="Consolas" w:eastAsia="Consolas" w:hAnsi="Consolas" w:cs="Consolas"/>
                <w:sz w:val="22"/>
                <w:szCs w:val="22"/>
                <w:shd w:val="clear" w:color="auto" w:fill="EAEEF3"/>
              </w:rPr>
              <w:t>E39_Actant</w:t>
            </w:r>
          </w:p>
        </w:tc>
      </w:tr>
      <w:tr w:rsidR="00BF18CF" w14:paraId="5C35B6AD" w14:textId="77777777" w:rsidTr="00BF18CF">
        <w:tc>
          <w:tcPr>
            <w:tcW w:w="1900" w:type="dxa"/>
          </w:tcPr>
          <w:p w14:paraId="73D5FECB"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0" w:type="dxa"/>
          </w:tcPr>
          <w:p w14:paraId="739CAA14" w14:textId="77777777" w:rsidR="00BF18CF" w:rsidRDefault="00BF18CF">
            <w:pPr>
              <w:pBdr>
                <w:top w:val="nil"/>
                <w:left w:val="nil"/>
                <w:bottom w:val="nil"/>
                <w:right w:val="nil"/>
                <w:between w:val="nil"/>
              </w:pBdr>
              <w:spacing w:before="36" w:after="36"/>
              <w:rPr>
                <w:color w:val="000000"/>
              </w:rPr>
            </w:pPr>
          </w:p>
        </w:tc>
      </w:tr>
      <w:tr w:rsidR="00BF18CF" w14:paraId="4BA10FA3" w14:textId="77777777" w:rsidTr="00BF18CF">
        <w:tc>
          <w:tcPr>
            <w:tcW w:w="1900" w:type="dxa"/>
          </w:tcPr>
          <w:p w14:paraId="13ADFCF7"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0" w:type="dxa"/>
          </w:tcPr>
          <w:p w14:paraId="14CE5BB6" w14:textId="77777777" w:rsidR="00BF18CF" w:rsidRDefault="00E51347">
            <w:proofErr w:type="gramStart"/>
            <w:r>
              <w:t>plusieurs</w:t>
            </w:r>
            <w:proofErr w:type="gramEnd"/>
            <w:r>
              <w:t xml:space="preserve"> à plusieurs (0,n:0,n)</w:t>
            </w:r>
          </w:p>
        </w:tc>
      </w:tr>
      <w:tr w:rsidR="00BF18CF" w14:paraId="16E664B1" w14:textId="77777777" w:rsidTr="00BF18CF">
        <w:tc>
          <w:tcPr>
            <w:tcW w:w="1900" w:type="dxa"/>
          </w:tcPr>
          <w:p w14:paraId="7CE1B4B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0" w:type="dxa"/>
          </w:tcPr>
          <w:p w14:paraId="79DF65F0" w14:textId="77777777" w:rsidR="00BF18CF" w:rsidRDefault="00E51347">
            <w:r>
              <w:t xml:space="preserve">Cette propriété identifie la ou les instances de </w:t>
            </w:r>
            <w:r>
              <w:rPr>
                <w:rFonts w:ascii="Consolas" w:eastAsia="Consolas" w:hAnsi="Consolas" w:cs="Consolas"/>
                <w:sz w:val="22"/>
                <w:szCs w:val="22"/>
                <w:shd w:val="clear" w:color="auto" w:fill="EAEEF3"/>
              </w:rPr>
              <w:t>E39_Actant</w:t>
            </w:r>
            <w:r>
              <w:t xml:space="preserve"> qui reçoivent la garde d’une instance de </w:t>
            </w:r>
            <w:r>
              <w:rPr>
                <w:rFonts w:ascii="Consolas" w:eastAsia="Consolas" w:hAnsi="Consolas" w:cs="Consolas"/>
                <w:sz w:val="22"/>
                <w:szCs w:val="22"/>
                <w:shd w:val="clear" w:color="auto" w:fill="EAEEF3"/>
              </w:rPr>
              <w:t>E18_Chose_matérielle</w:t>
            </w:r>
            <w:r>
              <w:t xml:space="preserve"> lors d’une instance de </w:t>
            </w:r>
            <w:r>
              <w:rPr>
                <w:rFonts w:ascii="Consolas" w:eastAsia="Consolas" w:hAnsi="Consolas" w:cs="Consolas"/>
                <w:sz w:val="22"/>
                <w:szCs w:val="22"/>
                <w:shd w:val="clear" w:color="auto" w:fill="EAEEF3"/>
              </w:rPr>
              <w:t>E10_Transfert_de_la_garde</w:t>
            </w:r>
            <w:r>
              <w:t>.</w:t>
            </w:r>
          </w:p>
          <w:p w14:paraId="0A5699B5" w14:textId="77777777" w:rsidR="00BF18CF" w:rsidRDefault="00E51347">
            <w:r>
              <w:t>Cette propriété décrit typiquement des actants recevant la garde d’un objet confié par les soins d’un autre actant qui en avait la garde. Occasionnellement, une garde physique peut être reçue involontairement ou illégalement – à la suite d’un accident, d’un don non sollicité ou d’un vol.</w:t>
            </w:r>
          </w:p>
          <w:p w14:paraId="37536F6C" w14:textId="77777777" w:rsidR="00BF18CF" w:rsidRDefault="00E51347">
            <w:r>
              <w:t>Concrètement, la garde est soit transférée à un actant ou d’un actant, soit les deux.</w:t>
            </w:r>
          </w:p>
        </w:tc>
      </w:tr>
      <w:tr w:rsidR="00BF18CF" w14:paraId="038CE74B" w14:textId="77777777" w:rsidTr="00BF18CF">
        <w:tc>
          <w:tcPr>
            <w:tcW w:w="1900" w:type="dxa"/>
          </w:tcPr>
          <w:p w14:paraId="1FB1A7B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0" w:type="dxa"/>
          </w:tcPr>
          <w:p w14:paraId="7D7B7037" w14:textId="77777777" w:rsidR="00BF18CF" w:rsidRDefault="00E51347">
            <w:pPr>
              <w:numPr>
                <w:ilvl w:val="0"/>
                <w:numId w:val="19"/>
              </w:numPr>
            </w:pPr>
            <w:r>
              <w:t>Les représentants de la National Gallery (</w:t>
            </w:r>
            <w:r>
              <w:rPr>
                <w:rFonts w:ascii="Consolas" w:eastAsia="Consolas" w:hAnsi="Consolas" w:cs="Consolas"/>
                <w:sz w:val="22"/>
                <w:szCs w:val="22"/>
                <w:shd w:val="clear" w:color="auto" w:fill="EAEEF3"/>
              </w:rPr>
              <w:t>E74_Groupe</w:t>
            </w:r>
            <w:r>
              <w:t>) ont reçu la garde par (</w:t>
            </w:r>
            <w:r>
              <w:rPr>
                <w:rFonts w:ascii="Consolas" w:eastAsia="Consolas" w:hAnsi="Consolas" w:cs="Consolas"/>
                <w:sz w:val="22"/>
                <w:szCs w:val="22"/>
                <w:shd w:val="clear" w:color="auto" w:fill="EAEEF3"/>
              </w:rPr>
              <w:t>P29i_a_reçu_la_garde_par</w:t>
            </w:r>
            <w:r>
              <w:t>) la remise des œuvres peintes par Secure Deliveries Inc. à la National Gallery (</w:t>
            </w:r>
            <w:r>
              <w:rPr>
                <w:rFonts w:ascii="Consolas" w:eastAsia="Consolas" w:hAnsi="Consolas" w:cs="Consolas"/>
                <w:sz w:val="22"/>
                <w:szCs w:val="22"/>
                <w:shd w:val="clear" w:color="auto" w:fill="EAEEF3"/>
              </w:rPr>
              <w:t>E10_Transfert_de_la_garde</w:t>
            </w:r>
            <w:r>
              <w:t>)</w:t>
            </w:r>
          </w:p>
        </w:tc>
      </w:tr>
      <w:tr w:rsidR="00BF18CF" w14:paraId="7A91C67D" w14:textId="77777777" w:rsidTr="00BF18CF">
        <w:tc>
          <w:tcPr>
            <w:tcW w:w="1900" w:type="dxa"/>
          </w:tcPr>
          <w:p w14:paraId="4F91DEB8"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790" w:type="dxa"/>
          </w:tcPr>
          <w:p w14:paraId="2A1A14B5" w14:textId="77777777" w:rsidR="00BF18CF" w:rsidRDefault="00E51347">
            <w:r>
              <w:t>P29(</w:t>
            </w:r>
            <w:proofErr w:type="gramStart"/>
            <w:r>
              <w:t>x,y</w:t>
            </w:r>
            <w:proofErr w:type="gramEnd"/>
            <w:r>
              <w:t>) ⇒ E10(x)</w:t>
            </w:r>
          </w:p>
          <w:p w14:paraId="459931C1" w14:textId="77777777" w:rsidR="00BF18CF" w:rsidRDefault="00E51347">
            <w:r>
              <w:t>P29(</w:t>
            </w:r>
            <w:proofErr w:type="gramStart"/>
            <w:r>
              <w:t>x,y</w:t>
            </w:r>
            <w:proofErr w:type="gramEnd"/>
            <w:r>
              <w:t>) ⇒ E39(y)</w:t>
            </w:r>
          </w:p>
          <w:p w14:paraId="21169654" w14:textId="77777777" w:rsidR="00BF18CF" w:rsidRDefault="00E51347">
            <w:r>
              <w:t>P29(</w:t>
            </w:r>
            <w:proofErr w:type="gramStart"/>
            <w:r>
              <w:t>x,y</w:t>
            </w:r>
            <w:proofErr w:type="gramEnd"/>
            <w:r>
              <w:t>) ⇒ P14(x,y)</w:t>
            </w:r>
          </w:p>
        </w:tc>
      </w:tr>
      <w:tr w:rsidR="00BF18CF" w14:paraId="1BAE0F40" w14:textId="77777777" w:rsidTr="00BF18CF">
        <w:tc>
          <w:tcPr>
            <w:tcW w:w="1900" w:type="dxa"/>
          </w:tcPr>
          <w:p w14:paraId="4578AF8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0" w:type="dxa"/>
          </w:tcPr>
          <w:p w14:paraId="41F2D3A4" w14:textId="77777777" w:rsidR="00BF18CF" w:rsidRDefault="00BF18CF">
            <w:pPr>
              <w:pBdr>
                <w:top w:val="nil"/>
                <w:left w:val="nil"/>
                <w:bottom w:val="nil"/>
                <w:right w:val="nil"/>
                <w:between w:val="nil"/>
              </w:pBdr>
              <w:spacing w:before="36" w:after="36"/>
              <w:rPr>
                <w:color w:val="000000"/>
              </w:rPr>
            </w:pPr>
          </w:p>
        </w:tc>
      </w:tr>
      <w:tr w:rsidR="00BF18CF" w14:paraId="55269BB3" w14:textId="77777777" w:rsidTr="00BF18CF">
        <w:tc>
          <w:tcPr>
            <w:tcW w:w="1900" w:type="dxa"/>
          </w:tcPr>
          <w:p w14:paraId="7F8BC776" w14:textId="6952714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0" w:type="dxa"/>
          </w:tcPr>
          <w:p w14:paraId="3070096E" w14:textId="77777777" w:rsidR="00BF18CF" w:rsidRDefault="00BF18CF">
            <w:pPr>
              <w:pBdr>
                <w:top w:val="nil"/>
                <w:left w:val="nil"/>
                <w:bottom w:val="nil"/>
                <w:right w:val="nil"/>
                <w:between w:val="nil"/>
              </w:pBdr>
              <w:spacing w:before="36" w:after="36"/>
              <w:rPr>
                <w:color w:val="000000"/>
              </w:rPr>
            </w:pPr>
          </w:p>
        </w:tc>
      </w:tr>
      <w:tr w:rsidR="00BF18CF" w14:paraId="03692C0B" w14:textId="77777777" w:rsidTr="00BF18CF">
        <w:tc>
          <w:tcPr>
            <w:tcW w:w="1900" w:type="dxa"/>
          </w:tcPr>
          <w:p w14:paraId="452FFA9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0" w:type="dxa"/>
          </w:tcPr>
          <w:p w14:paraId="5CAD6784" w14:textId="77777777" w:rsidR="00BF18CF" w:rsidRDefault="00BF18CF">
            <w:pPr>
              <w:pBdr>
                <w:top w:val="nil"/>
                <w:left w:val="nil"/>
                <w:bottom w:val="nil"/>
                <w:right w:val="nil"/>
                <w:between w:val="nil"/>
              </w:pBdr>
              <w:spacing w:before="36" w:after="36"/>
              <w:rPr>
                <w:color w:val="000000"/>
              </w:rPr>
            </w:pPr>
          </w:p>
        </w:tc>
      </w:tr>
    </w:tbl>
    <w:p w14:paraId="74CB437C" w14:textId="77777777" w:rsidR="00BF18CF" w:rsidRDefault="00E51347">
      <w:pPr>
        <w:pStyle w:val="Heading3"/>
      </w:pPr>
      <w:bookmarkStart w:id="319" w:name="bookmark=id.13qzunr" w:colFirst="0" w:colLast="0"/>
      <w:bookmarkStart w:id="320" w:name="_Toc144360903"/>
      <w:bookmarkEnd w:id="319"/>
      <w:r>
        <w:t>P30 a transféré la garde de (a été l’objet d’un transfert de garde par)</w:t>
      </w:r>
      <w:bookmarkEnd w:id="320"/>
    </w:p>
    <w:tbl>
      <w:tblPr>
        <w:tblStyle w:val="af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0"/>
        <w:gridCol w:w="8790"/>
      </w:tblGrid>
      <w:tr w:rsidR="00BF18CF" w14:paraId="0021FE0C" w14:textId="77777777" w:rsidTr="00BF18CF">
        <w:tc>
          <w:tcPr>
            <w:tcW w:w="1900" w:type="dxa"/>
          </w:tcPr>
          <w:p w14:paraId="34E8F3AB"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0" w:type="dxa"/>
          </w:tcPr>
          <w:p w14:paraId="67D8B844" w14:textId="77777777" w:rsidR="00BF18CF" w:rsidRDefault="00E51347">
            <w:r>
              <w:rPr>
                <w:rFonts w:ascii="Consolas" w:eastAsia="Consolas" w:hAnsi="Consolas" w:cs="Consolas"/>
                <w:sz w:val="22"/>
                <w:szCs w:val="22"/>
                <w:shd w:val="clear" w:color="auto" w:fill="EAEEF3"/>
              </w:rPr>
              <w:t>E10_Transfert_de_la_garde</w:t>
            </w:r>
          </w:p>
        </w:tc>
      </w:tr>
      <w:tr w:rsidR="00BF18CF" w14:paraId="46CB491E" w14:textId="77777777" w:rsidTr="00BF18CF">
        <w:tc>
          <w:tcPr>
            <w:tcW w:w="1900" w:type="dxa"/>
          </w:tcPr>
          <w:p w14:paraId="331BB0B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0" w:type="dxa"/>
          </w:tcPr>
          <w:p w14:paraId="4856D8E3" w14:textId="77777777" w:rsidR="00BF18CF" w:rsidRDefault="00E51347">
            <w:r>
              <w:rPr>
                <w:rFonts w:ascii="Consolas" w:eastAsia="Consolas" w:hAnsi="Consolas" w:cs="Consolas"/>
                <w:sz w:val="22"/>
                <w:szCs w:val="22"/>
                <w:shd w:val="clear" w:color="auto" w:fill="EAEEF3"/>
              </w:rPr>
              <w:t>E18_Chose_matérielle</w:t>
            </w:r>
          </w:p>
        </w:tc>
      </w:tr>
      <w:tr w:rsidR="00BF18CF" w14:paraId="1965B784" w14:textId="77777777" w:rsidTr="00BF18CF">
        <w:tc>
          <w:tcPr>
            <w:tcW w:w="1900" w:type="dxa"/>
          </w:tcPr>
          <w:p w14:paraId="7FC0D6C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0" w:type="dxa"/>
          </w:tcPr>
          <w:p w14:paraId="23FC195D" w14:textId="77777777" w:rsidR="00BF18CF" w:rsidRDefault="00BF18CF">
            <w:pPr>
              <w:pBdr>
                <w:top w:val="nil"/>
                <w:left w:val="nil"/>
                <w:bottom w:val="nil"/>
                <w:right w:val="nil"/>
                <w:between w:val="nil"/>
              </w:pBdr>
              <w:spacing w:before="36" w:after="36"/>
              <w:rPr>
                <w:color w:val="000000"/>
              </w:rPr>
            </w:pPr>
          </w:p>
        </w:tc>
      </w:tr>
      <w:tr w:rsidR="00BF18CF" w14:paraId="2F5C0AF5" w14:textId="77777777" w:rsidTr="00BF18CF">
        <w:tc>
          <w:tcPr>
            <w:tcW w:w="1900" w:type="dxa"/>
          </w:tcPr>
          <w:p w14:paraId="6E3DF54D"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0" w:type="dxa"/>
          </w:tcPr>
          <w:p w14:paraId="59F88D92" w14:textId="77777777" w:rsidR="00BF18CF" w:rsidRDefault="00BF18CF">
            <w:pPr>
              <w:pBdr>
                <w:top w:val="nil"/>
                <w:left w:val="nil"/>
                <w:bottom w:val="nil"/>
                <w:right w:val="nil"/>
                <w:between w:val="nil"/>
              </w:pBdr>
              <w:spacing w:before="36" w:after="36"/>
              <w:rPr>
                <w:color w:val="000000"/>
              </w:rPr>
            </w:pPr>
          </w:p>
        </w:tc>
      </w:tr>
      <w:tr w:rsidR="00BF18CF" w14:paraId="1FC44586" w14:textId="77777777" w:rsidTr="00BF18CF">
        <w:tc>
          <w:tcPr>
            <w:tcW w:w="1900" w:type="dxa"/>
          </w:tcPr>
          <w:p w14:paraId="791D289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0" w:type="dxa"/>
          </w:tcPr>
          <w:p w14:paraId="6EAA8BDB" w14:textId="77777777" w:rsidR="00BF18CF" w:rsidRDefault="00E51347">
            <w:proofErr w:type="gramStart"/>
            <w:r>
              <w:t>plusieurs</w:t>
            </w:r>
            <w:proofErr w:type="gramEnd"/>
            <w:r>
              <w:t xml:space="preserve"> à plusieurs, nécessaire (1,n:0,n)</w:t>
            </w:r>
          </w:p>
        </w:tc>
      </w:tr>
      <w:tr w:rsidR="00BF18CF" w14:paraId="6F06D1BF" w14:textId="77777777" w:rsidTr="00BF18CF">
        <w:tc>
          <w:tcPr>
            <w:tcW w:w="1900" w:type="dxa"/>
          </w:tcPr>
          <w:p w14:paraId="47ABEDF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0" w:type="dxa"/>
          </w:tcPr>
          <w:p w14:paraId="29D5C141" w14:textId="77777777" w:rsidR="00BF18CF" w:rsidRDefault="00E51347">
            <w:r>
              <w:t xml:space="preserve">Cette propriété identifie la ou les instances de </w:t>
            </w:r>
            <w:r>
              <w:rPr>
                <w:rFonts w:ascii="Consolas" w:eastAsia="Consolas" w:hAnsi="Consolas" w:cs="Consolas"/>
                <w:sz w:val="22"/>
                <w:szCs w:val="22"/>
                <w:shd w:val="clear" w:color="auto" w:fill="EAEEF3"/>
              </w:rPr>
              <w:t>E18_Chose_matérielle</w:t>
            </w:r>
            <w:r>
              <w:t xml:space="preserve"> concernées par une instance de </w:t>
            </w:r>
            <w:r>
              <w:rPr>
                <w:rFonts w:ascii="Consolas" w:eastAsia="Consolas" w:hAnsi="Consolas" w:cs="Consolas"/>
                <w:sz w:val="22"/>
                <w:szCs w:val="22"/>
                <w:shd w:val="clear" w:color="auto" w:fill="EAEEF3"/>
              </w:rPr>
              <w:t>E10_Transfert_de_la_garde</w:t>
            </w:r>
            <w:r>
              <w:t>.</w:t>
            </w:r>
          </w:p>
          <w:p w14:paraId="086392E3" w14:textId="77777777" w:rsidR="00BF18CF" w:rsidRDefault="00E51347">
            <w:r>
              <w:t xml:space="preserve">La propriété décrit typiquement l’objet qu’une instance de </w:t>
            </w:r>
            <w:r>
              <w:rPr>
                <w:rFonts w:ascii="Consolas" w:eastAsia="Consolas" w:hAnsi="Consolas" w:cs="Consolas"/>
                <w:sz w:val="22"/>
                <w:szCs w:val="22"/>
                <w:shd w:val="clear" w:color="auto" w:fill="EAEEF3"/>
              </w:rPr>
              <w:t>E39_Actant</w:t>
            </w:r>
            <w:r>
              <w:t xml:space="preserve"> confie à la garde d’une autre instance de </w:t>
            </w:r>
            <w:r>
              <w:rPr>
                <w:rFonts w:ascii="Consolas" w:eastAsia="Consolas" w:hAnsi="Consolas" w:cs="Consolas"/>
                <w:sz w:val="22"/>
                <w:szCs w:val="22"/>
                <w:shd w:val="clear" w:color="auto" w:fill="EAEEF3"/>
              </w:rPr>
              <w:t>E39_Actant</w:t>
            </w:r>
            <w:r>
              <w:t>. Occasionnellement, une garde physique peut être reçue involontairement ou illégalement – à la suite d’un accident, d’un don non sollicité ou d’un vol.</w:t>
            </w:r>
          </w:p>
        </w:tc>
      </w:tr>
      <w:tr w:rsidR="00BF18CF" w14:paraId="265F480A" w14:textId="77777777" w:rsidTr="00BF18CF">
        <w:tc>
          <w:tcPr>
            <w:tcW w:w="1900" w:type="dxa"/>
          </w:tcPr>
          <w:p w14:paraId="73A990EF"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0" w:type="dxa"/>
          </w:tcPr>
          <w:p w14:paraId="4B2A071A" w14:textId="77777777" w:rsidR="00BF18CF" w:rsidRDefault="00E51347">
            <w:pPr>
              <w:numPr>
                <w:ilvl w:val="0"/>
                <w:numId w:val="19"/>
              </w:numPr>
            </w:pPr>
            <w:r>
              <w:t>La livraison des œuvres peintes par Secure Deliveries Inc. à la National Gallery (</w:t>
            </w:r>
            <w:r>
              <w:rPr>
                <w:rFonts w:ascii="Consolas" w:eastAsia="Consolas" w:hAnsi="Consolas" w:cs="Consolas"/>
                <w:sz w:val="22"/>
                <w:szCs w:val="22"/>
                <w:shd w:val="clear" w:color="auto" w:fill="EAEEF3"/>
              </w:rPr>
              <w:t>E10_Transfert_de_la_garde</w:t>
            </w:r>
            <w:r>
              <w:t>) a transféré la garde des (</w:t>
            </w:r>
            <w:r>
              <w:rPr>
                <w:rFonts w:ascii="Consolas" w:eastAsia="Consolas" w:hAnsi="Consolas" w:cs="Consolas"/>
                <w:sz w:val="22"/>
                <w:szCs w:val="22"/>
                <w:shd w:val="clear" w:color="auto" w:fill="EAEEF3"/>
              </w:rPr>
              <w:t>P30_a_transféré_la_garde_de</w:t>
            </w:r>
            <w:r>
              <w:t>) œuvres peintes de la collection Iveagh Bequest (</w:t>
            </w:r>
            <w:r>
              <w:rPr>
                <w:rFonts w:ascii="Consolas" w:eastAsia="Consolas" w:hAnsi="Consolas" w:cs="Consolas"/>
                <w:sz w:val="22"/>
                <w:szCs w:val="22"/>
                <w:shd w:val="clear" w:color="auto" w:fill="EAEEF3"/>
              </w:rPr>
              <w:t>E19_Objet_matériel</w:t>
            </w:r>
            <w:r>
              <w:t>)</w:t>
            </w:r>
          </w:p>
        </w:tc>
      </w:tr>
      <w:tr w:rsidR="00BF18CF" w14:paraId="49CA163A" w14:textId="77777777" w:rsidTr="00BF18CF">
        <w:tc>
          <w:tcPr>
            <w:tcW w:w="1900" w:type="dxa"/>
          </w:tcPr>
          <w:p w14:paraId="305B681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0" w:type="dxa"/>
          </w:tcPr>
          <w:p w14:paraId="3DB45C79" w14:textId="77777777" w:rsidR="00BF18CF" w:rsidRDefault="00E51347">
            <w:r>
              <w:t>P30(</w:t>
            </w:r>
            <w:proofErr w:type="gramStart"/>
            <w:r>
              <w:t>x,y</w:t>
            </w:r>
            <w:proofErr w:type="gramEnd"/>
            <w:r>
              <w:t>) ⇒ E10(x)</w:t>
            </w:r>
          </w:p>
          <w:p w14:paraId="4B4C50F1" w14:textId="77777777" w:rsidR="00BF18CF" w:rsidRDefault="00E51347">
            <w:r>
              <w:t>P30(</w:t>
            </w:r>
            <w:proofErr w:type="gramStart"/>
            <w:r>
              <w:t>x,y</w:t>
            </w:r>
            <w:proofErr w:type="gramEnd"/>
            <w:r>
              <w:t>) ⇒ E18(y)</w:t>
            </w:r>
          </w:p>
        </w:tc>
      </w:tr>
      <w:tr w:rsidR="00BF18CF" w14:paraId="715788B3" w14:textId="77777777" w:rsidTr="00BF18CF">
        <w:tc>
          <w:tcPr>
            <w:tcW w:w="1900" w:type="dxa"/>
          </w:tcPr>
          <w:p w14:paraId="68C37F6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0" w:type="dxa"/>
          </w:tcPr>
          <w:p w14:paraId="2EFB14BE" w14:textId="77777777" w:rsidR="00BF18CF" w:rsidRDefault="00BF18CF">
            <w:pPr>
              <w:pBdr>
                <w:top w:val="nil"/>
                <w:left w:val="nil"/>
                <w:bottom w:val="nil"/>
                <w:right w:val="nil"/>
                <w:between w:val="nil"/>
              </w:pBdr>
              <w:spacing w:before="36" w:after="36"/>
              <w:rPr>
                <w:color w:val="000000"/>
              </w:rPr>
            </w:pPr>
          </w:p>
        </w:tc>
      </w:tr>
      <w:tr w:rsidR="00BF18CF" w14:paraId="3F927F77" w14:textId="77777777" w:rsidTr="00BF18CF">
        <w:tc>
          <w:tcPr>
            <w:tcW w:w="1900" w:type="dxa"/>
          </w:tcPr>
          <w:p w14:paraId="46242666" w14:textId="2F9C117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0" w:type="dxa"/>
          </w:tcPr>
          <w:p w14:paraId="73E1FC21" w14:textId="77777777" w:rsidR="00BF18CF" w:rsidRDefault="00BF18CF">
            <w:pPr>
              <w:pBdr>
                <w:top w:val="nil"/>
                <w:left w:val="nil"/>
                <w:bottom w:val="nil"/>
                <w:right w:val="nil"/>
                <w:between w:val="nil"/>
              </w:pBdr>
              <w:spacing w:before="36" w:after="36"/>
              <w:rPr>
                <w:color w:val="000000"/>
              </w:rPr>
            </w:pPr>
          </w:p>
        </w:tc>
      </w:tr>
      <w:tr w:rsidR="00BF18CF" w14:paraId="0D144E28" w14:textId="77777777" w:rsidTr="00BF18CF">
        <w:tc>
          <w:tcPr>
            <w:tcW w:w="1900" w:type="dxa"/>
          </w:tcPr>
          <w:p w14:paraId="7230CD4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0" w:type="dxa"/>
          </w:tcPr>
          <w:p w14:paraId="553FD67D" w14:textId="77777777" w:rsidR="00BF18CF" w:rsidRDefault="00BF18CF">
            <w:pPr>
              <w:pBdr>
                <w:top w:val="nil"/>
                <w:left w:val="nil"/>
                <w:bottom w:val="nil"/>
                <w:right w:val="nil"/>
                <w:between w:val="nil"/>
              </w:pBdr>
              <w:spacing w:before="36" w:after="36"/>
              <w:rPr>
                <w:color w:val="000000"/>
              </w:rPr>
            </w:pPr>
          </w:p>
        </w:tc>
      </w:tr>
    </w:tbl>
    <w:p w14:paraId="5F0718B7" w14:textId="77777777" w:rsidR="00BF18CF" w:rsidRDefault="00E51347">
      <w:pPr>
        <w:pStyle w:val="Heading3"/>
      </w:pPr>
      <w:bookmarkStart w:id="321" w:name="bookmark=id.3nqndbk" w:colFirst="0" w:colLast="0"/>
      <w:bookmarkStart w:id="322" w:name="_Toc144360904"/>
      <w:bookmarkEnd w:id="321"/>
      <w:r>
        <w:t>P31 a modifié (a été modifié par)</w:t>
      </w:r>
      <w:bookmarkEnd w:id="322"/>
    </w:p>
    <w:tbl>
      <w:tblPr>
        <w:tblStyle w:val="af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11"/>
        <w:gridCol w:w="8779"/>
      </w:tblGrid>
      <w:tr w:rsidR="00BF18CF" w14:paraId="40B1D0DB" w14:textId="77777777" w:rsidTr="00BF18CF">
        <w:tc>
          <w:tcPr>
            <w:tcW w:w="1911" w:type="dxa"/>
          </w:tcPr>
          <w:p w14:paraId="2E4C098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79" w:type="dxa"/>
          </w:tcPr>
          <w:p w14:paraId="36178E10" w14:textId="77777777" w:rsidR="00BF18CF" w:rsidRDefault="00E51347">
            <w:r>
              <w:rPr>
                <w:rFonts w:ascii="Consolas" w:eastAsia="Consolas" w:hAnsi="Consolas" w:cs="Consolas"/>
                <w:sz w:val="22"/>
                <w:szCs w:val="22"/>
                <w:shd w:val="clear" w:color="auto" w:fill="EAEEF3"/>
              </w:rPr>
              <w:t>E11_Modification</w:t>
            </w:r>
          </w:p>
        </w:tc>
      </w:tr>
      <w:tr w:rsidR="00BF18CF" w14:paraId="2221D2E3" w14:textId="77777777" w:rsidTr="00BF18CF">
        <w:tc>
          <w:tcPr>
            <w:tcW w:w="1911" w:type="dxa"/>
          </w:tcPr>
          <w:p w14:paraId="00A6419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79" w:type="dxa"/>
          </w:tcPr>
          <w:p w14:paraId="05301EFF" w14:textId="77777777" w:rsidR="00BF18CF" w:rsidRDefault="00E51347">
            <w:r>
              <w:rPr>
                <w:rFonts w:ascii="Consolas" w:eastAsia="Consolas" w:hAnsi="Consolas" w:cs="Consolas"/>
                <w:sz w:val="22"/>
                <w:szCs w:val="22"/>
                <w:shd w:val="clear" w:color="auto" w:fill="EAEEF3"/>
              </w:rPr>
              <w:t>E18_Chose_matérielle</w:t>
            </w:r>
          </w:p>
        </w:tc>
      </w:tr>
      <w:tr w:rsidR="00BF18CF" w14:paraId="61AF194A" w14:textId="77777777" w:rsidTr="00BF18CF">
        <w:tc>
          <w:tcPr>
            <w:tcW w:w="1911" w:type="dxa"/>
          </w:tcPr>
          <w:p w14:paraId="06A420EC" w14:textId="77777777" w:rsidR="00BF18CF" w:rsidRDefault="00E51347">
            <w:pPr>
              <w:pBdr>
                <w:top w:val="nil"/>
                <w:left w:val="nil"/>
                <w:bottom w:val="nil"/>
                <w:right w:val="nil"/>
                <w:between w:val="nil"/>
              </w:pBdr>
              <w:spacing w:before="36" w:after="36"/>
              <w:rPr>
                <w:color w:val="000000"/>
              </w:rPr>
            </w:pPr>
            <w:r>
              <w:rPr>
                <w:b/>
                <w:color w:val="000000"/>
              </w:rPr>
              <w:lastRenderedPageBreak/>
              <w:t>Sous-propriété de</w:t>
            </w:r>
          </w:p>
        </w:tc>
        <w:tc>
          <w:tcPr>
            <w:tcW w:w="8779" w:type="dxa"/>
          </w:tcPr>
          <w:p w14:paraId="618FB8BD"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P12_a_eu_lieu_en_présence_de (a_été_présent_à)</w:t>
            </w:r>
            <w:r>
              <w:t xml:space="preserve"> : </w:t>
            </w:r>
            <w:r>
              <w:rPr>
                <w:rFonts w:ascii="Consolas" w:eastAsia="Consolas" w:hAnsi="Consolas" w:cs="Consolas"/>
                <w:sz w:val="22"/>
                <w:szCs w:val="22"/>
                <w:shd w:val="clear" w:color="auto" w:fill="EAEEF3"/>
              </w:rPr>
              <w:t>E77_Entité_persistante</w:t>
            </w:r>
          </w:p>
        </w:tc>
      </w:tr>
      <w:tr w:rsidR="00BF18CF" w14:paraId="60DB11BA" w14:textId="77777777" w:rsidTr="00BF18CF">
        <w:tc>
          <w:tcPr>
            <w:tcW w:w="1911" w:type="dxa"/>
          </w:tcPr>
          <w:p w14:paraId="156A2053"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79" w:type="dxa"/>
          </w:tcPr>
          <w:p w14:paraId="2366CDF8" w14:textId="77777777" w:rsidR="00BF18CF" w:rsidRDefault="00E51347">
            <w:r>
              <w:rPr>
                <w:rFonts w:ascii="Consolas" w:eastAsia="Consolas" w:hAnsi="Consolas" w:cs="Consolas"/>
                <w:sz w:val="22"/>
                <w:szCs w:val="22"/>
                <w:shd w:val="clear" w:color="auto" w:fill="EAEEF3"/>
              </w:rPr>
              <w:t>E12_Production</w:t>
            </w:r>
            <w:r>
              <w:t xml:space="preserve">. </w:t>
            </w:r>
            <w:r>
              <w:rPr>
                <w:rFonts w:ascii="Consolas" w:eastAsia="Consolas" w:hAnsi="Consolas" w:cs="Consolas"/>
                <w:sz w:val="22"/>
                <w:szCs w:val="22"/>
                <w:shd w:val="clear" w:color="auto" w:fill="EAEEF3"/>
              </w:rPr>
              <w:t>P108_a_produit (a_été_produit_par)</w:t>
            </w:r>
            <w:r>
              <w:t xml:space="preserve"> : </w:t>
            </w:r>
            <w:r>
              <w:rPr>
                <w:rFonts w:ascii="Consolas" w:eastAsia="Consolas" w:hAnsi="Consolas" w:cs="Consolas"/>
                <w:sz w:val="22"/>
                <w:szCs w:val="22"/>
                <w:shd w:val="clear" w:color="auto" w:fill="EAEEF3"/>
              </w:rPr>
              <w:t>E24_Chose_matérielle_élaborée_par_l’humain</w:t>
            </w:r>
          </w:p>
          <w:p w14:paraId="39F87750" w14:textId="77777777" w:rsidR="00BF18CF" w:rsidRDefault="00E51347">
            <w:r>
              <w:rPr>
                <w:rFonts w:ascii="Consolas" w:eastAsia="Consolas" w:hAnsi="Consolas" w:cs="Consolas"/>
                <w:sz w:val="22"/>
                <w:szCs w:val="22"/>
                <w:shd w:val="clear" w:color="auto" w:fill="EAEEF3"/>
              </w:rPr>
              <w:t>E79_Ajout_d’élément</w:t>
            </w:r>
            <w:r>
              <w:t xml:space="preserve">. </w:t>
            </w:r>
            <w:r>
              <w:rPr>
                <w:rFonts w:ascii="Consolas" w:eastAsia="Consolas" w:hAnsi="Consolas" w:cs="Consolas"/>
                <w:sz w:val="22"/>
                <w:szCs w:val="22"/>
                <w:shd w:val="clear" w:color="auto" w:fill="EAEEF3"/>
              </w:rPr>
              <w:t>P110_a_augmenté (a_été_augmenté_par)</w:t>
            </w:r>
            <w:r>
              <w:t xml:space="preserve"> : </w:t>
            </w:r>
            <w:r>
              <w:rPr>
                <w:rFonts w:ascii="Consolas" w:eastAsia="Consolas" w:hAnsi="Consolas" w:cs="Consolas"/>
                <w:sz w:val="22"/>
                <w:szCs w:val="22"/>
                <w:shd w:val="clear" w:color="auto" w:fill="EAEEF3"/>
              </w:rPr>
              <w:t>E24_Chose_matérielle_élaborée_par_l’humain</w:t>
            </w:r>
          </w:p>
          <w:p w14:paraId="0C061833" w14:textId="77777777" w:rsidR="00BF18CF" w:rsidRDefault="00E51347">
            <w:r>
              <w:rPr>
                <w:rFonts w:ascii="Consolas" w:eastAsia="Consolas" w:hAnsi="Consolas" w:cs="Consolas"/>
                <w:sz w:val="22"/>
                <w:szCs w:val="22"/>
                <w:shd w:val="clear" w:color="auto" w:fill="EAEEF3"/>
              </w:rPr>
              <w:t>E80_Retrait_d’élément</w:t>
            </w:r>
            <w:r>
              <w:t xml:space="preserve">. </w:t>
            </w:r>
            <w:r>
              <w:rPr>
                <w:rFonts w:ascii="Consolas" w:eastAsia="Consolas" w:hAnsi="Consolas" w:cs="Consolas"/>
                <w:sz w:val="22"/>
                <w:szCs w:val="22"/>
                <w:shd w:val="clear" w:color="auto" w:fill="EAEEF3"/>
              </w:rPr>
              <w:t>P112_a_diminué (a_été_diminué_par)</w:t>
            </w:r>
            <w:r>
              <w:t xml:space="preserve"> : </w:t>
            </w:r>
            <w:r>
              <w:rPr>
                <w:rFonts w:ascii="Consolas" w:eastAsia="Consolas" w:hAnsi="Consolas" w:cs="Consolas"/>
                <w:sz w:val="22"/>
                <w:szCs w:val="22"/>
                <w:shd w:val="clear" w:color="auto" w:fill="EAEEF3"/>
              </w:rPr>
              <w:t>E24_Chose_matérielle_élaborée_par_l’humain</w:t>
            </w:r>
          </w:p>
        </w:tc>
      </w:tr>
      <w:tr w:rsidR="00BF18CF" w14:paraId="67A38848" w14:textId="77777777" w:rsidTr="00BF18CF">
        <w:tc>
          <w:tcPr>
            <w:tcW w:w="1911" w:type="dxa"/>
          </w:tcPr>
          <w:p w14:paraId="4F43E50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79" w:type="dxa"/>
          </w:tcPr>
          <w:p w14:paraId="7AB75E24" w14:textId="77777777" w:rsidR="00BF18CF" w:rsidRDefault="00E51347">
            <w:proofErr w:type="gramStart"/>
            <w:r>
              <w:t>plusieurs</w:t>
            </w:r>
            <w:proofErr w:type="gramEnd"/>
            <w:r>
              <w:t xml:space="preserve"> à plusieurs, nécessaire (1,n:0,n)</w:t>
            </w:r>
          </w:p>
        </w:tc>
      </w:tr>
      <w:tr w:rsidR="00BF18CF" w14:paraId="37E115CA" w14:textId="77777777" w:rsidTr="00BF18CF">
        <w:tc>
          <w:tcPr>
            <w:tcW w:w="1911" w:type="dxa"/>
          </w:tcPr>
          <w:p w14:paraId="07B0201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79" w:type="dxa"/>
          </w:tcPr>
          <w:p w14:paraId="0ACB64A7" w14:textId="77777777" w:rsidR="00BF18CF" w:rsidRDefault="00E51347">
            <w:r>
              <w:t xml:space="preserve">Cette propriété identifie l'instance de </w:t>
            </w:r>
            <w:r>
              <w:rPr>
                <w:rFonts w:ascii="Consolas" w:eastAsia="Consolas" w:hAnsi="Consolas" w:cs="Consolas"/>
                <w:sz w:val="22"/>
                <w:szCs w:val="22"/>
                <w:shd w:val="clear" w:color="auto" w:fill="EAEEF3"/>
              </w:rPr>
              <w:t>E18_Chose_matérielle</w:t>
            </w:r>
            <w:r>
              <w:t xml:space="preserve"> modifiée dans le cadre d'une instance de </w:t>
            </w:r>
            <w:r>
              <w:rPr>
                <w:rFonts w:ascii="Consolas" w:eastAsia="Consolas" w:hAnsi="Consolas" w:cs="Consolas"/>
                <w:sz w:val="22"/>
                <w:szCs w:val="22"/>
                <w:shd w:val="clear" w:color="auto" w:fill="EAEEF3"/>
              </w:rPr>
              <w:t>E11_Modification</w:t>
            </w:r>
            <w:r>
              <w:t>.</w:t>
            </w:r>
          </w:p>
        </w:tc>
      </w:tr>
      <w:tr w:rsidR="00BF18CF" w14:paraId="75865F01" w14:textId="77777777" w:rsidTr="00BF18CF">
        <w:tc>
          <w:tcPr>
            <w:tcW w:w="1911" w:type="dxa"/>
          </w:tcPr>
          <w:p w14:paraId="510DA5E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79" w:type="dxa"/>
          </w:tcPr>
          <w:p w14:paraId="13A329C6" w14:textId="77777777" w:rsidR="00BF18CF" w:rsidRDefault="00E51347">
            <w:pPr>
              <w:numPr>
                <w:ilvl w:val="0"/>
                <w:numId w:val="19"/>
              </w:numPr>
            </w:pPr>
            <w:r>
              <w:t>La reconstruction du Reichstag (</w:t>
            </w:r>
            <w:r>
              <w:rPr>
                <w:rFonts w:ascii="Consolas" w:eastAsia="Consolas" w:hAnsi="Consolas" w:cs="Consolas"/>
                <w:sz w:val="22"/>
                <w:szCs w:val="22"/>
                <w:shd w:val="clear" w:color="auto" w:fill="EAEEF3"/>
              </w:rPr>
              <w:t>E11_Modification</w:t>
            </w:r>
            <w:r>
              <w:t>) a modifié (</w:t>
            </w:r>
            <w:r>
              <w:rPr>
                <w:rFonts w:ascii="Consolas" w:eastAsia="Consolas" w:hAnsi="Consolas" w:cs="Consolas"/>
                <w:sz w:val="22"/>
                <w:szCs w:val="22"/>
                <w:shd w:val="clear" w:color="auto" w:fill="EAEEF3"/>
              </w:rPr>
              <w:t>P31_a_modifié</w:t>
            </w:r>
            <w:r>
              <w:t>) le Reichstag, situé à Berlin (</w:t>
            </w:r>
            <w:r>
              <w:rPr>
                <w:rFonts w:ascii="Consolas" w:eastAsia="Consolas" w:hAnsi="Consolas" w:cs="Consolas"/>
                <w:sz w:val="22"/>
                <w:szCs w:val="22"/>
                <w:shd w:val="clear" w:color="auto" w:fill="EAEEF3"/>
              </w:rPr>
              <w:t>E24_Chose_matérielle_élaborée_par_l’humain</w:t>
            </w:r>
            <w:r>
              <w:t>) (Foster, 2000)</w:t>
            </w:r>
          </w:p>
        </w:tc>
      </w:tr>
      <w:tr w:rsidR="00BF18CF" w14:paraId="14B0C147" w14:textId="77777777" w:rsidTr="00BF18CF">
        <w:tc>
          <w:tcPr>
            <w:tcW w:w="1911" w:type="dxa"/>
          </w:tcPr>
          <w:p w14:paraId="3EF78D8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79" w:type="dxa"/>
          </w:tcPr>
          <w:p w14:paraId="39FDE1CB" w14:textId="77777777" w:rsidR="00BF18CF" w:rsidRDefault="00E51347">
            <w:r>
              <w:t>P31(</w:t>
            </w:r>
            <w:proofErr w:type="gramStart"/>
            <w:r>
              <w:t>x,y</w:t>
            </w:r>
            <w:proofErr w:type="gramEnd"/>
            <w:r>
              <w:t>) ⇒ E11(x)</w:t>
            </w:r>
          </w:p>
          <w:p w14:paraId="5BCBE97C" w14:textId="77777777" w:rsidR="00BF18CF" w:rsidRDefault="00E51347">
            <w:r>
              <w:t>P31(</w:t>
            </w:r>
            <w:proofErr w:type="gramStart"/>
            <w:r>
              <w:t>x,y</w:t>
            </w:r>
            <w:proofErr w:type="gramEnd"/>
            <w:r>
              <w:t>) ⇒ E18(y)</w:t>
            </w:r>
          </w:p>
          <w:p w14:paraId="38C9117D" w14:textId="77777777" w:rsidR="00BF18CF" w:rsidRDefault="00E51347">
            <w:r>
              <w:t>P31(</w:t>
            </w:r>
            <w:proofErr w:type="gramStart"/>
            <w:r>
              <w:t>x,y</w:t>
            </w:r>
            <w:proofErr w:type="gramEnd"/>
            <w:r>
              <w:t>) ⇒ P12(x,y)</w:t>
            </w:r>
          </w:p>
        </w:tc>
      </w:tr>
      <w:tr w:rsidR="00BF18CF" w14:paraId="4542F437" w14:textId="77777777" w:rsidTr="00BF18CF">
        <w:tc>
          <w:tcPr>
            <w:tcW w:w="1911" w:type="dxa"/>
          </w:tcPr>
          <w:p w14:paraId="5BF3849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79" w:type="dxa"/>
          </w:tcPr>
          <w:p w14:paraId="2832F08C" w14:textId="77777777" w:rsidR="00BF18CF" w:rsidRDefault="00BF18CF">
            <w:pPr>
              <w:pBdr>
                <w:top w:val="nil"/>
                <w:left w:val="nil"/>
                <w:bottom w:val="nil"/>
                <w:right w:val="nil"/>
                <w:between w:val="nil"/>
              </w:pBdr>
              <w:spacing w:before="36" w:after="36"/>
              <w:rPr>
                <w:color w:val="000000"/>
              </w:rPr>
            </w:pPr>
          </w:p>
        </w:tc>
      </w:tr>
      <w:tr w:rsidR="00BF18CF" w14:paraId="7A1C3E7C" w14:textId="77777777" w:rsidTr="00BF18CF">
        <w:tc>
          <w:tcPr>
            <w:tcW w:w="1911" w:type="dxa"/>
          </w:tcPr>
          <w:p w14:paraId="349FB527" w14:textId="7985A706"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79" w:type="dxa"/>
          </w:tcPr>
          <w:p w14:paraId="6DF56478" w14:textId="77777777" w:rsidR="00BF18CF" w:rsidRDefault="00BF18CF">
            <w:pPr>
              <w:pBdr>
                <w:top w:val="nil"/>
                <w:left w:val="nil"/>
                <w:bottom w:val="nil"/>
                <w:right w:val="nil"/>
                <w:between w:val="nil"/>
              </w:pBdr>
              <w:spacing w:before="36" w:after="36"/>
              <w:rPr>
                <w:color w:val="000000"/>
              </w:rPr>
            </w:pPr>
          </w:p>
        </w:tc>
      </w:tr>
      <w:tr w:rsidR="00BF18CF" w14:paraId="325CAB9E" w14:textId="77777777" w:rsidTr="00BF18CF">
        <w:tc>
          <w:tcPr>
            <w:tcW w:w="1911" w:type="dxa"/>
          </w:tcPr>
          <w:p w14:paraId="289614A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79" w:type="dxa"/>
          </w:tcPr>
          <w:p w14:paraId="20A34361" w14:textId="77777777" w:rsidR="00BF18CF" w:rsidRDefault="00BF18CF">
            <w:pPr>
              <w:pBdr>
                <w:top w:val="nil"/>
                <w:left w:val="nil"/>
                <w:bottom w:val="nil"/>
                <w:right w:val="nil"/>
                <w:between w:val="nil"/>
              </w:pBdr>
              <w:spacing w:before="36" w:after="36"/>
              <w:rPr>
                <w:color w:val="000000"/>
              </w:rPr>
            </w:pPr>
          </w:p>
        </w:tc>
      </w:tr>
    </w:tbl>
    <w:p w14:paraId="28309BE6" w14:textId="77777777" w:rsidR="00BF18CF" w:rsidRDefault="00E51347">
      <w:pPr>
        <w:pStyle w:val="Heading3"/>
      </w:pPr>
      <w:bookmarkStart w:id="323" w:name="bookmark=id.22vxnjd" w:colFirst="0" w:colLast="0"/>
      <w:bookmarkStart w:id="324" w:name="_Toc144360905"/>
      <w:bookmarkEnd w:id="323"/>
      <w:r>
        <w:t>P32 a mobilisé comme technique générale (a été la technique générale mise en œuvre dans)</w:t>
      </w:r>
      <w:bookmarkEnd w:id="324"/>
    </w:p>
    <w:tbl>
      <w:tblPr>
        <w:tblStyle w:val="af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3"/>
        <w:gridCol w:w="8827"/>
      </w:tblGrid>
      <w:tr w:rsidR="00BF18CF" w14:paraId="3A23E6E3" w14:textId="77777777" w:rsidTr="00BF18CF">
        <w:tc>
          <w:tcPr>
            <w:tcW w:w="1863" w:type="dxa"/>
          </w:tcPr>
          <w:p w14:paraId="6BD995A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7" w:type="dxa"/>
          </w:tcPr>
          <w:p w14:paraId="155006DC" w14:textId="77777777" w:rsidR="00BF18CF" w:rsidRDefault="00E51347">
            <w:r>
              <w:rPr>
                <w:rFonts w:ascii="Consolas" w:eastAsia="Consolas" w:hAnsi="Consolas" w:cs="Consolas"/>
                <w:sz w:val="22"/>
                <w:szCs w:val="22"/>
                <w:shd w:val="clear" w:color="auto" w:fill="EAEEF3"/>
              </w:rPr>
              <w:t>E7_Activité</w:t>
            </w:r>
          </w:p>
        </w:tc>
      </w:tr>
      <w:tr w:rsidR="00BF18CF" w14:paraId="43728F17" w14:textId="77777777" w:rsidTr="00BF18CF">
        <w:tc>
          <w:tcPr>
            <w:tcW w:w="1863" w:type="dxa"/>
          </w:tcPr>
          <w:p w14:paraId="0E5D587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7" w:type="dxa"/>
          </w:tcPr>
          <w:p w14:paraId="2E170048" w14:textId="77777777" w:rsidR="00BF18CF" w:rsidRDefault="00E51347">
            <w:r>
              <w:rPr>
                <w:rFonts w:ascii="Consolas" w:eastAsia="Consolas" w:hAnsi="Consolas" w:cs="Consolas"/>
                <w:sz w:val="22"/>
                <w:szCs w:val="22"/>
                <w:shd w:val="clear" w:color="auto" w:fill="EAEEF3"/>
              </w:rPr>
              <w:t>E55_Type</w:t>
            </w:r>
          </w:p>
        </w:tc>
      </w:tr>
      <w:tr w:rsidR="00BF18CF" w14:paraId="3E8B3F02" w14:textId="77777777" w:rsidTr="00BF18CF">
        <w:tc>
          <w:tcPr>
            <w:tcW w:w="1863" w:type="dxa"/>
          </w:tcPr>
          <w:p w14:paraId="1CE8436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27" w:type="dxa"/>
          </w:tcPr>
          <w:p w14:paraId="156E2B99"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P125_a_mobilisé_l'objet_du_type (a_été_le_type_d’objet_employé_pour)</w:t>
            </w:r>
            <w:r>
              <w:t xml:space="preserve"> : </w:t>
            </w:r>
            <w:r>
              <w:rPr>
                <w:rFonts w:ascii="Consolas" w:eastAsia="Consolas" w:hAnsi="Consolas" w:cs="Consolas"/>
                <w:sz w:val="22"/>
                <w:szCs w:val="22"/>
                <w:shd w:val="clear" w:color="auto" w:fill="EAEEF3"/>
              </w:rPr>
              <w:t>E55_Type</w:t>
            </w:r>
          </w:p>
        </w:tc>
      </w:tr>
      <w:tr w:rsidR="00BF18CF" w14:paraId="2B21D122" w14:textId="77777777" w:rsidTr="00BF18CF">
        <w:tc>
          <w:tcPr>
            <w:tcW w:w="1863" w:type="dxa"/>
          </w:tcPr>
          <w:p w14:paraId="7EFD12E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7" w:type="dxa"/>
          </w:tcPr>
          <w:p w14:paraId="4DCC212E" w14:textId="77777777" w:rsidR="00BF18CF" w:rsidRDefault="00BF18CF">
            <w:pPr>
              <w:pBdr>
                <w:top w:val="nil"/>
                <w:left w:val="nil"/>
                <w:bottom w:val="nil"/>
                <w:right w:val="nil"/>
                <w:between w:val="nil"/>
              </w:pBdr>
              <w:spacing w:before="36" w:after="36"/>
              <w:rPr>
                <w:color w:val="000000"/>
              </w:rPr>
            </w:pPr>
          </w:p>
        </w:tc>
      </w:tr>
      <w:tr w:rsidR="00BF18CF" w14:paraId="6F6D47C0" w14:textId="77777777" w:rsidTr="00BF18CF">
        <w:tc>
          <w:tcPr>
            <w:tcW w:w="1863" w:type="dxa"/>
          </w:tcPr>
          <w:p w14:paraId="4B60BCA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7" w:type="dxa"/>
          </w:tcPr>
          <w:p w14:paraId="59320817" w14:textId="77777777" w:rsidR="00BF18CF" w:rsidRDefault="00E51347">
            <w:proofErr w:type="gramStart"/>
            <w:r>
              <w:t>plusieurs</w:t>
            </w:r>
            <w:proofErr w:type="gramEnd"/>
            <w:r>
              <w:t xml:space="preserve"> à plusieurs (0,n:0,n)</w:t>
            </w:r>
          </w:p>
        </w:tc>
      </w:tr>
      <w:tr w:rsidR="00BF18CF" w14:paraId="37548614" w14:textId="77777777" w:rsidTr="00BF18CF">
        <w:tc>
          <w:tcPr>
            <w:tcW w:w="1863" w:type="dxa"/>
          </w:tcPr>
          <w:p w14:paraId="4E66721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27" w:type="dxa"/>
          </w:tcPr>
          <w:p w14:paraId="4B3367AB" w14:textId="77777777" w:rsidR="00BF18CF" w:rsidRDefault="00E51347">
            <w:r>
              <w:t xml:space="preserve">Cette propriété identifie la technique ou la méthode qui, modélisée comme instance de </w:t>
            </w:r>
            <w:r>
              <w:rPr>
                <w:rFonts w:ascii="Consolas" w:eastAsia="Consolas" w:hAnsi="Consolas" w:cs="Consolas"/>
                <w:sz w:val="22"/>
                <w:szCs w:val="22"/>
                <w:shd w:val="clear" w:color="auto" w:fill="EAEEF3"/>
              </w:rPr>
              <w:t>E55_Type</w:t>
            </w:r>
            <w:r>
              <w:t xml:space="preserve">, a été mise en œuvre dans une instance de </w:t>
            </w:r>
            <w:r>
              <w:rPr>
                <w:rFonts w:ascii="Consolas" w:eastAsia="Consolas" w:hAnsi="Consolas" w:cs="Consolas"/>
                <w:sz w:val="22"/>
                <w:szCs w:val="22"/>
                <w:shd w:val="clear" w:color="auto" w:fill="EAEEF3"/>
              </w:rPr>
              <w:t>E7_Activité</w:t>
            </w:r>
            <w:r>
              <w:t>.</w:t>
            </w:r>
          </w:p>
          <w:p w14:paraId="0E1CF55F" w14:textId="77777777" w:rsidR="00BF18CF" w:rsidRDefault="00E51347">
            <w:r>
              <w:t xml:space="preserve">Ces techniques doivent être tirées d’une hiérarchie de </w:t>
            </w:r>
            <w:r>
              <w:rPr>
                <w:rFonts w:ascii="Consolas" w:eastAsia="Consolas" w:hAnsi="Consolas" w:cs="Consolas"/>
                <w:sz w:val="22"/>
                <w:szCs w:val="22"/>
                <w:shd w:val="clear" w:color="auto" w:fill="EAEEF3"/>
              </w:rPr>
              <w:t>E55_Type</w:t>
            </w:r>
            <w:r>
              <w:t xml:space="preserve"> externe, laquelle consiste en une terminologie cohérente de techniques ou de méthodes générales telles que la broderie, la peinture à l’huile, la datation au carbone, etc. Les </w:t>
            </w:r>
            <w:r>
              <w:lastRenderedPageBreak/>
              <w:t xml:space="preserve">techniques spécifiques et documentées doivent être décrites comme des instances de </w:t>
            </w:r>
            <w:r>
              <w:rPr>
                <w:rFonts w:ascii="Consolas" w:eastAsia="Consolas" w:hAnsi="Consolas" w:cs="Consolas"/>
                <w:sz w:val="22"/>
                <w:szCs w:val="22"/>
                <w:shd w:val="clear" w:color="auto" w:fill="EAEEF3"/>
              </w:rPr>
              <w:t>E29_Conceptualisation_ou_procédure</w:t>
            </w:r>
            <w:r>
              <w:t>.</w:t>
            </w:r>
          </w:p>
          <w:p w14:paraId="07FE06B8" w14:textId="77777777" w:rsidR="00BF18CF" w:rsidRDefault="00E51347">
            <w:r>
              <w:t>Cette propriété identifie la technique qui a été employée dans un acte de modification.</w:t>
            </w:r>
          </w:p>
        </w:tc>
      </w:tr>
      <w:tr w:rsidR="00BF18CF" w14:paraId="2AEFD142" w14:textId="77777777" w:rsidTr="00BF18CF">
        <w:tc>
          <w:tcPr>
            <w:tcW w:w="1863" w:type="dxa"/>
          </w:tcPr>
          <w:p w14:paraId="40A880D0"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27" w:type="dxa"/>
          </w:tcPr>
          <w:p w14:paraId="1B627359" w14:textId="77777777" w:rsidR="00BF18CF" w:rsidRDefault="00E51347">
            <w:pPr>
              <w:numPr>
                <w:ilvl w:val="0"/>
                <w:numId w:val="19"/>
              </w:numPr>
            </w:pPr>
            <w:r>
              <w:t>L’ornementation de la coupe en argent « 113 » (</w:t>
            </w:r>
            <w:r>
              <w:rPr>
                <w:rFonts w:ascii="Consolas" w:eastAsia="Consolas" w:hAnsi="Consolas" w:cs="Consolas"/>
                <w:sz w:val="22"/>
                <w:szCs w:val="22"/>
                <w:shd w:val="clear" w:color="auto" w:fill="EAEEF3"/>
              </w:rPr>
              <w:t>E11_Modification</w:t>
            </w:r>
            <w:r>
              <w:t>) a mobilisé comme technique générale (</w:t>
            </w:r>
            <w:r>
              <w:rPr>
                <w:rFonts w:ascii="Consolas" w:eastAsia="Consolas" w:hAnsi="Consolas" w:cs="Consolas"/>
                <w:sz w:val="22"/>
                <w:szCs w:val="22"/>
                <w:shd w:val="clear" w:color="auto" w:fill="EAEEF3"/>
              </w:rPr>
              <w:t>P32_a_mobilisé_comme_technique_générale)</w:t>
            </w:r>
            <w:r>
              <w:t xml:space="preserve"> la dorure (</w:t>
            </w:r>
            <w:r>
              <w:rPr>
                <w:rFonts w:ascii="Consolas" w:eastAsia="Consolas" w:hAnsi="Consolas" w:cs="Consolas"/>
                <w:sz w:val="22"/>
                <w:szCs w:val="22"/>
                <w:shd w:val="clear" w:color="auto" w:fill="EAEEF3"/>
              </w:rPr>
              <w:t>E55_Type</w:t>
            </w:r>
            <w:r>
              <w:t>) [Type de conceptualisation ou procédure] (fictif)</w:t>
            </w:r>
          </w:p>
        </w:tc>
      </w:tr>
      <w:tr w:rsidR="00BF18CF" w14:paraId="68CFDA14" w14:textId="77777777" w:rsidTr="00BF18CF">
        <w:tc>
          <w:tcPr>
            <w:tcW w:w="1863" w:type="dxa"/>
          </w:tcPr>
          <w:p w14:paraId="4D3BA61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7" w:type="dxa"/>
          </w:tcPr>
          <w:p w14:paraId="045FCDC0" w14:textId="77777777" w:rsidR="00BF18CF" w:rsidRDefault="00E51347">
            <w:r>
              <w:t>P32(</w:t>
            </w:r>
            <w:proofErr w:type="gramStart"/>
            <w:r>
              <w:t>x,y</w:t>
            </w:r>
            <w:proofErr w:type="gramEnd"/>
            <w:r>
              <w:t>) ⇒ E7(x)</w:t>
            </w:r>
          </w:p>
          <w:p w14:paraId="6A64E8DC" w14:textId="77777777" w:rsidR="00BF18CF" w:rsidRDefault="00E51347">
            <w:r>
              <w:t>P32(</w:t>
            </w:r>
            <w:proofErr w:type="gramStart"/>
            <w:r>
              <w:t>x,y</w:t>
            </w:r>
            <w:proofErr w:type="gramEnd"/>
            <w:r>
              <w:t>) ⇒ E55(y)</w:t>
            </w:r>
          </w:p>
          <w:p w14:paraId="3C461CE9" w14:textId="77777777" w:rsidR="00BF18CF" w:rsidRDefault="00E51347">
            <w:r>
              <w:t>P32(</w:t>
            </w:r>
            <w:proofErr w:type="gramStart"/>
            <w:r>
              <w:t>x,y</w:t>
            </w:r>
            <w:proofErr w:type="gramEnd"/>
            <w:r>
              <w:t>) ⇒ P125(x,y)</w:t>
            </w:r>
          </w:p>
        </w:tc>
      </w:tr>
      <w:tr w:rsidR="00BF18CF" w14:paraId="02302166" w14:textId="77777777" w:rsidTr="00BF18CF">
        <w:tc>
          <w:tcPr>
            <w:tcW w:w="1863" w:type="dxa"/>
          </w:tcPr>
          <w:p w14:paraId="08EE1D6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27" w:type="dxa"/>
          </w:tcPr>
          <w:p w14:paraId="31EA3CED" w14:textId="77777777" w:rsidR="00BF18CF" w:rsidRDefault="00BF18CF">
            <w:pPr>
              <w:pBdr>
                <w:top w:val="nil"/>
                <w:left w:val="nil"/>
                <w:bottom w:val="nil"/>
                <w:right w:val="nil"/>
                <w:between w:val="nil"/>
              </w:pBdr>
              <w:spacing w:before="36" w:after="36"/>
              <w:rPr>
                <w:color w:val="000000"/>
              </w:rPr>
            </w:pPr>
          </w:p>
        </w:tc>
      </w:tr>
      <w:tr w:rsidR="00BF18CF" w14:paraId="5AB5ED2A" w14:textId="77777777" w:rsidTr="00BF18CF">
        <w:tc>
          <w:tcPr>
            <w:tcW w:w="1863" w:type="dxa"/>
          </w:tcPr>
          <w:p w14:paraId="0B7DFC9B" w14:textId="2EFA292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7" w:type="dxa"/>
          </w:tcPr>
          <w:p w14:paraId="7B5082C6" w14:textId="77777777" w:rsidR="00BF18CF" w:rsidRDefault="00BF18CF">
            <w:pPr>
              <w:pBdr>
                <w:top w:val="nil"/>
                <w:left w:val="nil"/>
                <w:bottom w:val="nil"/>
                <w:right w:val="nil"/>
                <w:between w:val="nil"/>
              </w:pBdr>
              <w:spacing w:before="36" w:after="36"/>
              <w:rPr>
                <w:color w:val="000000"/>
              </w:rPr>
            </w:pPr>
          </w:p>
        </w:tc>
      </w:tr>
      <w:tr w:rsidR="00BF18CF" w14:paraId="2813357B" w14:textId="77777777" w:rsidTr="00BF18CF">
        <w:tc>
          <w:tcPr>
            <w:tcW w:w="1863" w:type="dxa"/>
          </w:tcPr>
          <w:p w14:paraId="10584FE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7" w:type="dxa"/>
          </w:tcPr>
          <w:p w14:paraId="26FF37FA" w14:textId="77777777" w:rsidR="00BF18CF" w:rsidRDefault="00BF18CF">
            <w:pPr>
              <w:pBdr>
                <w:top w:val="nil"/>
                <w:left w:val="nil"/>
                <w:bottom w:val="nil"/>
                <w:right w:val="nil"/>
                <w:between w:val="nil"/>
              </w:pBdr>
              <w:spacing w:before="36" w:after="36"/>
              <w:rPr>
                <w:color w:val="000000"/>
              </w:rPr>
            </w:pPr>
          </w:p>
        </w:tc>
      </w:tr>
    </w:tbl>
    <w:p w14:paraId="03F78A5A" w14:textId="77777777" w:rsidR="00BF18CF" w:rsidRDefault="00E51347">
      <w:pPr>
        <w:pStyle w:val="Heading3"/>
      </w:pPr>
      <w:bookmarkStart w:id="325" w:name="bookmark=id.i17xr6" w:colFirst="0" w:colLast="0"/>
      <w:bookmarkStart w:id="326" w:name="_Toc144360906"/>
      <w:bookmarkEnd w:id="325"/>
      <w:r>
        <w:t>P33 a mobilisé comme technique spécifique (a été la technique spécifique mise en œuvre dans)</w:t>
      </w:r>
      <w:bookmarkEnd w:id="326"/>
    </w:p>
    <w:tbl>
      <w:tblPr>
        <w:tblStyle w:val="af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9"/>
        <w:gridCol w:w="8831"/>
      </w:tblGrid>
      <w:tr w:rsidR="00BF18CF" w14:paraId="132D0D73" w14:textId="77777777" w:rsidTr="00BF18CF">
        <w:tc>
          <w:tcPr>
            <w:tcW w:w="1859" w:type="dxa"/>
          </w:tcPr>
          <w:p w14:paraId="4A8349EE"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1" w:type="dxa"/>
          </w:tcPr>
          <w:p w14:paraId="29B801E2" w14:textId="77777777" w:rsidR="00BF18CF" w:rsidRDefault="00E51347">
            <w:r>
              <w:rPr>
                <w:rFonts w:ascii="Consolas" w:eastAsia="Consolas" w:hAnsi="Consolas" w:cs="Consolas"/>
                <w:sz w:val="22"/>
                <w:szCs w:val="22"/>
                <w:shd w:val="clear" w:color="auto" w:fill="EAEEF3"/>
              </w:rPr>
              <w:t>E7_Activité</w:t>
            </w:r>
          </w:p>
        </w:tc>
      </w:tr>
      <w:tr w:rsidR="00BF18CF" w14:paraId="333E9808" w14:textId="77777777" w:rsidTr="00BF18CF">
        <w:tc>
          <w:tcPr>
            <w:tcW w:w="1859" w:type="dxa"/>
          </w:tcPr>
          <w:p w14:paraId="4269C028"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1" w:type="dxa"/>
          </w:tcPr>
          <w:p w14:paraId="6DFD8E07" w14:textId="77777777" w:rsidR="00BF18CF" w:rsidRDefault="00E51347">
            <w:r>
              <w:rPr>
                <w:rFonts w:ascii="Consolas" w:eastAsia="Consolas" w:hAnsi="Consolas" w:cs="Consolas"/>
                <w:sz w:val="22"/>
                <w:szCs w:val="22"/>
                <w:shd w:val="clear" w:color="auto" w:fill="EAEEF3"/>
              </w:rPr>
              <w:t>E29_Conceptualisation_ou_procédure</w:t>
            </w:r>
          </w:p>
        </w:tc>
      </w:tr>
      <w:tr w:rsidR="00BF18CF" w14:paraId="0557D457" w14:textId="77777777" w:rsidTr="00BF18CF">
        <w:tc>
          <w:tcPr>
            <w:tcW w:w="1859" w:type="dxa"/>
          </w:tcPr>
          <w:p w14:paraId="035B3D8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1" w:type="dxa"/>
          </w:tcPr>
          <w:p w14:paraId="5E553179"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P16_a_mobilisé_l’objet_spécifique (a_été_mobilisé_pour)</w:t>
            </w:r>
            <w:r>
              <w:t xml:space="preserve">: </w:t>
            </w:r>
            <w:r>
              <w:rPr>
                <w:rFonts w:ascii="Consolas" w:eastAsia="Consolas" w:hAnsi="Consolas" w:cs="Consolas"/>
                <w:sz w:val="22"/>
                <w:szCs w:val="22"/>
                <w:shd w:val="clear" w:color="auto" w:fill="EAEEF3"/>
              </w:rPr>
              <w:t>E70_Chose</w:t>
            </w:r>
          </w:p>
        </w:tc>
      </w:tr>
      <w:tr w:rsidR="00BF18CF" w14:paraId="11CFC6D0" w14:textId="77777777" w:rsidTr="00BF18CF">
        <w:tc>
          <w:tcPr>
            <w:tcW w:w="1859" w:type="dxa"/>
          </w:tcPr>
          <w:p w14:paraId="1579B7D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1" w:type="dxa"/>
          </w:tcPr>
          <w:p w14:paraId="798F8434" w14:textId="77777777" w:rsidR="00BF18CF" w:rsidRDefault="00BF18CF">
            <w:pPr>
              <w:pBdr>
                <w:top w:val="nil"/>
                <w:left w:val="nil"/>
                <w:bottom w:val="nil"/>
                <w:right w:val="nil"/>
                <w:between w:val="nil"/>
              </w:pBdr>
              <w:spacing w:before="36" w:after="36"/>
              <w:rPr>
                <w:color w:val="000000"/>
              </w:rPr>
            </w:pPr>
          </w:p>
        </w:tc>
      </w:tr>
      <w:tr w:rsidR="00BF18CF" w14:paraId="4D8FCFE2" w14:textId="77777777" w:rsidTr="00BF18CF">
        <w:tc>
          <w:tcPr>
            <w:tcW w:w="1859" w:type="dxa"/>
          </w:tcPr>
          <w:p w14:paraId="6B0AE038"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1" w:type="dxa"/>
          </w:tcPr>
          <w:p w14:paraId="1B48A933" w14:textId="77777777" w:rsidR="00BF18CF" w:rsidRDefault="00E51347">
            <w:proofErr w:type="gramStart"/>
            <w:r>
              <w:t>plusieurs</w:t>
            </w:r>
            <w:proofErr w:type="gramEnd"/>
            <w:r>
              <w:t xml:space="preserve"> à plusieurs (0,n:0,n)</w:t>
            </w:r>
          </w:p>
        </w:tc>
      </w:tr>
      <w:tr w:rsidR="00BF18CF" w14:paraId="06AD0481" w14:textId="77777777" w:rsidTr="00BF18CF">
        <w:tc>
          <w:tcPr>
            <w:tcW w:w="1859" w:type="dxa"/>
          </w:tcPr>
          <w:p w14:paraId="2127007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1" w:type="dxa"/>
          </w:tcPr>
          <w:p w14:paraId="7048EC1A" w14:textId="77777777" w:rsidR="00BF18CF" w:rsidRDefault="00E51347">
            <w:r>
              <w:t xml:space="preserve">Cette propriété identifie une instance spécifique de </w:t>
            </w:r>
            <w:r>
              <w:rPr>
                <w:rFonts w:ascii="Consolas" w:eastAsia="Consolas" w:hAnsi="Consolas" w:cs="Consolas"/>
                <w:sz w:val="22"/>
                <w:szCs w:val="22"/>
                <w:shd w:val="clear" w:color="auto" w:fill="EAEEF3"/>
              </w:rPr>
              <w:t>E29_Conceptualisation_ou_procédure</w:t>
            </w:r>
            <w:r>
              <w:t xml:space="preserve"> afin de mener à bien une instance de </w:t>
            </w:r>
            <w:r>
              <w:rPr>
                <w:rFonts w:ascii="Consolas" w:eastAsia="Consolas" w:hAnsi="Consolas" w:cs="Consolas"/>
                <w:sz w:val="22"/>
                <w:szCs w:val="22"/>
                <w:shd w:val="clear" w:color="auto" w:fill="EAEEF3"/>
              </w:rPr>
              <w:t>E7_Activité</w:t>
            </w:r>
            <w:r>
              <w:t xml:space="preserve"> ou des parties de cette instance.</w:t>
            </w:r>
          </w:p>
          <w:p w14:paraId="3896A7B8" w14:textId="77777777" w:rsidR="00BF18CF" w:rsidRDefault="00E51347">
            <w:r>
              <w:t xml:space="preserve">Cette propriété se distingue de </w:t>
            </w:r>
            <w:r>
              <w:rPr>
                <w:rFonts w:ascii="Consolas" w:eastAsia="Consolas" w:hAnsi="Consolas" w:cs="Consolas"/>
                <w:sz w:val="22"/>
                <w:szCs w:val="22"/>
                <w:shd w:val="clear" w:color="auto" w:fill="EAEEF3"/>
              </w:rPr>
              <w:t>P32_a_mobilisé_comme_technique_générale (a_été_la_technique_générale_mise_en_œuvre_dans)</w:t>
            </w:r>
            <w:r>
              <w:t xml:space="preserve"> par le fait qu’elle se réfère à une instance de </w:t>
            </w:r>
            <w:r>
              <w:rPr>
                <w:rFonts w:ascii="Consolas" w:eastAsia="Consolas" w:hAnsi="Consolas" w:cs="Consolas"/>
                <w:sz w:val="22"/>
                <w:szCs w:val="22"/>
                <w:shd w:val="clear" w:color="auto" w:fill="EAEEF3"/>
              </w:rPr>
              <w:t>E29_Conceptualisation_ou_procédure</w:t>
            </w:r>
            <w:r>
              <w:t xml:space="preserve">. Cette dernière est un objet informationnel concret plutôt qu’un simple terme ou qu’une méthode rapportée par la tradition. Des exemples typiques d’instances de </w:t>
            </w:r>
            <w:r>
              <w:rPr>
                <w:rFonts w:ascii="Consolas" w:eastAsia="Consolas" w:hAnsi="Consolas" w:cs="Consolas"/>
                <w:sz w:val="22"/>
                <w:szCs w:val="22"/>
                <w:shd w:val="clear" w:color="auto" w:fill="EAEEF3"/>
              </w:rPr>
              <w:t>E29_Conceptualisation_ou_procédure</w:t>
            </w:r>
            <w:r>
              <w:t xml:space="preserve"> sont des plans d’intervention à des fins de conservation ou des plans de construction d’un bâtiment.</w:t>
            </w:r>
          </w:p>
        </w:tc>
      </w:tr>
      <w:tr w:rsidR="00BF18CF" w14:paraId="4CB4AF1B" w14:textId="77777777" w:rsidTr="00BF18CF">
        <w:tc>
          <w:tcPr>
            <w:tcW w:w="1859" w:type="dxa"/>
          </w:tcPr>
          <w:p w14:paraId="3692875B"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31" w:type="dxa"/>
          </w:tcPr>
          <w:p w14:paraId="2E5F7445" w14:textId="77777777" w:rsidR="00BF18CF" w:rsidRDefault="00E51347">
            <w:pPr>
              <w:numPr>
                <w:ilvl w:val="0"/>
                <w:numId w:val="19"/>
              </w:numPr>
            </w:pPr>
            <w:r>
              <w:t>L’ornementation de la coupe en argent « 232 » (</w:t>
            </w:r>
            <w:r>
              <w:rPr>
                <w:rFonts w:ascii="Consolas" w:eastAsia="Consolas" w:hAnsi="Consolas" w:cs="Consolas"/>
                <w:sz w:val="22"/>
                <w:szCs w:val="22"/>
                <w:shd w:val="clear" w:color="auto" w:fill="EAEEF3"/>
              </w:rPr>
              <w:t>E11_Modification</w:t>
            </w:r>
            <w:r>
              <w:t>) a mobilisé comme technique spécifique (</w:t>
            </w:r>
            <w:r>
              <w:rPr>
                <w:rFonts w:ascii="Consolas" w:eastAsia="Consolas" w:hAnsi="Consolas" w:cs="Consolas"/>
                <w:sz w:val="22"/>
                <w:szCs w:val="22"/>
                <w:shd w:val="clear" w:color="auto" w:fill="EAEEF3"/>
              </w:rPr>
              <w:t>P33_a_mobilisé_comme_technique_spécifique</w:t>
            </w:r>
            <w:r>
              <w:t xml:space="preserve">) </w:t>
            </w:r>
            <w:r>
              <w:rPr>
                <w:i/>
              </w:rPr>
              <w:t>Instructions for golden chase work by A. N. Other</w:t>
            </w:r>
            <w:r>
              <w:t xml:space="preserve"> (</w:t>
            </w:r>
            <w:r>
              <w:rPr>
                <w:rFonts w:ascii="Consolas" w:eastAsia="Consolas" w:hAnsi="Consolas" w:cs="Consolas"/>
                <w:sz w:val="22"/>
                <w:szCs w:val="22"/>
                <w:shd w:val="clear" w:color="auto" w:fill="EAEEF3"/>
              </w:rPr>
              <w:t>E29_Conceptualisation_ou_procédure</w:t>
            </w:r>
            <w:r>
              <w:t>) (fictif)</w:t>
            </w:r>
          </w:p>
          <w:p w14:paraId="1EFC361D" w14:textId="77777777" w:rsidR="00BF18CF" w:rsidRDefault="00E51347">
            <w:pPr>
              <w:numPr>
                <w:ilvl w:val="0"/>
                <w:numId w:val="19"/>
              </w:numPr>
            </w:pPr>
            <w:r>
              <w:lastRenderedPageBreak/>
              <w:t>La reconstruction du palais du Reichstag (</w:t>
            </w:r>
            <w:r>
              <w:rPr>
                <w:rFonts w:ascii="Consolas" w:eastAsia="Consolas" w:hAnsi="Consolas" w:cs="Consolas"/>
                <w:sz w:val="22"/>
                <w:szCs w:val="22"/>
                <w:shd w:val="clear" w:color="auto" w:fill="EAEEF3"/>
              </w:rPr>
              <w:t>E11_Modification</w:t>
            </w:r>
            <w:r>
              <w:t>) a mobilisé comme technique spécifique (</w:t>
            </w:r>
            <w:r>
              <w:rPr>
                <w:rFonts w:ascii="Consolas" w:eastAsia="Consolas" w:hAnsi="Consolas" w:cs="Consolas"/>
                <w:sz w:val="22"/>
                <w:szCs w:val="22"/>
                <w:shd w:val="clear" w:color="auto" w:fill="EAEEF3"/>
              </w:rPr>
              <w:t>P33_a_mobilisé_comme_technique_spécifique</w:t>
            </w:r>
            <w:r>
              <w:t>) les plans architecturaux de Foster et Partners (</w:t>
            </w:r>
            <w:r>
              <w:rPr>
                <w:rFonts w:ascii="Consolas" w:eastAsia="Consolas" w:hAnsi="Consolas" w:cs="Consolas"/>
                <w:sz w:val="22"/>
                <w:szCs w:val="22"/>
                <w:shd w:val="clear" w:color="auto" w:fill="EAEEF3"/>
              </w:rPr>
              <w:t>E29_Conceptualisation_ou_procédure</w:t>
            </w:r>
            <w:r>
              <w:t>) (Foster, 2000)</w:t>
            </w:r>
          </w:p>
        </w:tc>
      </w:tr>
      <w:tr w:rsidR="00BF18CF" w14:paraId="19AB536C" w14:textId="77777777" w:rsidTr="00BF18CF">
        <w:tc>
          <w:tcPr>
            <w:tcW w:w="1859" w:type="dxa"/>
          </w:tcPr>
          <w:p w14:paraId="4AAE7DF8"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31" w:type="dxa"/>
          </w:tcPr>
          <w:p w14:paraId="232360CC" w14:textId="77777777" w:rsidR="00BF18CF" w:rsidRDefault="00E51347">
            <w:r>
              <w:t>P33(</w:t>
            </w:r>
            <w:proofErr w:type="gramStart"/>
            <w:r>
              <w:t>x,y</w:t>
            </w:r>
            <w:proofErr w:type="gramEnd"/>
            <w:r>
              <w:t>) ⇒ E7(x)</w:t>
            </w:r>
          </w:p>
          <w:p w14:paraId="1F453373" w14:textId="77777777" w:rsidR="00BF18CF" w:rsidRDefault="00E51347">
            <w:r>
              <w:t>P33(</w:t>
            </w:r>
            <w:proofErr w:type="gramStart"/>
            <w:r>
              <w:t>x,y</w:t>
            </w:r>
            <w:proofErr w:type="gramEnd"/>
            <w:r>
              <w:t>) ⇒ E29(y)</w:t>
            </w:r>
          </w:p>
          <w:p w14:paraId="3CD3853D" w14:textId="77777777" w:rsidR="00BF18CF" w:rsidRDefault="00E51347">
            <w:r>
              <w:t>P33(</w:t>
            </w:r>
            <w:proofErr w:type="gramStart"/>
            <w:r>
              <w:t>x,y</w:t>
            </w:r>
            <w:proofErr w:type="gramEnd"/>
            <w:r>
              <w:t>) ⇒ P16(x,y)</w:t>
            </w:r>
          </w:p>
        </w:tc>
      </w:tr>
      <w:tr w:rsidR="00BF18CF" w14:paraId="0BD44291" w14:textId="77777777" w:rsidTr="00BF18CF">
        <w:tc>
          <w:tcPr>
            <w:tcW w:w="1859" w:type="dxa"/>
          </w:tcPr>
          <w:p w14:paraId="5CAC1D0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1" w:type="dxa"/>
          </w:tcPr>
          <w:p w14:paraId="51E2FB6C" w14:textId="77777777" w:rsidR="00BF18CF" w:rsidRDefault="00BF18CF">
            <w:pPr>
              <w:pBdr>
                <w:top w:val="nil"/>
                <w:left w:val="nil"/>
                <w:bottom w:val="nil"/>
                <w:right w:val="nil"/>
                <w:between w:val="nil"/>
              </w:pBdr>
              <w:spacing w:before="36" w:after="36"/>
              <w:rPr>
                <w:color w:val="000000"/>
              </w:rPr>
            </w:pPr>
          </w:p>
        </w:tc>
      </w:tr>
      <w:tr w:rsidR="00BF18CF" w14:paraId="4686085C" w14:textId="77777777" w:rsidTr="00BF18CF">
        <w:tc>
          <w:tcPr>
            <w:tcW w:w="1859" w:type="dxa"/>
          </w:tcPr>
          <w:p w14:paraId="690A7077" w14:textId="02B6948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1" w:type="dxa"/>
          </w:tcPr>
          <w:p w14:paraId="5089837C" w14:textId="77777777" w:rsidR="00BF18CF" w:rsidRDefault="00BF18CF">
            <w:pPr>
              <w:pBdr>
                <w:top w:val="nil"/>
                <w:left w:val="nil"/>
                <w:bottom w:val="nil"/>
                <w:right w:val="nil"/>
                <w:between w:val="nil"/>
              </w:pBdr>
              <w:spacing w:before="36" w:after="36"/>
              <w:rPr>
                <w:color w:val="000000"/>
              </w:rPr>
            </w:pPr>
          </w:p>
        </w:tc>
      </w:tr>
      <w:tr w:rsidR="00BF18CF" w14:paraId="565407B9" w14:textId="77777777" w:rsidTr="00BF18CF">
        <w:tc>
          <w:tcPr>
            <w:tcW w:w="1859" w:type="dxa"/>
          </w:tcPr>
          <w:p w14:paraId="1EFB82D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1" w:type="dxa"/>
          </w:tcPr>
          <w:p w14:paraId="31D8697F" w14:textId="77777777" w:rsidR="00BF18CF" w:rsidRDefault="00BF18CF">
            <w:pPr>
              <w:pBdr>
                <w:top w:val="nil"/>
                <w:left w:val="nil"/>
                <w:bottom w:val="nil"/>
                <w:right w:val="nil"/>
                <w:between w:val="nil"/>
              </w:pBdr>
              <w:spacing w:before="36" w:after="36"/>
              <w:rPr>
                <w:color w:val="000000"/>
              </w:rPr>
            </w:pPr>
          </w:p>
        </w:tc>
      </w:tr>
    </w:tbl>
    <w:p w14:paraId="70B93532" w14:textId="77777777" w:rsidR="00BF18CF" w:rsidRDefault="00E51347">
      <w:pPr>
        <w:pStyle w:val="Heading3"/>
      </w:pPr>
      <w:bookmarkStart w:id="327" w:name="bookmark=id.320vgez" w:colFirst="0" w:colLast="0"/>
      <w:bookmarkStart w:id="328" w:name="_Toc144360907"/>
      <w:bookmarkEnd w:id="327"/>
      <w:r>
        <w:t>P34 a porté sur (a été évalué par)</w:t>
      </w:r>
      <w:bookmarkEnd w:id="328"/>
    </w:p>
    <w:tbl>
      <w:tblPr>
        <w:tblStyle w:val="affff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7847E05B" w14:textId="77777777" w:rsidTr="00BF18CF">
        <w:tc>
          <w:tcPr>
            <w:tcW w:w="2097" w:type="dxa"/>
          </w:tcPr>
          <w:p w14:paraId="0C3ABC1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444DD096" w14:textId="77777777" w:rsidR="00BF18CF" w:rsidRDefault="00E51347">
            <w:r>
              <w:rPr>
                <w:rFonts w:ascii="Consolas" w:eastAsia="Consolas" w:hAnsi="Consolas" w:cs="Consolas"/>
                <w:sz w:val="22"/>
                <w:szCs w:val="22"/>
                <w:shd w:val="clear" w:color="auto" w:fill="EAEEF3"/>
              </w:rPr>
              <w:t>E14_Évaluation_d’état_matériel</w:t>
            </w:r>
          </w:p>
        </w:tc>
      </w:tr>
      <w:tr w:rsidR="00BF18CF" w14:paraId="593C5E75" w14:textId="77777777" w:rsidTr="00BF18CF">
        <w:tc>
          <w:tcPr>
            <w:tcW w:w="2097" w:type="dxa"/>
          </w:tcPr>
          <w:p w14:paraId="7877096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09B0A87C" w14:textId="77777777" w:rsidR="00BF18CF" w:rsidRDefault="00E51347">
            <w:r>
              <w:rPr>
                <w:rFonts w:ascii="Consolas" w:eastAsia="Consolas" w:hAnsi="Consolas" w:cs="Consolas"/>
                <w:sz w:val="22"/>
                <w:szCs w:val="22"/>
                <w:shd w:val="clear" w:color="auto" w:fill="EAEEF3"/>
              </w:rPr>
              <w:t>E18_Chose_matérielle</w:t>
            </w:r>
          </w:p>
        </w:tc>
      </w:tr>
      <w:tr w:rsidR="00BF18CF" w14:paraId="3F27C402" w14:textId="77777777" w:rsidTr="00BF18CF">
        <w:tc>
          <w:tcPr>
            <w:tcW w:w="2097" w:type="dxa"/>
          </w:tcPr>
          <w:p w14:paraId="7C009E4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3EC5A3C0" w14:textId="77777777" w:rsidR="00BF18CF" w:rsidRDefault="00E51347">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P140_a_assigné_l’attribut_à (a_reçu_l’attribut_par)</w:t>
            </w:r>
            <w:r>
              <w:t xml:space="preserve"> : </w:t>
            </w:r>
            <w:r>
              <w:rPr>
                <w:rFonts w:ascii="Consolas" w:eastAsia="Consolas" w:hAnsi="Consolas" w:cs="Consolas"/>
                <w:sz w:val="22"/>
                <w:szCs w:val="22"/>
                <w:shd w:val="clear" w:color="auto" w:fill="EAEEF3"/>
              </w:rPr>
              <w:t>E1_Entité_CRM</w:t>
            </w:r>
          </w:p>
        </w:tc>
      </w:tr>
      <w:tr w:rsidR="00BF18CF" w14:paraId="7221B256" w14:textId="77777777" w:rsidTr="00BF18CF">
        <w:tc>
          <w:tcPr>
            <w:tcW w:w="2097" w:type="dxa"/>
          </w:tcPr>
          <w:p w14:paraId="73975099"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0EFBEF8D" w14:textId="77777777" w:rsidR="00BF18CF" w:rsidRDefault="00BF18CF">
            <w:pPr>
              <w:pBdr>
                <w:top w:val="nil"/>
                <w:left w:val="nil"/>
                <w:bottom w:val="nil"/>
                <w:right w:val="nil"/>
                <w:between w:val="nil"/>
              </w:pBdr>
              <w:spacing w:before="36" w:after="36"/>
              <w:rPr>
                <w:color w:val="000000"/>
              </w:rPr>
            </w:pPr>
          </w:p>
        </w:tc>
      </w:tr>
      <w:tr w:rsidR="00BF18CF" w14:paraId="4CB6D6E3" w14:textId="77777777" w:rsidTr="00BF18CF">
        <w:tc>
          <w:tcPr>
            <w:tcW w:w="2097" w:type="dxa"/>
          </w:tcPr>
          <w:p w14:paraId="11C37D57"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13AC1BE5" w14:textId="77777777" w:rsidR="00BF18CF" w:rsidRDefault="00E51347">
            <w:proofErr w:type="gramStart"/>
            <w:r>
              <w:t>plusieurs</w:t>
            </w:r>
            <w:proofErr w:type="gramEnd"/>
            <w:r>
              <w:t xml:space="preserve"> à plusieurs, nécessaire (1,n:0,n)</w:t>
            </w:r>
          </w:p>
        </w:tc>
      </w:tr>
      <w:tr w:rsidR="00BF18CF" w14:paraId="40A5172C" w14:textId="77777777" w:rsidTr="00BF18CF">
        <w:tc>
          <w:tcPr>
            <w:tcW w:w="2097" w:type="dxa"/>
          </w:tcPr>
          <w:p w14:paraId="1D5EB33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550EC66F" w14:textId="77777777" w:rsidR="00BF18CF" w:rsidRDefault="00E51347">
            <w:r>
              <w:t xml:space="preserve">Cette propriété identifie une instance de </w:t>
            </w:r>
            <w:r>
              <w:rPr>
                <w:rFonts w:ascii="Consolas" w:eastAsia="Consolas" w:hAnsi="Consolas" w:cs="Consolas"/>
                <w:sz w:val="22"/>
                <w:szCs w:val="22"/>
                <w:shd w:val="clear" w:color="auto" w:fill="EAEEF3"/>
              </w:rPr>
              <w:t>E18_Chose_matérielle</w:t>
            </w:r>
            <w:r>
              <w:t xml:space="preserve"> qui a été évaluée lors d'une instance de </w:t>
            </w:r>
            <w:r>
              <w:rPr>
                <w:rFonts w:ascii="Consolas" w:eastAsia="Consolas" w:hAnsi="Consolas" w:cs="Consolas"/>
                <w:sz w:val="22"/>
                <w:szCs w:val="22"/>
                <w:shd w:val="clear" w:color="auto" w:fill="EAEEF3"/>
              </w:rPr>
              <w:t>E14_Évaluation_d’état_matériel</w:t>
            </w:r>
            <w:r>
              <w:t>.</w:t>
            </w:r>
          </w:p>
          <w:p w14:paraId="32DF6EA9" w14:textId="77777777" w:rsidR="00BF18CF" w:rsidRDefault="00E51347">
            <w:r>
              <w:t xml:space="preserve">L'état matériel peut être évalué soit par observation directe, soit à l'aide de preuves enregistrées. Dans ce dernier cas, l'instance de </w:t>
            </w:r>
            <w:r>
              <w:rPr>
                <w:rFonts w:ascii="Consolas" w:eastAsia="Consolas" w:hAnsi="Consolas" w:cs="Consolas"/>
                <w:sz w:val="22"/>
                <w:szCs w:val="22"/>
                <w:shd w:val="clear" w:color="auto" w:fill="EAEEF3"/>
              </w:rPr>
              <w:t>E18_Chose_matérielle</w:t>
            </w:r>
            <w:r>
              <w:t xml:space="preserve"> n'a pas à être présente ou même à exister au moment de l'évaluation.</w:t>
            </w:r>
          </w:p>
        </w:tc>
      </w:tr>
      <w:tr w:rsidR="00BF18CF" w14:paraId="22958F9E" w14:textId="77777777" w:rsidTr="00BF18CF">
        <w:tc>
          <w:tcPr>
            <w:tcW w:w="2097" w:type="dxa"/>
          </w:tcPr>
          <w:p w14:paraId="1876BB4B"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3" w:type="dxa"/>
          </w:tcPr>
          <w:p w14:paraId="1DFBEA97" w14:textId="77777777" w:rsidR="00BF18CF" w:rsidRDefault="00E51347">
            <w:pPr>
              <w:numPr>
                <w:ilvl w:val="0"/>
                <w:numId w:val="19"/>
              </w:numPr>
            </w:pPr>
            <w:r>
              <w:t>L'évaluation de l'état matériel de la collection d’argenterie en 1997 (</w:t>
            </w:r>
            <w:r>
              <w:rPr>
                <w:rFonts w:ascii="Consolas" w:eastAsia="Consolas" w:hAnsi="Consolas" w:cs="Consolas"/>
                <w:sz w:val="22"/>
                <w:szCs w:val="22"/>
                <w:shd w:val="clear" w:color="auto" w:fill="EAEEF3"/>
              </w:rPr>
              <w:t>E14_Évaluation_d’état_matériel</w:t>
            </w:r>
            <w:r>
              <w:t>) a porté sur (</w:t>
            </w:r>
            <w:r>
              <w:rPr>
                <w:rFonts w:ascii="Consolas" w:eastAsia="Consolas" w:hAnsi="Consolas" w:cs="Consolas"/>
                <w:sz w:val="22"/>
                <w:szCs w:val="22"/>
                <w:shd w:val="clear" w:color="auto" w:fill="EAEEF3"/>
              </w:rPr>
              <w:t>P34_a_porté_sur</w:t>
            </w:r>
            <w:r>
              <w:t>) la coupe en argent « 232 » (</w:t>
            </w:r>
            <w:r>
              <w:rPr>
                <w:rFonts w:ascii="Consolas" w:eastAsia="Consolas" w:hAnsi="Consolas" w:cs="Consolas"/>
                <w:sz w:val="22"/>
                <w:szCs w:val="22"/>
                <w:shd w:val="clear" w:color="auto" w:fill="EAEEF3"/>
              </w:rPr>
              <w:t>E22_Objet_élaboré_par_l’humain</w:t>
            </w:r>
            <w:r>
              <w:t>) (fictif)</w:t>
            </w:r>
          </w:p>
          <w:p w14:paraId="64635B20" w14:textId="77777777" w:rsidR="00BF18CF" w:rsidRDefault="00E51347">
            <w:pPr>
              <w:numPr>
                <w:ilvl w:val="0"/>
                <w:numId w:val="19"/>
              </w:numPr>
            </w:pPr>
            <w:r>
              <w:t xml:space="preserve">L'évaluation de l'état matériel de la couverture du manuscrit </w:t>
            </w:r>
            <w:proofErr w:type="gramStart"/>
            <w:r>
              <w:rPr>
                <w:i/>
              </w:rPr>
              <w:t>Mont</w:t>
            </w:r>
            <w:proofErr w:type="gramEnd"/>
            <w:r>
              <w:rPr>
                <w:i/>
              </w:rPr>
              <w:t xml:space="preserve"> Sinaï, MS gr. 418</w:t>
            </w:r>
            <w:r>
              <w:t xml:space="preserve"> (</w:t>
            </w:r>
            <w:r>
              <w:rPr>
                <w:rFonts w:ascii="Consolas" w:eastAsia="Consolas" w:hAnsi="Consolas" w:cs="Consolas"/>
                <w:sz w:val="22"/>
                <w:szCs w:val="22"/>
                <w:shd w:val="clear" w:color="auto" w:fill="EAEEF3"/>
              </w:rPr>
              <w:t>E14_Évaluation_d’état_matériel</w:t>
            </w:r>
            <w:r>
              <w:t>) a porté sur (</w:t>
            </w:r>
            <w:r>
              <w:rPr>
                <w:rFonts w:ascii="Consolas" w:eastAsia="Consolas" w:hAnsi="Consolas" w:cs="Consolas"/>
                <w:sz w:val="22"/>
                <w:szCs w:val="22"/>
                <w:shd w:val="clear" w:color="auto" w:fill="EAEEF3"/>
              </w:rPr>
              <w:t>P34_a_porté_sur</w:t>
            </w:r>
            <w:r>
              <w:t xml:space="preserve">) la couverture du manuscrit </w:t>
            </w:r>
            <w:r>
              <w:rPr>
                <w:i/>
              </w:rPr>
              <w:t>Mont Sinaï, MS gr. 418</w:t>
            </w:r>
            <w:r>
              <w:t xml:space="preserve"> (</w:t>
            </w:r>
            <w:r>
              <w:rPr>
                <w:rFonts w:ascii="Consolas" w:eastAsia="Consolas" w:hAnsi="Consolas" w:cs="Consolas"/>
                <w:sz w:val="22"/>
                <w:szCs w:val="22"/>
                <w:shd w:val="clear" w:color="auto" w:fill="EAEEF3"/>
              </w:rPr>
              <w:t>E22_Objet_élaboré_par_l’humain</w:t>
            </w:r>
            <w:r>
              <w:t>) (Honey et Pickwoad, 2010)</w:t>
            </w:r>
          </w:p>
          <w:p w14:paraId="52ABC446" w14:textId="77777777" w:rsidR="00BF18CF" w:rsidRDefault="00E51347">
            <w:pPr>
              <w:numPr>
                <w:ilvl w:val="0"/>
                <w:numId w:val="19"/>
              </w:numPr>
            </w:pPr>
            <w:r>
              <w:t xml:space="preserve">L’évaluation de l'état matériel des bâtonnets de la tranchefile du manuscrit </w:t>
            </w:r>
            <w:proofErr w:type="gramStart"/>
            <w:r>
              <w:rPr>
                <w:i/>
              </w:rPr>
              <w:t>Mont</w:t>
            </w:r>
            <w:proofErr w:type="gramEnd"/>
            <w:r>
              <w:rPr>
                <w:i/>
              </w:rPr>
              <w:t xml:space="preserve"> Sinaï, MS gr. 418</w:t>
            </w:r>
            <w:r>
              <w:t xml:space="preserve"> (</w:t>
            </w:r>
            <w:r>
              <w:rPr>
                <w:rFonts w:ascii="Consolas" w:eastAsia="Consolas" w:hAnsi="Consolas" w:cs="Consolas"/>
                <w:sz w:val="22"/>
                <w:szCs w:val="22"/>
                <w:shd w:val="clear" w:color="auto" w:fill="EAEEF3"/>
              </w:rPr>
              <w:t>E14_Évaluation_d’état_matériel</w:t>
            </w:r>
            <w:r>
              <w:t>) a porté sur (</w:t>
            </w:r>
            <w:r>
              <w:rPr>
                <w:rFonts w:ascii="Consolas" w:eastAsia="Consolas" w:hAnsi="Consolas" w:cs="Consolas"/>
                <w:sz w:val="22"/>
                <w:szCs w:val="22"/>
                <w:shd w:val="clear" w:color="auto" w:fill="EAEEF3"/>
              </w:rPr>
              <w:t>P34_a_porté_sur</w:t>
            </w:r>
            <w:r>
              <w:t xml:space="preserve">) les bâtonnets de la tranchefile du manuscrit </w:t>
            </w:r>
            <w:r>
              <w:rPr>
                <w:i/>
              </w:rPr>
              <w:t>Mont Sinaï, MS gr. 418</w:t>
            </w:r>
            <w:r>
              <w:t xml:space="preserve"> (</w:t>
            </w:r>
            <w:r>
              <w:rPr>
                <w:rFonts w:ascii="Consolas" w:eastAsia="Consolas" w:hAnsi="Consolas" w:cs="Consolas"/>
                <w:sz w:val="22"/>
                <w:szCs w:val="22"/>
                <w:shd w:val="clear" w:color="auto" w:fill="EAEEF3"/>
              </w:rPr>
              <w:t>E22_Objet_élaboré_par_l’humain</w:t>
            </w:r>
            <w:r>
              <w:t>) (Honey et Pickwoad, 2010)</w:t>
            </w:r>
          </w:p>
        </w:tc>
      </w:tr>
      <w:tr w:rsidR="00BF18CF" w14:paraId="4925B875" w14:textId="77777777" w:rsidTr="00BF18CF">
        <w:tc>
          <w:tcPr>
            <w:tcW w:w="2097" w:type="dxa"/>
          </w:tcPr>
          <w:p w14:paraId="5EB3603C"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593" w:type="dxa"/>
          </w:tcPr>
          <w:p w14:paraId="227FD4B6" w14:textId="77777777" w:rsidR="00BF18CF" w:rsidRDefault="00E51347">
            <w:r>
              <w:t>P34(</w:t>
            </w:r>
            <w:proofErr w:type="gramStart"/>
            <w:r>
              <w:t>x,y</w:t>
            </w:r>
            <w:proofErr w:type="gramEnd"/>
            <w:r>
              <w:t>) ⇒ E14(x)</w:t>
            </w:r>
          </w:p>
          <w:p w14:paraId="1D1007B6" w14:textId="77777777" w:rsidR="00BF18CF" w:rsidRDefault="00E51347">
            <w:r>
              <w:t>P34(</w:t>
            </w:r>
            <w:proofErr w:type="gramStart"/>
            <w:r>
              <w:t>x,y</w:t>
            </w:r>
            <w:proofErr w:type="gramEnd"/>
            <w:r>
              <w:t>) ⇒ E18(y)</w:t>
            </w:r>
          </w:p>
          <w:p w14:paraId="0B04906F" w14:textId="77777777" w:rsidR="00BF18CF" w:rsidRDefault="00E51347">
            <w:r>
              <w:t>P34(</w:t>
            </w:r>
            <w:proofErr w:type="gramStart"/>
            <w:r>
              <w:t>x,y</w:t>
            </w:r>
            <w:proofErr w:type="gramEnd"/>
            <w:r>
              <w:t>) ⇒ P140(x,y)</w:t>
            </w:r>
          </w:p>
        </w:tc>
      </w:tr>
      <w:tr w:rsidR="00BF18CF" w14:paraId="26A2A318" w14:textId="77777777" w:rsidTr="00BF18CF">
        <w:tc>
          <w:tcPr>
            <w:tcW w:w="2097" w:type="dxa"/>
          </w:tcPr>
          <w:p w14:paraId="47223AF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073C129C" w14:textId="77777777" w:rsidR="00BF18CF" w:rsidRDefault="00BF18CF">
            <w:pPr>
              <w:pBdr>
                <w:top w:val="nil"/>
                <w:left w:val="nil"/>
                <w:bottom w:val="nil"/>
                <w:right w:val="nil"/>
                <w:between w:val="nil"/>
              </w:pBdr>
              <w:spacing w:before="36" w:after="36"/>
              <w:rPr>
                <w:color w:val="000000"/>
              </w:rPr>
            </w:pPr>
          </w:p>
        </w:tc>
      </w:tr>
      <w:tr w:rsidR="00BF18CF" w14:paraId="1DE6AFBA" w14:textId="77777777" w:rsidTr="00BF18CF">
        <w:tc>
          <w:tcPr>
            <w:tcW w:w="2097" w:type="dxa"/>
          </w:tcPr>
          <w:p w14:paraId="4857A0F1" w14:textId="265ED05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64C6137E" w14:textId="77777777" w:rsidR="00BF18CF" w:rsidRDefault="00E51347">
            <w:r>
              <w:t xml:space="preserve">« Endband cores » a été traduit par « bâtonnets de la tranchefile ». Il aurait aussi été possible de traduire par « noyaux de la tranchefile », mais cette traduction est moins fréquente dans la littérature scientifique. « Endband cores » peut aussi se traduire uniquement par </w:t>
            </w:r>
            <w:proofErr w:type="gramStart"/>
            <w:r>
              <w:t>«  bâtonnets</w:t>
            </w:r>
            <w:proofErr w:type="gramEnd"/>
            <w:r>
              <w:t xml:space="preserve"> », mais afin d'éviter toute ambiguïté, l'équipe de traduction a décidé d'ajouter « de la tranchefile ».</w:t>
            </w:r>
          </w:p>
        </w:tc>
      </w:tr>
      <w:tr w:rsidR="00BF18CF" w:rsidRPr="00103833" w14:paraId="4CE988FB" w14:textId="77777777" w:rsidTr="00BF18CF">
        <w:tc>
          <w:tcPr>
            <w:tcW w:w="2097" w:type="dxa"/>
          </w:tcPr>
          <w:p w14:paraId="35F03C1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5C3D8602" w14:textId="77777777" w:rsidR="00BF18CF" w:rsidRDefault="00E51347">
            <w:r>
              <w:t xml:space="preserve">Lenormand, Louis Sébastien, et W. Maigne. « Tranchefile ». Dans </w:t>
            </w:r>
            <w:r>
              <w:rPr>
                <w:i/>
              </w:rPr>
              <w:t>Nouveau manuel complet du relieur en tous genres contenant les arts de l’assembleur, du satineur, du cartonneur, du marbreur sur tranches et du doreur sur tranches et sur cuir</w:t>
            </w:r>
            <w:r>
              <w:t>, édité par L. Mulo, 171‑75. Manuels Roret. 1900. Reprint, Paris, FR-IDF: Encyclopédie-Roret, 2006.</w:t>
            </w:r>
            <w:hyperlink r:id="rId408">
              <w:r>
                <w:rPr>
                  <w:color w:val="4F81BD"/>
                </w:rPr>
                <w:t xml:space="preserve"> https://www.moulinduverger.com/reliure-manuelle/roret-69.php</w:t>
              </w:r>
            </w:hyperlink>
            <w:r>
              <w:t>.</w:t>
            </w:r>
          </w:p>
          <w:p w14:paraId="3F4AE427" w14:textId="77777777" w:rsidR="00BF18CF" w:rsidRDefault="00E51347">
            <w:r>
              <w:t xml:space="preserve">Louis, Olivier. « Bâtonnets de tranchefile, fabrication, matériel utilisé et dimensions. » Blogue. </w:t>
            </w:r>
            <w:r>
              <w:rPr>
                <w:i/>
              </w:rPr>
              <w:t>Reliure d’art dare</w:t>
            </w:r>
            <w:r>
              <w:t xml:space="preserve"> (blog), 28 septembre 2021.</w:t>
            </w:r>
            <w:hyperlink r:id="rId409">
              <w:r>
                <w:rPr>
                  <w:color w:val="4F81BD"/>
                </w:rPr>
                <w:t xml:space="preserve"> https://reliuredartdare.com/2021/09/batonnets-tranchefile-fabrication/</w:t>
              </w:r>
            </w:hyperlink>
            <w:r>
              <w:t>.</w:t>
            </w:r>
          </w:p>
          <w:p w14:paraId="371F7573" w14:textId="77777777" w:rsidR="00BF18CF" w:rsidRPr="00EE61A5" w:rsidRDefault="00E51347">
            <w:pPr>
              <w:rPr>
                <w:lang w:val="en-CA"/>
              </w:rPr>
            </w:pPr>
            <w:r>
              <w:t xml:space="preserve">Smith, Shelagh, et Hélène Francoeur. </w:t>
            </w:r>
            <w:r w:rsidRPr="00EE61A5">
              <w:rPr>
                <w:i/>
                <w:lang w:val="en-CA"/>
              </w:rPr>
              <w:t>English to French Book Arts Terms</w:t>
            </w:r>
            <w:r w:rsidRPr="00EE61A5">
              <w:rPr>
                <w:lang w:val="en-CA"/>
              </w:rPr>
              <w:t>. Toronto, CA-ON: Canadian Bookbinders and Book Artists Guild, 2021.</w:t>
            </w:r>
            <w:hyperlink r:id="rId410">
              <w:r w:rsidRPr="00EE61A5">
                <w:rPr>
                  <w:color w:val="4F81BD"/>
                  <w:lang w:val="en-CA"/>
                </w:rPr>
                <w:t xml:space="preserve"> https://www.cbbag.ca/resources/Public/Book%20Arts%20ENG%20FRE%20Translation.pdf</w:t>
              </w:r>
            </w:hyperlink>
            <w:r w:rsidRPr="00EE61A5">
              <w:rPr>
                <w:lang w:val="en-CA"/>
              </w:rPr>
              <w:t>.</w:t>
            </w:r>
          </w:p>
        </w:tc>
      </w:tr>
    </w:tbl>
    <w:p w14:paraId="3638D49C" w14:textId="77777777" w:rsidR="00BF18CF" w:rsidRDefault="00E51347">
      <w:pPr>
        <w:pStyle w:val="Heading3"/>
      </w:pPr>
      <w:bookmarkStart w:id="329" w:name="bookmark=id.1h65qms" w:colFirst="0" w:colLast="0"/>
      <w:bookmarkStart w:id="330" w:name="_Toc144360908"/>
      <w:bookmarkEnd w:id="329"/>
      <w:r>
        <w:t>P35 a identifié (a été identifié par)</w:t>
      </w:r>
      <w:bookmarkEnd w:id="330"/>
    </w:p>
    <w:tbl>
      <w:tblPr>
        <w:tblStyle w:val="aff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2308BA89" w14:textId="77777777" w:rsidTr="00BF18CF">
        <w:tc>
          <w:tcPr>
            <w:tcW w:w="2097" w:type="dxa"/>
          </w:tcPr>
          <w:p w14:paraId="3D412CD4"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086197C9" w14:textId="77777777" w:rsidR="00BF18CF" w:rsidRDefault="00E51347">
            <w:r>
              <w:rPr>
                <w:rFonts w:ascii="Consolas" w:eastAsia="Consolas" w:hAnsi="Consolas" w:cs="Consolas"/>
                <w:sz w:val="22"/>
                <w:szCs w:val="22"/>
                <w:shd w:val="clear" w:color="auto" w:fill="EAEEF3"/>
              </w:rPr>
              <w:t>E14_Évaluation_d’état_matériel</w:t>
            </w:r>
          </w:p>
        </w:tc>
      </w:tr>
      <w:tr w:rsidR="00BF18CF" w14:paraId="7E6F5A5C" w14:textId="77777777" w:rsidTr="00BF18CF">
        <w:tc>
          <w:tcPr>
            <w:tcW w:w="2097" w:type="dxa"/>
          </w:tcPr>
          <w:p w14:paraId="20E8DC4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20588191" w14:textId="77777777" w:rsidR="00BF18CF" w:rsidRDefault="00E51347">
            <w:r>
              <w:rPr>
                <w:rFonts w:ascii="Consolas" w:eastAsia="Consolas" w:hAnsi="Consolas" w:cs="Consolas"/>
                <w:sz w:val="22"/>
                <w:szCs w:val="22"/>
                <w:shd w:val="clear" w:color="auto" w:fill="EAEEF3"/>
              </w:rPr>
              <w:t>E3_État_matériel</w:t>
            </w:r>
          </w:p>
        </w:tc>
      </w:tr>
      <w:tr w:rsidR="00BF18CF" w14:paraId="23BBA465" w14:textId="77777777" w:rsidTr="00BF18CF">
        <w:tc>
          <w:tcPr>
            <w:tcW w:w="2097" w:type="dxa"/>
          </w:tcPr>
          <w:p w14:paraId="10EA6E97"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0CA15161" w14:textId="77777777" w:rsidR="00BF18CF" w:rsidRDefault="00E51347">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P141_a_assigné (a_été_assigné_par)</w:t>
            </w:r>
            <w:r>
              <w:t xml:space="preserve">: </w:t>
            </w:r>
            <w:r>
              <w:rPr>
                <w:rFonts w:ascii="Consolas" w:eastAsia="Consolas" w:hAnsi="Consolas" w:cs="Consolas"/>
                <w:sz w:val="22"/>
                <w:szCs w:val="22"/>
                <w:shd w:val="clear" w:color="auto" w:fill="EAEEF3"/>
              </w:rPr>
              <w:t>E1_Entité_CRM</w:t>
            </w:r>
          </w:p>
        </w:tc>
      </w:tr>
      <w:tr w:rsidR="00BF18CF" w14:paraId="311945EE" w14:textId="77777777" w:rsidTr="00BF18CF">
        <w:tc>
          <w:tcPr>
            <w:tcW w:w="2097" w:type="dxa"/>
          </w:tcPr>
          <w:p w14:paraId="709E8C5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0D7A8A53" w14:textId="77777777" w:rsidR="00BF18CF" w:rsidRDefault="00BF18CF">
            <w:pPr>
              <w:pBdr>
                <w:top w:val="nil"/>
                <w:left w:val="nil"/>
                <w:bottom w:val="nil"/>
                <w:right w:val="nil"/>
                <w:between w:val="nil"/>
              </w:pBdr>
              <w:spacing w:before="36" w:after="36"/>
              <w:rPr>
                <w:color w:val="000000"/>
              </w:rPr>
            </w:pPr>
          </w:p>
        </w:tc>
      </w:tr>
      <w:tr w:rsidR="00BF18CF" w14:paraId="06F5A08F" w14:textId="77777777" w:rsidTr="00BF18CF">
        <w:tc>
          <w:tcPr>
            <w:tcW w:w="2097" w:type="dxa"/>
          </w:tcPr>
          <w:p w14:paraId="319C82A5"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5C4CBCD8" w14:textId="77777777" w:rsidR="00BF18CF" w:rsidRDefault="00E51347">
            <w:proofErr w:type="gramStart"/>
            <w:r>
              <w:t>plusieurs</w:t>
            </w:r>
            <w:proofErr w:type="gramEnd"/>
            <w:r>
              <w:t xml:space="preserve"> à plusieurs, nécessaire (1,n:0,n)</w:t>
            </w:r>
          </w:p>
        </w:tc>
      </w:tr>
      <w:tr w:rsidR="00BF18CF" w14:paraId="64D5A596" w14:textId="77777777" w:rsidTr="00BF18CF">
        <w:tc>
          <w:tcPr>
            <w:tcW w:w="2097" w:type="dxa"/>
          </w:tcPr>
          <w:p w14:paraId="181D4B9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36EAB2AF" w14:textId="77777777" w:rsidR="00BF18CF" w:rsidRDefault="00E51347">
            <w:r>
              <w:t xml:space="preserve">Cette propriété identifie une instance de </w:t>
            </w:r>
            <w:r>
              <w:rPr>
                <w:rFonts w:ascii="Consolas" w:eastAsia="Consolas" w:hAnsi="Consolas" w:cs="Consolas"/>
                <w:sz w:val="22"/>
                <w:szCs w:val="22"/>
                <w:shd w:val="clear" w:color="auto" w:fill="EAEEF3"/>
              </w:rPr>
              <w:t>E3_État_matériel</w:t>
            </w:r>
            <w:r>
              <w:t xml:space="preserve"> observée dans le cadre d'une instance de </w:t>
            </w:r>
            <w:r>
              <w:rPr>
                <w:rFonts w:ascii="Consolas" w:eastAsia="Consolas" w:hAnsi="Consolas" w:cs="Consolas"/>
                <w:sz w:val="22"/>
                <w:szCs w:val="22"/>
                <w:shd w:val="clear" w:color="auto" w:fill="EAEEF3"/>
              </w:rPr>
              <w:t>E14_Évaluation_d’état_matériel</w:t>
            </w:r>
            <w:r>
              <w:t>.</w:t>
            </w:r>
          </w:p>
        </w:tc>
      </w:tr>
      <w:tr w:rsidR="00BF18CF" w14:paraId="55A175C7" w14:textId="77777777" w:rsidTr="00BF18CF">
        <w:tc>
          <w:tcPr>
            <w:tcW w:w="2097" w:type="dxa"/>
          </w:tcPr>
          <w:p w14:paraId="733E464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3" w:type="dxa"/>
          </w:tcPr>
          <w:p w14:paraId="371BFDDF" w14:textId="77777777" w:rsidR="00BF18CF" w:rsidRDefault="00E51347">
            <w:pPr>
              <w:numPr>
                <w:ilvl w:val="0"/>
                <w:numId w:val="19"/>
              </w:numPr>
            </w:pPr>
            <w:r>
              <w:t>L'évaluation en 1997 de l'état matériel de la coupe en argent « 232 » en 1997 (</w:t>
            </w:r>
            <w:r>
              <w:rPr>
                <w:rFonts w:ascii="Consolas" w:eastAsia="Consolas" w:hAnsi="Consolas" w:cs="Consolas"/>
                <w:sz w:val="22"/>
                <w:szCs w:val="22"/>
                <w:shd w:val="clear" w:color="auto" w:fill="EAEEF3"/>
              </w:rPr>
              <w:t>E14_Évaluation_d’état_matériel</w:t>
            </w:r>
            <w:r>
              <w:t>) a identifié (</w:t>
            </w:r>
            <w:r>
              <w:rPr>
                <w:rFonts w:ascii="Consolas" w:eastAsia="Consolas" w:hAnsi="Consolas" w:cs="Consolas"/>
                <w:sz w:val="22"/>
                <w:szCs w:val="22"/>
                <w:shd w:val="clear" w:color="auto" w:fill="EAEEF3"/>
              </w:rPr>
              <w:t>P35_a_identifié</w:t>
            </w:r>
            <w:r>
              <w:t>) des traces d'oxydation (</w:t>
            </w:r>
            <w:r>
              <w:rPr>
                <w:rFonts w:ascii="Consolas" w:eastAsia="Consolas" w:hAnsi="Consolas" w:cs="Consolas"/>
                <w:sz w:val="22"/>
                <w:szCs w:val="22"/>
                <w:shd w:val="clear" w:color="auto" w:fill="EAEEF3"/>
              </w:rPr>
              <w:t>E3_État_matériel</w:t>
            </w:r>
            <w:r>
              <w:t>), lesquelles ont pour type (</w:t>
            </w:r>
            <w:r>
              <w:rPr>
                <w:rFonts w:ascii="Consolas" w:eastAsia="Consolas" w:hAnsi="Consolas" w:cs="Consolas"/>
                <w:sz w:val="22"/>
                <w:szCs w:val="22"/>
                <w:shd w:val="clear" w:color="auto" w:fill="EAEEF3"/>
              </w:rPr>
              <w:t>P2_a_pour_type</w:t>
            </w:r>
            <w:r>
              <w:t>) « traces d'oxydation » (</w:t>
            </w:r>
            <w:r>
              <w:rPr>
                <w:rFonts w:ascii="Consolas" w:eastAsia="Consolas" w:hAnsi="Consolas" w:cs="Consolas"/>
                <w:sz w:val="22"/>
                <w:szCs w:val="22"/>
                <w:shd w:val="clear" w:color="auto" w:fill="EAEEF3"/>
              </w:rPr>
              <w:t>E55_Type</w:t>
            </w:r>
            <w:r>
              <w:t>) (fictif)</w:t>
            </w:r>
          </w:p>
          <w:p w14:paraId="47E71E44" w14:textId="77777777" w:rsidR="00BF18CF" w:rsidRDefault="00E51347">
            <w:pPr>
              <w:numPr>
                <w:ilvl w:val="0"/>
                <w:numId w:val="19"/>
              </w:numPr>
            </w:pPr>
            <w:r>
              <w:t xml:space="preserve">L'évaluation de l'état matériel de la couverture du manuscrit </w:t>
            </w:r>
            <w:r>
              <w:rPr>
                <w:i/>
              </w:rPr>
              <w:t>Mont Sinaï, MS gr. 418</w:t>
            </w:r>
            <w:r>
              <w:t xml:space="preserve"> (</w:t>
            </w:r>
            <w:r>
              <w:rPr>
                <w:rFonts w:ascii="Consolas" w:eastAsia="Consolas" w:hAnsi="Consolas" w:cs="Consolas"/>
                <w:sz w:val="22"/>
                <w:szCs w:val="22"/>
                <w:shd w:val="clear" w:color="auto" w:fill="EAEEF3"/>
              </w:rPr>
              <w:t>E14_Évaluation_d’état_matériel</w:t>
            </w:r>
            <w:r>
              <w:t xml:space="preserve">) a identifié </w:t>
            </w:r>
            <w:r>
              <w:lastRenderedPageBreak/>
              <w:t>(</w:t>
            </w:r>
            <w:r>
              <w:rPr>
                <w:rFonts w:ascii="Consolas" w:eastAsia="Consolas" w:hAnsi="Consolas" w:cs="Consolas"/>
                <w:sz w:val="22"/>
                <w:szCs w:val="22"/>
                <w:shd w:val="clear" w:color="auto" w:fill="EAEEF3"/>
              </w:rPr>
              <w:t>P35_a_identifié</w:t>
            </w:r>
            <w:r>
              <w:t>) un état matériel en novembre 2003 (</w:t>
            </w:r>
            <w:r>
              <w:rPr>
                <w:rFonts w:ascii="Consolas" w:eastAsia="Consolas" w:hAnsi="Consolas" w:cs="Consolas"/>
                <w:sz w:val="22"/>
                <w:szCs w:val="22"/>
                <w:shd w:val="clear" w:color="auto" w:fill="EAEEF3"/>
              </w:rPr>
              <w:t>E3_État_matériel</w:t>
            </w:r>
            <w:r>
              <w:t>) de type « fin » (</w:t>
            </w:r>
            <w:r>
              <w:rPr>
                <w:rFonts w:ascii="Consolas" w:eastAsia="Consolas" w:hAnsi="Consolas" w:cs="Consolas"/>
                <w:sz w:val="22"/>
                <w:szCs w:val="22"/>
                <w:shd w:val="clear" w:color="auto" w:fill="EAEEF3"/>
              </w:rPr>
              <w:t>E55_Type</w:t>
            </w:r>
            <w:r>
              <w:t>) (Honey et Pickwoad, 2010)</w:t>
            </w:r>
          </w:p>
          <w:p w14:paraId="0880F0C5" w14:textId="77777777" w:rsidR="00BF18CF" w:rsidRDefault="00E51347">
            <w:pPr>
              <w:numPr>
                <w:ilvl w:val="0"/>
                <w:numId w:val="19"/>
              </w:numPr>
            </w:pPr>
            <w:r>
              <w:t xml:space="preserve">L’évaluation de l'état matériel des bâtonnets de la tranchefile du manuscrit </w:t>
            </w:r>
            <w:r>
              <w:rPr>
                <w:i/>
              </w:rPr>
              <w:t>Mont Sinaï, MS gr. 418</w:t>
            </w:r>
            <w:r>
              <w:t xml:space="preserve"> (</w:t>
            </w:r>
            <w:r>
              <w:rPr>
                <w:rFonts w:ascii="Consolas" w:eastAsia="Consolas" w:hAnsi="Consolas" w:cs="Consolas"/>
                <w:sz w:val="22"/>
                <w:szCs w:val="22"/>
                <w:shd w:val="clear" w:color="auto" w:fill="EAEEF3"/>
              </w:rPr>
              <w:t>E14_Évaluation_d’état_matériel</w:t>
            </w:r>
            <w:r>
              <w:t>) a identifié (</w:t>
            </w:r>
            <w:r>
              <w:rPr>
                <w:rFonts w:ascii="Consolas" w:eastAsia="Consolas" w:hAnsi="Consolas" w:cs="Consolas"/>
                <w:sz w:val="22"/>
                <w:szCs w:val="22"/>
                <w:shd w:val="clear" w:color="auto" w:fill="EAEEF3"/>
              </w:rPr>
              <w:t>P35_a_identifié</w:t>
            </w:r>
            <w:r>
              <w:t>) un état matériel en novembre 2003 (</w:t>
            </w:r>
            <w:r>
              <w:rPr>
                <w:rFonts w:ascii="Consolas" w:eastAsia="Consolas" w:hAnsi="Consolas" w:cs="Consolas"/>
                <w:sz w:val="22"/>
                <w:szCs w:val="22"/>
                <w:shd w:val="clear" w:color="auto" w:fill="EAEEF3"/>
              </w:rPr>
              <w:t>E3_État_matériel</w:t>
            </w:r>
            <w:r>
              <w:t>) de type « endommagé » (</w:t>
            </w:r>
            <w:r>
              <w:rPr>
                <w:rFonts w:ascii="Consolas" w:eastAsia="Consolas" w:hAnsi="Consolas" w:cs="Consolas"/>
                <w:sz w:val="22"/>
                <w:szCs w:val="22"/>
                <w:shd w:val="clear" w:color="auto" w:fill="EAEEF3"/>
              </w:rPr>
              <w:t>E55_Type</w:t>
            </w:r>
            <w:r>
              <w:t>) (Honey et Pickwoad, 2010)</w:t>
            </w:r>
          </w:p>
        </w:tc>
      </w:tr>
      <w:tr w:rsidR="00BF18CF" w14:paraId="7150B648" w14:textId="77777777" w:rsidTr="00BF18CF">
        <w:tc>
          <w:tcPr>
            <w:tcW w:w="2097" w:type="dxa"/>
          </w:tcPr>
          <w:p w14:paraId="2E3046AF"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593" w:type="dxa"/>
          </w:tcPr>
          <w:p w14:paraId="0D1476ED" w14:textId="77777777" w:rsidR="00BF18CF" w:rsidRDefault="00E51347">
            <w:r>
              <w:t>P35(</w:t>
            </w:r>
            <w:proofErr w:type="gramStart"/>
            <w:r>
              <w:t>x,y</w:t>
            </w:r>
            <w:proofErr w:type="gramEnd"/>
            <w:r>
              <w:t>) ⇒E14(x)</w:t>
            </w:r>
          </w:p>
          <w:p w14:paraId="65232349" w14:textId="77777777" w:rsidR="00BF18CF" w:rsidRDefault="00E51347">
            <w:r>
              <w:t>P35(</w:t>
            </w:r>
            <w:proofErr w:type="gramStart"/>
            <w:r>
              <w:t>x,y</w:t>
            </w:r>
            <w:proofErr w:type="gramEnd"/>
            <w:r>
              <w:t>) ⇒ E3(y)</w:t>
            </w:r>
          </w:p>
          <w:p w14:paraId="100D8269" w14:textId="77777777" w:rsidR="00BF18CF" w:rsidRDefault="00E51347">
            <w:r>
              <w:t>P35(</w:t>
            </w:r>
            <w:proofErr w:type="gramStart"/>
            <w:r>
              <w:t>x,y</w:t>
            </w:r>
            <w:proofErr w:type="gramEnd"/>
            <w:r>
              <w:t>) ⇒ P141(x,y)</w:t>
            </w:r>
          </w:p>
        </w:tc>
      </w:tr>
      <w:tr w:rsidR="00BF18CF" w14:paraId="00B595D9" w14:textId="77777777" w:rsidTr="00BF18CF">
        <w:tc>
          <w:tcPr>
            <w:tcW w:w="2097" w:type="dxa"/>
          </w:tcPr>
          <w:p w14:paraId="406DD49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5081054F" w14:textId="77777777" w:rsidR="00BF18CF" w:rsidRDefault="00BF18CF">
            <w:pPr>
              <w:pBdr>
                <w:top w:val="nil"/>
                <w:left w:val="nil"/>
                <w:bottom w:val="nil"/>
                <w:right w:val="nil"/>
                <w:between w:val="nil"/>
              </w:pBdr>
              <w:spacing w:before="36" w:after="36"/>
              <w:rPr>
                <w:color w:val="000000"/>
              </w:rPr>
            </w:pPr>
          </w:p>
        </w:tc>
      </w:tr>
      <w:tr w:rsidR="00BF18CF" w14:paraId="27DD5F93" w14:textId="77777777" w:rsidTr="00BF18CF">
        <w:tc>
          <w:tcPr>
            <w:tcW w:w="2097" w:type="dxa"/>
          </w:tcPr>
          <w:p w14:paraId="514259C2" w14:textId="391C95D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797A3C98" w14:textId="77777777" w:rsidR="00BF18CF" w:rsidRDefault="00E51347">
            <w:r>
              <w:t xml:space="preserve">« Endband cores » a été traduit par « bâtonnets de la tranchefile ». Il aurait aussi été possible de traduire par « noyaux de la tranchefile », mais cette traduction est moins fréquente dans la littérature scientifique. « Endband cores » peut aussi se traduire uniquement par </w:t>
            </w:r>
            <w:proofErr w:type="gramStart"/>
            <w:r>
              <w:t>«  bâtonnets</w:t>
            </w:r>
            <w:proofErr w:type="gramEnd"/>
            <w:r>
              <w:t xml:space="preserve"> », mais afin d'éviter toute ambiguïté, l'équipe de traduction a décidé d'ajouter « de la tranchefile ».</w:t>
            </w:r>
          </w:p>
          <w:p w14:paraId="617385B5" w14:textId="77777777" w:rsidR="00BF18CF" w:rsidRDefault="00E51347">
            <w:r>
              <w:t xml:space="preserve">Dans l'exemple « the condition assessment of the cover of MS Sinai Greek 418 (E13) has identified the condition state in November 2003 (E3) [which has type fine (E55)] (Honey and Pickwoad, 2010) », </w:t>
            </w:r>
            <w:r>
              <w:rPr>
                <w:rFonts w:ascii="Consolas" w:eastAsia="Consolas" w:hAnsi="Consolas" w:cs="Consolas"/>
                <w:sz w:val="22"/>
                <w:szCs w:val="22"/>
                <w:shd w:val="clear" w:color="auto" w:fill="EAEEF3"/>
              </w:rPr>
              <w:t>E13_Assignation_d’attribut</w:t>
            </w:r>
            <w:r>
              <w:t xml:space="preserve"> est utilisé en lieu et place de </w:t>
            </w:r>
            <w:r>
              <w:rPr>
                <w:rFonts w:ascii="Consolas" w:eastAsia="Consolas" w:hAnsi="Consolas" w:cs="Consolas"/>
                <w:sz w:val="22"/>
                <w:szCs w:val="22"/>
                <w:shd w:val="clear" w:color="auto" w:fill="EAEEF3"/>
              </w:rPr>
              <w:t>E14_Évaluation_d’état_matériel</w:t>
            </w:r>
            <w:r>
              <w:t>. Ceci est une erreur qui n'a pas été reproduite dans la version traduite.</w:t>
            </w:r>
          </w:p>
        </w:tc>
      </w:tr>
      <w:tr w:rsidR="00BF18CF" w:rsidRPr="00103833" w14:paraId="31713B6B" w14:textId="77777777" w:rsidTr="00BF18CF">
        <w:tc>
          <w:tcPr>
            <w:tcW w:w="2097" w:type="dxa"/>
          </w:tcPr>
          <w:p w14:paraId="72A856A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3F12279B" w14:textId="77777777" w:rsidR="00BF18CF" w:rsidRDefault="00E51347">
            <w:r>
              <w:t xml:space="preserve">Lenormand, Louis Sébastien, et W. Maigne. « Tranchefile ». Dans </w:t>
            </w:r>
            <w:r>
              <w:rPr>
                <w:i/>
              </w:rPr>
              <w:t>Nouveau manuel complet du relieur en tous genres contenant les arts de l’assembleur, du satineur, du cartonneur, du marbreur sur tranches et du doreur sur tranches et sur cuir</w:t>
            </w:r>
            <w:r>
              <w:t>, édité par L. Mulo, 171‑75. Manuels Roret. 1900. Reprint, Paris, FR-IDF: Encyclopédie-Roret, 2006.</w:t>
            </w:r>
            <w:hyperlink r:id="rId411">
              <w:r>
                <w:rPr>
                  <w:color w:val="4F81BD"/>
                </w:rPr>
                <w:t xml:space="preserve"> https://www.moulinduverger.com/reliure-manuelle/roret-69.php</w:t>
              </w:r>
            </w:hyperlink>
            <w:r>
              <w:t>.</w:t>
            </w:r>
          </w:p>
          <w:p w14:paraId="3686296B" w14:textId="77777777" w:rsidR="00BF18CF" w:rsidRDefault="00E51347">
            <w:r>
              <w:t xml:space="preserve">Louis, Olivier. « Bâtonnets de tranchefile, fabrication, matériel utilisé et dimensions. » Blogue. </w:t>
            </w:r>
            <w:r>
              <w:rPr>
                <w:i/>
              </w:rPr>
              <w:t>Reliure d’art dare</w:t>
            </w:r>
            <w:r>
              <w:t xml:space="preserve"> (blog), 28 septembre 2021.</w:t>
            </w:r>
            <w:hyperlink r:id="rId412">
              <w:r>
                <w:rPr>
                  <w:color w:val="4F81BD"/>
                </w:rPr>
                <w:t xml:space="preserve"> https://reliuredartdare.com/2021/09/batonnets-tranchefile-fabrication/</w:t>
              </w:r>
            </w:hyperlink>
            <w:r>
              <w:t>.</w:t>
            </w:r>
          </w:p>
          <w:p w14:paraId="53EFCBFB" w14:textId="77777777" w:rsidR="00BF18CF" w:rsidRPr="00EE61A5" w:rsidRDefault="00E51347">
            <w:pPr>
              <w:rPr>
                <w:lang w:val="en-CA"/>
              </w:rPr>
            </w:pPr>
            <w:r>
              <w:t xml:space="preserve">Smith, Shelagh, et Hélène Francoeur. </w:t>
            </w:r>
            <w:r w:rsidRPr="00EE61A5">
              <w:rPr>
                <w:i/>
                <w:lang w:val="en-CA"/>
              </w:rPr>
              <w:t>English to French Book Arts Terms</w:t>
            </w:r>
            <w:r w:rsidRPr="00EE61A5">
              <w:rPr>
                <w:lang w:val="en-CA"/>
              </w:rPr>
              <w:t>. Toronto, CA-ON: Canadian Bookbinders and Book Artists Guild, 2021.</w:t>
            </w:r>
            <w:hyperlink r:id="rId413">
              <w:r w:rsidRPr="00EE61A5">
                <w:rPr>
                  <w:color w:val="4F81BD"/>
                  <w:lang w:val="en-CA"/>
                </w:rPr>
                <w:t xml:space="preserve"> https://www.cbbag.ca/resources/Public/Book%20Arts%20ENG%20FRE%20Translation.pdf</w:t>
              </w:r>
            </w:hyperlink>
            <w:r w:rsidRPr="00EE61A5">
              <w:rPr>
                <w:lang w:val="en-CA"/>
              </w:rPr>
              <w:t>.</w:t>
            </w:r>
          </w:p>
        </w:tc>
      </w:tr>
    </w:tbl>
    <w:p w14:paraId="60014C8A" w14:textId="77777777" w:rsidR="00BF18CF" w:rsidRDefault="00E51347">
      <w:pPr>
        <w:pStyle w:val="Heading3"/>
      </w:pPr>
      <w:bookmarkStart w:id="331" w:name="bookmark=id.415t9al" w:colFirst="0" w:colLast="0"/>
      <w:bookmarkStart w:id="332" w:name="_Toc144360909"/>
      <w:bookmarkEnd w:id="331"/>
      <w:r>
        <w:t>P37 a assigné (a été assigné par)</w:t>
      </w:r>
      <w:bookmarkEnd w:id="332"/>
    </w:p>
    <w:tbl>
      <w:tblPr>
        <w:tblStyle w:val="af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7"/>
        <w:gridCol w:w="8793"/>
      </w:tblGrid>
      <w:tr w:rsidR="00BF18CF" w14:paraId="3B7A662A" w14:textId="77777777" w:rsidTr="00BF18CF">
        <w:tc>
          <w:tcPr>
            <w:tcW w:w="1897" w:type="dxa"/>
          </w:tcPr>
          <w:p w14:paraId="2CE22DB7"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3" w:type="dxa"/>
          </w:tcPr>
          <w:p w14:paraId="7C008850" w14:textId="77777777" w:rsidR="00BF18CF" w:rsidRDefault="00E51347">
            <w:r>
              <w:rPr>
                <w:rFonts w:ascii="Consolas" w:eastAsia="Consolas" w:hAnsi="Consolas" w:cs="Consolas"/>
                <w:sz w:val="22"/>
                <w:szCs w:val="22"/>
                <w:shd w:val="clear" w:color="auto" w:fill="EAEEF3"/>
              </w:rPr>
              <w:t>E15_Assignation_d’identifiant</w:t>
            </w:r>
          </w:p>
        </w:tc>
      </w:tr>
      <w:tr w:rsidR="00BF18CF" w14:paraId="5B948240" w14:textId="77777777" w:rsidTr="00BF18CF">
        <w:tc>
          <w:tcPr>
            <w:tcW w:w="1897" w:type="dxa"/>
          </w:tcPr>
          <w:p w14:paraId="61AE31E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3" w:type="dxa"/>
          </w:tcPr>
          <w:p w14:paraId="72BD19D2" w14:textId="77777777" w:rsidR="00BF18CF" w:rsidRDefault="00E51347">
            <w:r>
              <w:rPr>
                <w:rFonts w:ascii="Consolas" w:eastAsia="Consolas" w:hAnsi="Consolas" w:cs="Consolas"/>
                <w:sz w:val="22"/>
                <w:szCs w:val="22"/>
                <w:shd w:val="clear" w:color="auto" w:fill="EAEEF3"/>
              </w:rPr>
              <w:t>E42_Identifiant</w:t>
            </w:r>
          </w:p>
        </w:tc>
      </w:tr>
      <w:tr w:rsidR="00BF18CF" w14:paraId="3507DA8A" w14:textId="77777777" w:rsidTr="00BF18CF">
        <w:tc>
          <w:tcPr>
            <w:tcW w:w="1897" w:type="dxa"/>
          </w:tcPr>
          <w:p w14:paraId="6B55BFE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3" w:type="dxa"/>
          </w:tcPr>
          <w:p w14:paraId="53B07F13" w14:textId="77777777" w:rsidR="00BF18CF" w:rsidRDefault="00E51347">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P141_a_assigné (a_été_assigné_par)</w:t>
            </w:r>
            <w:r>
              <w:t xml:space="preserve">: </w:t>
            </w:r>
            <w:r>
              <w:rPr>
                <w:rFonts w:ascii="Consolas" w:eastAsia="Consolas" w:hAnsi="Consolas" w:cs="Consolas"/>
                <w:sz w:val="22"/>
                <w:szCs w:val="22"/>
                <w:shd w:val="clear" w:color="auto" w:fill="EAEEF3"/>
              </w:rPr>
              <w:t>E1_Entité_CRM</w:t>
            </w:r>
          </w:p>
        </w:tc>
      </w:tr>
      <w:tr w:rsidR="00BF18CF" w14:paraId="64FEE549" w14:textId="77777777" w:rsidTr="00BF18CF">
        <w:tc>
          <w:tcPr>
            <w:tcW w:w="1897" w:type="dxa"/>
          </w:tcPr>
          <w:p w14:paraId="0957A36C" w14:textId="77777777" w:rsidR="00BF18CF" w:rsidRDefault="00E51347">
            <w:pPr>
              <w:pBdr>
                <w:top w:val="nil"/>
                <w:left w:val="nil"/>
                <w:bottom w:val="nil"/>
                <w:right w:val="nil"/>
                <w:between w:val="nil"/>
              </w:pBdr>
              <w:spacing w:before="36" w:after="36"/>
              <w:rPr>
                <w:color w:val="000000"/>
              </w:rPr>
            </w:pPr>
            <w:r>
              <w:rPr>
                <w:b/>
                <w:color w:val="000000"/>
              </w:rPr>
              <w:lastRenderedPageBreak/>
              <w:t>Super-propriété de</w:t>
            </w:r>
          </w:p>
        </w:tc>
        <w:tc>
          <w:tcPr>
            <w:tcW w:w="8793" w:type="dxa"/>
          </w:tcPr>
          <w:p w14:paraId="02251E0F" w14:textId="77777777" w:rsidR="00BF18CF" w:rsidRDefault="00BF18CF">
            <w:pPr>
              <w:pBdr>
                <w:top w:val="nil"/>
                <w:left w:val="nil"/>
                <w:bottom w:val="nil"/>
                <w:right w:val="nil"/>
                <w:between w:val="nil"/>
              </w:pBdr>
              <w:spacing w:before="36" w:after="36"/>
              <w:rPr>
                <w:color w:val="000000"/>
              </w:rPr>
            </w:pPr>
          </w:p>
        </w:tc>
      </w:tr>
      <w:tr w:rsidR="00BF18CF" w14:paraId="7399C9FB" w14:textId="77777777" w:rsidTr="00BF18CF">
        <w:tc>
          <w:tcPr>
            <w:tcW w:w="1897" w:type="dxa"/>
          </w:tcPr>
          <w:p w14:paraId="21AF186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3" w:type="dxa"/>
          </w:tcPr>
          <w:p w14:paraId="55492EEB" w14:textId="77777777" w:rsidR="00BF18CF" w:rsidRDefault="00E51347">
            <w:proofErr w:type="gramStart"/>
            <w:r>
              <w:t>plusieurs</w:t>
            </w:r>
            <w:proofErr w:type="gramEnd"/>
            <w:r>
              <w:t xml:space="preserve"> à plusieurs (0,n:0,n)</w:t>
            </w:r>
          </w:p>
        </w:tc>
      </w:tr>
      <w:tr w:rsidR="00BF18CF" w14:paraId="56136FC7" w14:textId="77777777" w:rsidTr="00BF18CF">
        <w:tc>
          <w:tcPr>
            <w:tcW w:w="1897" w:type="dxa"/>
          </w:tcPr>
          <w:p w14:paraId="6DE68F8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3" w:type="dxa"/>
          </w:tcPr>
          <w:p w14:paraId="411C224D" w14:textId="77777777" w:rsidR="00BF18CF" w:rsidRDefault="00E51347">
            <w:r>
              <w:t xml:space="preserve">Cette propriété enregistre l'identifiant qui a été assigné à une entité dans le cadre d'une instance de </w:t>
            </w:r>
            <w:r>
              <w:rPr>
                <w:rFonts w:ascii="Consolas" w:eastAsia="Consolas" w:hAnsi="Consolas" w:cs="Consolas"/>
                <w:sz w:val="22"/>
                <w:szCs w:val="22"/>
                <w:shd w:val="clear" w:color="auto" w:fill="EAEEF3"/>
              </w:rPr>
              <w:t>E15_Assignation_d’identifiant</w:t>
            </w:r>
            <w:r>
              <w:t>.</w:t>
            </w:r>
          </w:p>
          <w:p w14:paraId="6F5CC71A" w14:textId="77777777" w:rsidR="00BF18CF" w:rsidRDefault="00E51347">
            <w:r>
              <w:t>Le même identifiant peut être assigné à plusieurs reprises.</w:t>
            </w:r>
          </w:p>
          <w:p w14:paraId="554F1632" w14:textId="77777777" w:rsidR="00BF18CF" w:rsidRDefault="00E51347">
            <w:r>
              <w:t>Un identifiant peut être créé avant une assignation.</w:t>
            </w:r>
          </w:p>
        </w:tc>
      </w:tr>
      <w:tr w:rsidR="00BF18CF" w14:paraId="7D1D775E" w14:textId="77777777" w:rsidTr="00BF18CF">
        <w:tc>
          <w:tcPr>
            <w:tcW w:w="1897" w:type="dxa"/>
          </w:tcPr>
          <w:p w14:paraId="42B4098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3" w:type="dxa"/>
          </w:tcPr>
          <w:p w14:paraId="0FDF1B0D" w14:textId="77777777" w:rsidR="00BF18CF" w:rsidRDefault="00E51347">
            <w:pPr>
              <w:numPr>
                <w:ilvl w:val="0"/>
                <w:numId w:val="19"/>
              </w:numPr>
            </w:pPr>
            <w:r>
              <w:t>L'assignation d'un identifiant le 1</w:t>
            </w:r>
            <w:r>
              <w:rPr>
                <w:vertAlign w:val="superscript"/>
              </w:rPr>
              <w:t>er</w:t>
            </w:r>
            <w:r>
              <w:t xml:space="preserve"> juin 1997 à la coupe en argent donnée par Martin Doerr (</w:t>
            </w:r>
            <w:r>
              <w:rPr>
                <w:rFonts w:ascii="Consolas" w:eastAsia="Consolas" w:hAnsi="Consolas" w:cs="Consolas"/>
                <w:sz w:val="22"/>
                <w:szCs w:val="22"/>
                <w:shd w:val="clear" w:color="auto" w:fill="EAEEF3"/>
              </w:rPr>
              <w:t>E15_Assignation_d’identifiant</w:t>
            </w:r>
            <w:r>
              <w:t>) a assigné (</w:t>
            </w:r>
            <w:r>
              <w:rPr>
                <w:rFonts w:ascii="Consolas" w:eastAsia="Consolas" w:hAnsi="Consolas" w:cs="Consolas"/>
                <w:sz w:val="22"/>
                <w:szCs w:val="22"/>
                <w:shd w:val="clear" w:color="auto" w:fill="EAEEF3"/>
              </w:rPr>
              <w:t>P37_a_assigné</w:t>
            </w:r>
            <w:r>
              <w:t>) « 232 » (</w:t>
            </w:r>
            <w:r>
              <w:rPr>
                <w:rFonts w:ascii="Consolas" w:eastAsia="Consolas" w:hAnsi="Consolas" w:cs="Consolas"/>
                <w:sz w:val="22"/>
                <w:szCs w:val="22"/>
                <w:shd w:val="clear" w:color="auto" w:fill="EAEEF3"/>
              </w:rPr>
              <w:t>E42_Identifiant</w:t>
            </w:r>
            <w:r>
              <w:t>) (fictif)</w:t>
            </w:r>
          </w:p>
        </w:tc>
      </w:tr>
      <w:tr w:rsidR="00BF18CF" w14:paraId="1485379A" w14:textId="77777777" w:rsidTr="00BF18CF">
        <w:tc>
          <w:tcPr>
            <w:tcW w:w="1897" w:type="dxa"/>
          </w:tcPr>
          <w:p w14:paraId="6E795372"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3" w:type="dxa"/>
          </w:tcPr>
          <w:p w14:paraId="3F8337D2" w14:textId="77777777" w:rsidR="00BF18CF" w:rsidRDefault="00E51347">
            <w:r>
              <w:t>P37(</w:t>
            </w:r>
            <w:proofErr w:type="gramStart"/>
            <w:r>
              <w:t>x,y</w:t>
            </w:r>
            <w:proofErr w:type="gramEnd"/>
            <w:r>
              <w:t>) ⇒ E15(x)</w:t>
            </w:r>
          </w:p>
          <w:p w14:paraId="2801536D" w14:textId="77777777" w:rsidR="00BF18CF" w:rsidRDefault="00E51347">
            <w:r>
              <w:t>P37(</w:t>
            </w:r>
            <w:proofErr w:type="gramStart"/>
            <w:r>
              <w:t>x,y</w:t>
            </w:r>
            <w:proofErr w:type="gramEnd"/>
            <w:r>
              <w:t>) ⇒ E42(y)</w:t>
            </w:r>
          </w:p>
          <w:p w14:paraId="55EA31CC" w14:textId="77777777" w:rsidR="00BF18CF" w:rsidRDefault="00E51347">
            <w:r>
              <w:t>P37(</w:t>
            </w:r>
            <w:proofErr w:type="gramStart"/>
            <w:r>
              <w:t>x,y</w:t>
            </w:r>
            <w:proofErr w:type="gramEnd"/>
            <w:r>
              <w:t>) ⇒ P141(x,y)</w:t>
            </w:r>
          </w:p>
        </w:tc>
      </w:tr>
      <w:tr w:rsidR="00BF18CF" w14:paraId="6A308CB2" w14:textId="77777777" w:rsidTr="00BF18CF">
        <w:tc>
          <w:tcPr>
            <w:tcW w:w="1897" w:type="dxa"/>
          </w:tcPr>
          <w:p w14:paraId="55B2D64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3" w:type="dxa"/>
          </w:tcPr>
          <w:p w14:paraId="48D338A2" w14:textId="77777777" w:rsidR="00BF18CF" w:rsidRDefault="00BF18CF">
            <w:pPr>
              <w:pBdr>
                <w:top w:val="nil"/>
                <w:left w:val="nil"/>
                <w:bottom w:val="nil"/>
                <w:right w:val="nil"/>
                <w:between w:val="nil"/>
              </w:pBdr>
              <w:spacing w:before="36" w:after="36"/>
              <w:rPr>
                <w:color w:val="000000"/>
              </w:rPr>
            </w:pPr>
          </w:p>
        </w:tc>
      </w:tr>
      <w:tr w:rsidR="00BF18CF" w14:paraId="7DE48531" w14:textId="77777777" w:rsidTr="00BF18CF">
        <w:tc>
          <w:tcPr>
            <w:tcW w:w="1897" w:type="dxa"/>
          </w:tcPr>
          <w:p w14:paraId="63926D71" w14:textId="2AF7889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3" w:type="dxa"/>
          </w:tcPr>
          <w:p w14:paraId="037D6DA8" w14:textId="77777777" w:rsidR="00BF18CF" w:rsidRDefault="00E51347">
            <w:r>
              <w:t xml:space="preserve">Dans la phrase « This property records the identifier that was assigned to an item in an instance of P37 Identifier Assignment », le code de </w:t>
            </w:r>
            <w:r>
              <w:rPr>
                <w:rFonts w:ascii="Consolas" w:eastAsia="Consolas" w:hAnsi="Consolas" w:cs="Consolas"/>
                <w:sz w:val="22"/>
                <w:szCs w:val="22"/>
                <w:shd w:val="clear" w:color="auto" w:fill="EAEEF3"/>
              </w:rPr>
              <w:t>E15_Assignation_d’identifiant</w:t>
            </w:r>
            <w:r>
              <w:t xml:space="preserve"> est indiqué comme « P37 ». Ceci est une erreur qui n'a pas été reproduite dans la version traduite.</w:t>
            </w:r>
          </w:p>
        </w:tc>
      </w:tr>
      <w:tr w:rsidR="00BF18CF" w14:paraId="0B3DCA84" w14:textId="77777777" w:rsidTr="00BF18CF">
        <w:tc>
          <w:tcPr>
            <w:tcW w:w="1897" w:type="dxa"/>
          </w:tcPr>
          <w:p w14:paraId="42D6ADB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3" w:type="dxa"/>
          </w:tcPr>
          <w:p w14:paraId="40D3750A" w14:textId="77777777" w:rsidR="00BF18CF" w:rsidRDefault="00BF18CF">
            <w:pPr>
              <w:pBdr>
                <w:top w:val="nil"/>
                <w:left w:val="nil"/>
                <w:bottom w:val="nil"/>
                <w:right w:val="nil"/>
                <w:between w:val="nil"/>
              </w:pBdr>
              <w:spacing w:before="36" w:after="36"/>
              <w:rPr>
                <w:color w:val="000000"/>
              </w:rPr>
            </w:pPr>
          </w:p>
        </w:tc>
      </w:tr>
    </w:tbl>
    <w:p w14:paraId="5C8EE12D" w14:textId="77777777" w:rsidR="00BF18CF" w:rsidRDefault="00E51347">
      <w:pPr>
        <w:pStyle w:val="Heading3"/>
      </w:pPr>
      <w:bookmarkStart w:id="333" w:name="bookmark=id.2gb3jie" w:colFirst="0" w:colLast="0"/>
      <w:bookmarkStart w:id="334" w:name="_Toc144360910"/>
      <w:bookmarkEnd w:id="333"/>
      <w:r>
        <w:t>P38 a retiré l'assignation (a été retiré par)</w:t>
      </w:r>
      <w:bookmarkEnd w:id="334"/>
    </w:p>
    <w:tbl>
      <w:tblPr>
        <w:tblStyle w:val="afff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3"/>
        <w:gridCol w:w="8787"/>
      </w:tblGrid>
      <w:tr w:rsidR="00BF18CF" w14:paraId="108728F7" w14:textId="77777777" w:rsidTr="00BF18CF">
        <w:tc>
          <w:tcPr>
            <w:tcW w:w="1903" w:type="dxa"/>
          </w:tcPr>
          <w:p w14:paraId="7061502A"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87" w:type="dxa"/>
          </w:tcPr>
          <w:p w14:paraId="604D4CC6" w14:textId="77777777" w:rsidR="00BF18CF" w:rsidRDefault="00E51347">
            <w:r>
              <w:rPr>
                <w:rFonts w:ascii="Consolas" w:eastAsia="Consolas" w:hAnsi="Consolas" w:cs="Consolas"/>
                <w:sz w:val="22"/>
                <w:szCs w:val="22"/>
                <w:shd w:val="clear" w:color="auto" w:fill="EAEEF3"/>
              </w:rPr>
              <w:t>E15_Assignation_d’identifiant</w:t>
            </w:r>
          </w:p>
        </w:tc>
      </w:tr>
      <w:tr w:rsidR="00BF18CF" w14:paraId="092FDFEB" w14:textId="77777777" w:rsidTr="00BF18CF">
        <w:tc>
          <w:tcPr>
            <w:tcW w:w="1903" w:type="dxa"/>
          </w:tcPr>
          <w:p w14:paraId="2C3B47D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87" w:type="dxa"/>
          </w:tcPr>
          <w:p w14:paraId="793F370D" w14:textId="77777777" w:rsidR="00BF18CF" w:rsidRDefault="00E51347">
            <w:r>
              <w:rPr>
                <w:rFonts w:ascii="Consolas" w:eastAsia="Consolas" w:hAnsi="Consolas" w:cs="Consolas"/>
                <w:sz w:val="22"/>
                <w:szCs w:val="22"/>
                <w:shd w:val="clear" w:color="auto" w:fill="EAEEF3"/>
              </w:rPr>
              <w:t>E42_Identifiant</w:t>
            </w:r>
          </w:p>
        </w:tc>
      </w:tr>
      <w:tr w:rsidR="00BF18CF" w14:paraId="43967350" w14:textId="77777777" w:rsidTr="00BF18CF">
        <w:tc>
          <w:tcPr>
            <w:tcW w:w="1903" w:type="dxa"/>
          </w:tcPr>
          <w:p w14:paraId="0CADE6F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87" w:type="dxa"/>
          </w:tcPr>
          <w:p w14:paraId="0681FB68" w14:textId="77777777" w:rsidR="00BF18CF" w:rsidRDefault="00E51347">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P141_a_assigné (a_été_assigné_par)</w:t>
            </w:r>
            <w:r>
              <w:t xml:space="preserve"> : </w:t>
            </w:r>
            <w:r>
              <w:rPr>
                <w:rFonts w:ascii="Consolas" w:eastAsia="Consolas" w:hAnsi="Consolas" w:cs="Consolas"/>
                <w:sz w:val="22"/>
                <w:szCs w:val="22"/>
                <w:shd w:val="clear" w:color="auto" w:fill="EAEEF3"/>
              </w:rPr>
              <w:t>E1_Entité_CRM</w:t>
            </w:r>
          </w:p>
        </w:tc>
      </w:tr>
      <w:tr w:rsidR="00BF18CF" w14:paraId="12CA7796" w14:textId="77777777" w:rsidTr="00BF18CF">
        <w:tc>
          <w:tcPr>
            <w:tcW w:w="1903" w:type="dxa"/>
          </w:tcPr>
          <w:p w14:paraId="7DD2962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87" w:type="dxa"/>
          </w:tcPr>
          <w:p w14:paraId="12D865EA" w14:textId="77777777" w:rsidR="00BF18CF" w:rsidRDefault="00BF18CF">
            <w:pPr>
              <w:pBdr>
                <w:top w:val="nil"/>
                <w:left w:val="nil"/>
                <w:bottom w:val="nil"/>
                <w:right w:val="nil"/>
                <w:between w:val="nil"/>
              </w:pBdr>
              <w:spacing w:before="36" w:after="36"/>
              <w:rPr>
                <w:color w:val="000000"/>
              </w:rPr>
            </w:pPr>
          </w:p>
        </w:tc>
      </w:tr>
      <w:tr w:rsidR="00BF18CF" w14:paraId="61772CC6" w14:textId="77777777" w:rsidTr="00BF18CF">
        <w:tc>
          <w:tcPr>
            <w:tcW w:w="1903" w:type="dxa"/>
          </w:tcPr>
          <w:p w14:paraId="7C5A6418"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87" w:type="dxa"/>
          </w:tcPr>
          <w:p w14:paraId="32BEEC2C" w14:textId="77777777" w:rsidR="00BF18CF" w:rsidRDefault="00E51347">
            <w:proofErr w:type="gramStart"/>
            <w:r>
              <w:t>plusieurs</w:t>
            </w:r>
            <w:proofErr w:type="gramEnd"/>
            <w:r>
              <w:t xml:space="preserve"> à plusieurs (0,n:0,n)</w:t>
            </w:r>
          </w:p>
        </w:tc>
      </w:tr>
      <w:tr w:rsidR="00BF18CF" w14:paraId="612AACA7" w14:textId="77777777" w:rsidTr="00BF18CF">
        <w:tc>
          <w:tcPr>
            <w:tcW w:w="1903" w:type="dxa"/>
          </w:tcPr>
          <w:p w14:paraId="33FD8B2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87" w:type="dxa"/>
          </w:tcPr>
          <w:p w14:paraId="20CF8413" w14:textId="77777777" w:rsidR="00BF18CF" w:rsidRDefault="00E51347">
            <w:r>
              <w:t xml:space="preserve">Cette propriété enregistre l'identifiant d'une instance de </w:t>
            </w:r>
            <w:r>
              <w:rPr>
                <w:rFonts w:ascii="Consolas" w:eastAsia="Consolas" w:hAnsi="Consolas" w:cs="Consolas"/>
                <w:sz w:val="22"/>
                <w:szCs w:val="22"/>
                <w:shd w:val="clear" w:color="auto" w:fill="EAEEF3"/>
              </w:rPr>
              <w:t>E1_Entité_CRM</w:t>
            </w:r>
            <w:r>
              <w:t xml:space="preserve"> pour lequel une assignation a été retirée.</w:t>
            </w:r>
          </w:p>
          <w:p w14:paraId="540A95E2" w14:textId="77777777" w:rsidR="00BF18CF" w:rsidRDefault="00E51347">
            <w:r>
              <w:t>Le retrait de l'assignation d'un identifiant peut être nécessaire lorsqu'un élément est retiré d'un inventaire, qu'un nouveau système de numérotation est introduit ou que les éléments sont fusionnés ou divisés.</w:t>
            </w:r>
          </w:p>
          <w:p w14:paraId="3524D5CB" w14:textId="77777777" w:rsidR="00BF18CF" w:rsidRDefault="00E51347">
            <w:r>
              <w:t>Le même identifiant peut être retiré à plusieurs reprises.</w:t>
            </w:r>
          </w:p>
        </w:tc>
      </w:tr>
      <w:tr w:rsidR="00BF18CF" w14:paraId="6EEF0CF4" w14:textId="77777777" w:rsidTr="00BF18CF">
        <w:tc>
          <w:tcPr>
            <w:tcW w:w="1903" w:type="dxa"/>
          </w:tcPr>
          <w:p w14:paraId="3D2E6FB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87" w:type="dxa"/>
          </w:tcPr>
          <w:p w14:paraId="397F97CB" w14:textId="77777777" w:rsidR="00BF18CF" w:rsidRDefault="00E51347">
            <w:pPr>
              <w:numPr>
                <w:ilvl w:val="0"/>
                <w:numId w:val="19"/>
              </w:numPr>
            </w:pPr>
            <w:r>
              <w:t>L'assignation d'un identifiant le 31 juillet 2001 à la coupe en argent (</w:t>
            </w:r>
            <w:r>
              <w:rPr>
                <w:rFonts w:ascii="Consolas" w:eastAsia="Consolas" w:hAnsi="Consolas" w:cs="Consolas"/>
                <w:sz w:val="22"/>
                <w:szCs w:val="22"/>
                <w:shd w:val="clear" w:color="auto" w:fill="EAEEF3"/>
              </w:rPr>
              <w:t>E15_Assignation_d’identifiant</w:t>
            </w:r>
            <w:r>
              <w:t xml:space="preserve">) soit le « OXCMS:2001.1.32 » a retiré </w:t>
            </w:r>
            <w:r>
              <w:lastRenderedPageBreak/>
              <w:t>l'assignation de (</w:t>
            </w:r>
            <w:r>
              <w:rPr>
                <w:rFonts w:ascii="Consolas" w:eastAsia="Consolas" w:hAnsi="Consolas" w:cs="Consolas"/>
                <w:sz w:val="22"/>
                <w:szCs w:val="22"/>
                <w:shd w:val="clear" w:color="auto" w:fill="EAEEF3"/>
              </w:rPr>
              <w:t>P38_a_retiré_l’assignation</w:t>
            </w:r>
            <w:r>
              <w:t>) son identifiant précédent « 232 » (</w:t>
            </w:r>
            <w:r>
              <w:rPr>
                <w:rFonts w:ascii="Consolas" w:eastAsia="Consolas" w:hAnsi="Consolas" w:cs="Consolas"/>
                <w:sz w:val="22"/>
                <w:szCs w:val="22"/>
                <w:shd w:val="clear" w:color="auto" w:fill="EAEEF3"/>
              </w:rPr>
              <w:t>E42_Identifiant</w:t>
            </w:r>
            <w:r>
              <w:t>) (fictif)</w:t>
            </w:r>
          </w:p>
        </w:tc>
      </w:tr>
      <w:tr w:rsidR="00BF18CF" w14:paraId="4FF6CE62" w14:textId="77777777" w:rsidTr="00BF18CF">
        <w:tc>
          <w:tcPr>
            <w:tcW w:w="1903" w:type="dxa"/>
          </w:tcPr>
          <w:p w14:paraId="63D0CE0C"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787" w:type="dxa"/>
          </w:tcPr>
          <w:p w14:paraId="5C7D814B" w14:textId="77777777" w:rsidR="00BF18CF" w:rsidRDefault="00E51347">
            <w:r>
              <w:t>P38(</w:t>
            </w:r>
            <w:proofErr w:type="gramStart"/>
            <w:r>
              <w:t>x,y</w:t>
            </w:r>
            <w:proofErr w:type="gramEnd"/>
            <w:r>
              <w:t>) ⇒ E15(x)</w:t>
            </w:r>
          </w:p>
          <w:p w14:paraId="55D5F967" w14:textId="77777777" w:rsidR="00BF18CF" w:rsidRDefault="00E51347">
            <w:r>
              <w:t>P38(</w:t>
            </w:r>
            <w:proofErr w:type="gramStart"/>
            <w:r>
              <w:t>x,y</w:t>
            </w:r>
            <w:proofErr w:type="gramEnd"/>
            <w:r>
              <w:t>) ⇒ E42(y)</w:t>
            </w:r>
          </w:p>
          <w:p w14:paraId="0CCDD87C" w14:textId="77777777" w:rsidR="00BF18CF" w:rsidRDefault="00E51347">
            <w:r>
              <w:t>P38(</w:t>
            </w:r>
            <w:proofErr w:type="gramStart"/>
            <w:r>
              <w:t>x,y</w:t>
            </w:r>
            <w:proofErr w:type="gramEnd"/>
            <w:r>
              <w:t>) ⇒ P141(x,y)</w:t>
            </w:r>
          </w:p>
        </w:tc>
      </w:tr>
      <w:tr w:rsidR="00BF18CF" w14:paraId="04FFA3BC" w14:textId="77777777" w:rsidTr="00BF18CF">
        <w:tc>
          <w:tcPr>
            <w:tcW w:w="1903" w:type="dxa"/>
          </w:tcPr>
          <w:p w14:paraId="4A586E6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87" w:type="dxa"/>
          </w:tcPr>
          <w:p w14:paraId="3D9129DC" w14:textId="77777777" w:rsidR="00BF18CF" w:rsidRDefault="00BF18CF">
            <w:pPr>
              <w:pBdr>
                <w:top w:val="nil"/>
                <w:left w:val="nil"/>
                <w:bottom w:val="nil"/>
                <w:right w:val="nil"/>
                <w:between w:val="nil"/>
              </w:pBdr>
              <w:spacing w:before="36" w:after="36"/>
              <w:rPr>
                <w:color w:val="000000"/>
              </w:rPr>
            </w:pPr>
          </w:p>
        </w:tc>
      </w:tr>
      <w:tr w:rsidR="00BF18CF" w14:paraId="36F591E8" w14:textId="77777777" w:rsidTr="00BF18CF">
        <w:tc>
          <w:tcPr>
            <w:tcW w:w="1903" w:type="dxa"/>
          </w:tcPr>
          <w:p w14:paraId="5E39095C" w14:textId="3075467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87" w:type="dxa"/>
          </w:tcPr>
          <w:p w14:paraId="4D28F2C0" w14:textId="77777777" w:rsidR="00BF18CF" w:rsidRDefault="00BF18CF">
            <w:pPr>
              <w:pBdr>
                <w:top w:val="nil"/>
                <w:left w:val="nil"/>
                <w:bottom w:val="nil"/>
                <w:right w:val="nil"/>
                <w:between w:val="nil"/>
              </w:pBdr>
              <w:spacing w:before="36" w:after="36"/>
              <w:rPr>
                <w:color w:val="000000"/>
              </w:rPr>
            </w:pPr>
          </w:p>
        </w:tc>
      </w:tr>
      <w:tr w:rsidR="00BF18CF" w14:paraId="2602AA0F" w14:textId="77777777" w:rsidTr="00BF18CF">
        <w:tc>
          <w:tcPr>
            <w:tcW w:w="1903" w:type="dxa"/>
          </w:tcPr>
          <w:p w14:paraId="05EB492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87" w:type="dxa"/>
          </w:tcPr>
          <w:p w14:paraId="2E62F94C" w14:textId="77777777" w:rsidR="00BF18CF" w:rsidRDefault="00BF18CF">
            <w:pPr>
              <w:pBdr>
                <w:top w:val="nil"/>
                <w:left w:val="nil"/>
                <w:bottom w:val="nil"/>
                <w:right w:val="nil"/>
                <w:between w:val="nil"/>
              </w:pBdr>
              <w:spacing w:before="36" w:after="36"/>
              <w:rPr>
                <w:color w:val="000000"/>
              </w:rPr>
            </w:pPr>
          </w:p>
        </w:tc>
      </w:tr>
    </w:tbl>
    <w:p w14:paraId="4F42C5EF" w14:textId="77777777" w:rsidR="00BF18CF" w:rsidRDefault="00E51347">
      <w:pPr>
        <w:pStyle w:val="Heading3"/>
      </w:pPr>
      <w:bookmarkStart w:id="335" w:name="bookmark=id.vgdtq7" w:colFirst="0" w:colLast="0"/>
      <w:bookmarkStart w:id="336" w:name="_Toc144360911"/>
      <w:bookmarkEnd w:id="335"/>
      <w:r>
        <w:t>P39 a mesuré (a été mesuré par)</w:t>
      </w:r>
      <w:bookmarkEnd w:id="336"/>
    </w:p>
    <w:tbl>
      <w:tblPr>
        <w:tblStyle w:val="aff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2"/>
        <w:gridCol w:w="8808"/>
      </w:tblGrid>
      <w:tr w:rsidR="00BF18CF" w14:paraId="27D60A42" w14:textId="77777777" w:rsidTr="00BF18CF">
        <w:tc>
          <w:tcPr>
            <w:tcW w:w="1882" w:type="dxa"/>
          </w:tcPr>
          <w:p w14:paraId="4FB03C6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8" w:type="dxa"/>
          </w:tcPr>
          <w:p w14:paraId="370A7923" w14:textId="77777777" w:rsidR="00BF18CF" w:rsidRDefault="00E51347">
            <w:r>
              <w:rPr>
                <w:rFonts w:ascii="Consolas" w:eastAsia="Consolas" w:hAnsi="Consolas" w:cs="Consolas"/>
                <w:sz w:val="22"/>
                <w:szCs w:val="22"/>
                <w:shd w:val="clear" w:color="auto" w:fill="EAEEF3"/>
              </w:rPr>
              <w:t>E16_Mesurage</w:t>
            </w:r>
          </w:p>
        </w:tc>
      </w:tr>
      <w:tr w:rsidR="00BF18CF" w14:paraId="1ADEA674" w14:textId="77777777" w:rsidTr="00BF18CF">
        <w:tc>
          <w:tcPr>
            <w:tcW w:w="1882" w:type="dxa"/>
          </w:tcPr>
          <w:p w14:paraId="595457F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8" w:type="dxa"/>
          </w:tcPr>
          <w:p w14:paraId="13BED42E" w14:textId="77777777" w:rsidR="00BF18CF" w:rsidRDefault="00E51347">
            <w:r>
              <w:rPr>
                <w:rFonts w:ascii="Consolas" w:eastAsia="Consolas" w:hAnsi="Consolas" w:cs="Consolas"/>
                <w:sz w:val="22"/>
                <w:szCs w:val="22"/>
                <w:shd w:val="clear" w:color="auto" w:fill="EAEEF3"/>
              </w:rPr>
              <w:t>E1_Entité_CRM</w:t>
            </w:r>
          </w:p>
        </w:tc>
      </w:tr>
      <w:tr w:rsidR="00BF18CF" w14:paraId="05F2B452" w14:textId="77777777" w:rsidTr="00BF18CF">
        <w:tc>
          <w:tcPr>
            <w:tcW w:w="1882" w:type="dxa"/>
          </w:tcPr>
          <w:p w14:paraId="6AA47D6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8" w:type="dxa"/>
          </w:tcPr>
          <w:p w14:paraId="436B4995" w14:textId="77777777" w:rsidR="00BF18CF" w:rsidRDefault="00E51347">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P140_a_assigné_l’attribut_à (a_reçu_l’attribut_par)</w:t>
            </w:r>
            <w:r>
              <w:t xml:space="preserve"> : </w:t>
            </w:r>
            <w:r>
              <w:rPr>
                <w:rFonts w:ascii="Consolas" w:eastAsia="Consolas" w:hAnsi="Consolas" w:cs="Consolas"/>
                <w:sz w:val="22"/>
                <w:szCs w:val="22"/>
                <w:shd w:val="clear" w:color="auto" w:fill="EAEEF3"/>
              </w:rPr>
              <w:t>E1_Entité_CRM</w:t>
            </w:r>
          </w:p>
        </w:tc>
      </w:tr>
      <w:tr w:rsidR="00BF18CF" w14:paraId="6D821E17" w14:textId="77777777" w:rsidTr="00BF18CF">
        <w:tc>
          <w:tcPr>
            <w:tcW w:w="1882" w:type="dxa"/>
          </w:tcPr>
          <w:p w14:paraId="4AFC637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8" w:type="dxa"/>
          </w:tcPr>
          <w:p w14:paraId="4F7F9BA0" w14:textId="77777777" w:rsidR="00BF18CF" w:rsidRDefault="00BF18CF">
            <w:pPr>
              <w:pBdr>
                <w:top w:val="nil"/>
                <w:left w:val="nil"/>
                <w:bottom w:val="nil"/>
                <w:right w:val="nil"/>
                <w:between w:val="nil"/>
              </w:pBdr>
              <w:spacing w:before="36" w:after="36"/>
              <w:rPr>
                <w:color w:val="000000"/>
              </w:rPr>
            </w:pPr>
          </w:p>
        </w:tc>
      </w:tr>
      <w:tr w:rsidR="00BF18CF" w14:paraId="3440651E" w14:textId="77777777" w:rsidTr="00BF18CF">
        <w:tc>
          <w:tcPr>
            <w:tcW w:w="1882" w:type="dxa"/>
          </w:tcPr>
          <w:p w14:paraId="33C957C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8" w:type="dxa"/>
          </w:tcPr>
          <w:p w14:paraId="4E3A78FD" w14:textId="77777777" w:rsidR="00BF18CF" w:rsidRDefault="00E51347">
            <w:proofErr w:type="gramStart"/>
            <w:r>
              <w:t>plusieurs</w:t>
            </w:r>
            <w:proofErr w:type="gramEnd"/>
            <w:r>
              <w:t xml:space="preserve"> à un, nécessaire (1,1:0,n)</w:t>
            </w:r>
          </w:p>
        </w:tc>
      </w:tr>
      <w:tr w:rsidR="00BF18CF" w14:paraId="5EA02FB2" w14:textId="77777777" w:rsidTr="00BF18CF">
        <w:tc>
          <w:tcPr>
            <w:tcW w:w="1882" w:type="dxa"/>
          </w:tcPr>
          <w:p w14:paraId="2573F64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8" w:type="dxa"/>
          </w:tcPr>
          <w:p w14:paraId="6CBB0AF4" w14:textId="77777777" w:rsidR="00BF18CF" w:rsidRDefault="00E51347">
            <w:r>
              <w:t xml:space="preserve">Cette propriété associe une instance de </w:t>
            </w:r>
            <w:r>
              <w:rPr>
                <w:rFonts w:ascii="Consolas" w:eastAsia="Consolas" w:hAnsi="Consolas" w:cs="Consolas"/>
                <w:sz w:val="22"/>
                <w:szCs w:val="22"/>
                <w:shd w:val="clear" w:color="auto" w:fill="EAEEF3"/>
              </w:rPr>
              <w:t>E16_Mesurage</w:t>
            </w:r>
            <w:r>
              <w:t xml:space="preserve"> à l’instance de </w:t>
            </w:r>
            <w:r>
              <w:rPr>
                <w:rFonts w:ascii="Consolas" w:eastAsia="Consolas" w:hAnsi="Consolas" w:cs="Consolas"/>
                <w:sz w:val="22"/>
                <w:szCs w:val="22"/>
                <w:shd w:val="clear" w:color="auto" w:fill="EAEEF3"/>
              </w:rPr>
              <w:t>E1_Entité_CRM</w:t>
            </w:r>
            <w:r>
              <w:t xml:space="preserve"> à laquelle elle s’est appliquée. Une instance de </w:t>
            </w:r>
            <w:r>
              <w:rPr>
                <w:rFonts w:ascii="Consolas" w:eastAsia="Consolas" w:hAnsi="Consolas" w:cs="Consolas"/>
                <w:sz w:val="22"/>
                <w:szCs w:val="22"/>
                <w:shd w:val="clear" w:color="auto" w:fill="EAEEF3"/>
              </w:rPr>
              <w:t>E1_Entité_CRM</w:t>
            </w:r>
            <w:r>
              <w:t xml:space="preserve"> peut être mesurée plus d’une fois. Les choses matérielles et immatérielles ainsi que les processus peuvent être mesurés, par exemple le nombre de mots dans un texte ou la durée d’un évènement.</w:t>
            </w:r>
          </w:p>
        </w:tc>
      </w:tr>
      <w:tr w:rsidR="00BF18CF" w14:paraId="42D03B32" w14:textId="77777777" w:rsidTr="00BF18CF">
        <w:tc>
          <w:tcPr>
            <w:tcW w:w="1882" w:type="dxa"/>
          </w:tcPr>
          <w:p w14:paraId="42529FA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8" w:type="dxa"/>
          </w:tcPr>
          <w:p w14:paraId="76C370ED" w14:textId="77777777" w:rsidR="00BF18CF" w:rsidRDefault="00E51347">
            <w:pPr>
              <w:numPr>
                <w:ilvl w:val="0"/>
                <w:numId w:val="19"/>
              </w:numPr>
            </w:pPr>
            <w:r>
              <w:t>Le mesurage de la hauteur de la coupe en argent « 232 » le 31 août 1997 (</w:t>
            </w:r>
            <w:r>
              <w:rPr>
                <w:rFonts w:ascii="Consolas" w:eastAsia="Consolas" w:hAnsi="Consolas" w:cs="Consolas"/>
                <w:sz w:val="22"/>
                <w:szCs w:val="22"/>
                <w:shd w:val="clear" w:color="auto" w:fill="EAEEF3"/>
              </w:rPr>
              <w:t>E16_Mesurage</w:t>
            </w:r>
            <w:r>
              <w:t>) a mesuré (</w:t>
            </w:r>
            <w:r>
              <w:rPr>
                <w:rFonts w:ascii="Consolas" w:eastAsia="Consolas" w:hAnsi="Consolas" w:cs="Consolas"/>
                <w:sz w:val="22"/>
                <w:szCs w:val="22"/>
                <w:shd w:val="clear" w:color="auto" w:fill="EAEEF3"/>
              </w:rPr>
              <w:t>P39_a_mesuré</w:t>
            </w:r>
            <w:r>
              <w:t>) la coupe en argent « 232 » (</w:t>
            </w:r>
            <w:r>
              <w:rPr>
                <w:rFonts w:ascii="Consolas" w:eastAsia="Consolas" w:hAnsi="Consolas" w:cs="Consolas"/>
                <w:sz w:val="22"/>
                <w:szCs w:val="22"/>
                <w:shd w:val="clear" w:color="auto" w:fill="EAEEF3"/>
              </w:rPr>
              <w:t>E22_Objet_élaboré_par_l’humain</w:t>
            </w:r>
            <w:r>
              <w:t>) (fictif)</w:t>
            </w:r>
          </w:p>
        </w:tc>
      </w:tr>
      <w:tr w:rsidR="00BF18CF" w14:paraId="433BCF0D" w14:textId="77777777" w:rsidTr="00BF18CF">
        <w:tc>
          <w:tcPr>
            <w:tcW w:w="1882" w:type="dxa"/>
          </w:tcPr>
          <w:p w14:paraId="497BB3D2"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8" w:type="dxa"/>
          </w:tcPr>
          <w:p w14:paraId="29AE6425" w14:textId="77777777" w:rsidR="00BF18CF" w:rsidRDefault="00E51347">
            <w:r>
              <w:t>P39(</w:t>
            </w:r>
            <w:proofErr w:type="gramStart"/>
            <w:r>
              <w:t>x,y</w:t>
            </w:r>
            <w:proofErr w:type="gramEnd"/>
            <w:r>
              <w:t>) ⇒ E16(x)</w:t>
            </w:r>
          </w:p>
          <w:p w14:paraId="2244A5A7" w14:textId="77777777" w:rsidR="00BF18CF" w:rsidRDefault="00E51347">
            <w:r>
              <w:t>P39(</w:t>
            </w:r>
            <w:proofErr w:type="gramStart"/>
            <w:r>
              <w:t>x,y</w:t>
            </w:r>
            <w:proofErr w:type="gramEnd"/>
            <w:r>
              <w:t>) ⇒ E1(y)</w:t>
            </w:r>
          </w:p>
          <w:p w14:paraId="3E93B2B6" w14:textId="77777777" w:rsidR="00BF18CF" w:rsidRDefault="00E51347">
            <w:r>
              <w:t>P39(</w:t>
            </w:r>
            <w:proofErr w:type="gramStart"/>
            <w:r>
              <w:t>x,y</w:t>
            </w:r>
            <w:proofErr w:type="gramEnd"/>
            <w:r>
              <w:t>) ⇒ P140(x,y)</w:t>
            </w:r>
          </w:p>
        </w:tc>
      </w:tr>
      <w:tr w:rsidR="00BF18CF" w14:paraId="2D53E32D" w14:textId="77777777" w:rsidTr="00BF18CF">
        <w:tc>
          <w:tcPr>
            <w:tcW w:w="1882" w:type="dxa"/>
          </w:tcPr>
          <w:p w14:paraId="688304E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8" w:type="dxa"/>
          </w:tcPr>
          <w:p w14:paraId="055F1FCE" w14:textId="77777777" w:rsidR="00BF18CF" w:rsidRDefault="00BF18CF">
            <w:pPr>
              <w:pBdr>
                <w:top w:val="nil"/>
                <w:left w:val="nil"/>
                <w:bottom w:val="nil"/>
                <w:right w:val="nil"/>
                <w:between w:val="nil"/>
              </w:pBdr>
              <w:spacing w:before="36" w:after="36"/>
              <w:rPr>
                <w:color w:val="000000"/>
              </w:rPr>
            </w:pPr>
          </w:p>
        </w:tc>
      </w:tr>
      <w:tr w:rsidR="00BF18CF" w14:paraId="2A8CDBAD" w14:textId="77777777" w:rsidTr="00BF18CF">
        <w:tc>
          <w:tcPr>
            <w:tcW w:w="1882" w:type="dxa"/>
          </w:tcPr>
          <w:p w14:paraId="063EF7D0" w14:textId="0160F51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8" w:type="dxa"/>
          </w:tcPr>
          <w:p w14:paraId="38B59E76" w14:textId="77777777" w:rsidR="00BF18CF" w:rsidRDefault="00BF18CF">
            <w:pPr>
              <w:pBdr>
                <w:top w:val="nil"/>
                <w:left w:val="nil"/>
                <w:bottom w:val="nil"/>
                <w:right w:val="nil"/>
                <w:between w:val="nil"/>
              </w:pBdr>
              <w:spacing w:before="36" w:after="36"/>
              <w:rPr>
                <w:color w:val="000000"/>
              </w:rPr>
            </w:pPr>
          </w:p>
        </w:tc>
      </w:tr>
      <w:tr w:rsidR="00BF18CF" w14:paraId="3AE2B9B5" w14:textId="77777777" w:rsidTr="00BF18CF">
        <w:tc>
          <w:tcPr>
            <w:tcW w:w="1882" w:type="dxa"/>
          </w:tcPr>
          <w:p w14:paraId="78D4484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8" w:type="dxa"/>
          </w:tcPr>
          <w:p w14:paraId="02E589C3" w14:textId="77777777" w:rsidR="00BF18CF" w:rsidRDefault="00BF18CF">
            <w:pPr>
              <w:pBdr>
                <w:top w:val="nil"/>
                <w:left w:val="nil"/>
                <w:bottom w:val="nil"/>
                <w:right w:val="nil"/>
                <w:between w:val="nil"/>
              </w:pBdr>
              <w:spacing w:before="36" w:after="36"/>
              <w:rPr>
                <w:color w:val="000000"/>
              </w:rPr>
            </w:pPr>
          </w:p>
        </w:tc>
      </w:tr>
    </w:tbl>
    <w:p w14:paraId="26FB339E" w14:textId="77777777" w:rsidR="00BF18CF" w:rsidRDefault="00E51347">
      <w:pPr>
        <w:pStyle w:val="Heading3"/>
      </w:pPr>
      <w:bookmarkStart w:id="337" w:name="bookmark=id.3fg1ce0" w:colFirst="0" w:colLast="0"/>
      <w:bookmarkStart w:id="338" w:name="_Toc144360912"/>
      <w:bookmarkEnd w:id="337"/>
      <w:r>
        <w:t>P40 a relevé comme dimension (a été relevé par)</w:t>
      </w:r>
      <w:bookmarkEnd w:id="338"/>
    </w:p>
    <w:tbl>
      <w:tblPr>
        <w:tblStyle w:val="aff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6"/>
        <w:gridCol w:w="8804"/>
      </w:tblGrid>
      <w:tr w:rsidR="00BF18CF" w14:paraId="782DDE96" w14:textId="77777777" w:rsidTr="00BF18CF">
        <w:tc>
          <w:tcPr>
            <w:tcW w:w="1886" w:type="dxa"/>
          </w:tcPr>
          <w:p w14:paraId="0DF7FD3B"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4" w:type="dxa"/>
          </w:tcPr>
          <w:p w14:paraId="7DBA892F" w14:textId="77777777" w:rsidR="00BF18CF" w:rsidRDefault="00E51347">
            <w:r>
              <w:rPr>
                <w:rFonts w:ascii="Consolas" w:eastAsia="Consolas" w:hAnsi="Consolas" w:cs="Consolas"/>
                <w:sz w:val="22"/>
                <w:szCs w:val="22"/>
                <w:shd w:val="clear" w:color="auto" w:fill="EAEEF3"/>
              </w:rPr>
              <w:t>E16_Mesurage</w:t>
            </w:r>
          </w:p>
        </w:tc>
      </w:tr>
      <w:tr w:rsidR="00BF18CF" w14:paraId="4ACE4F5E" w14:textId="77777777" w:rsidTr="00BF18CF">
        <w:tc>
          <w:tcPr>
            <w:tcW w:w="1886" w:type="dxa"/>
          </w:tcPr>
          <w:p w14:paraId="12C10CEB" w14:textId="77777777" w:rsidR="00BF18CF" w:rsidRDefault="00E51347">
            <w:pPr>
              <w:pBdr>
                <w:top w:val="nil"/>
                <w:left w:val="nil"/>
                <w:bottom w:val="nil"/>
                <w:right w:val="nil"/>
                <w:between w:val="nil"/>
              </w:pBdr>
              <w:spacing w:before="36" w:after="36"/>
              <w:rPr>
                <w:color w:val="000000"/>
              </w:rPr>
            </w:pPr>
            <w:r>
              <w:rPr>
                <w:b/>
                <w:color w:val="000000"/>
              </w:rPr>
              <w:lastRenderedPageBreak/>
              <w:t>Portée</w:t>
            </w:r>
          </w:p>
        </w:tc>
        <w:tc>
          <w:tcPr>
            <w:tcW w:w="8804" w:type="dxa"/>
          </w:tcPr>
          <w:p w14:paraId="1319408E" w14:textId="77777777" w:rsidR="00BF18CF" w:rsidRDefault="00E51347">
            <w:r>
              <w:rPr>
                <w:rFonts w:ascii="Consolas" w:eastAsia="Consolas" w:hAnsi="Consolas" w:cs="Consolas"/>
                <w:sz w:val="22"/>
                <w:szCs w:val="22"/>
                <w:shd w:val="clear" w:color="auto" w:fill="EAEEF3"/>
              </w:rPr>
              <w:t>E54_Dimension</w:t>
            </w:r>
          </w:p>
        </w:tc>
      </w:tr>
      <w:tr w:rsidR="00BF18CF" w14:paraId="5651C9DC" w14:textId="77777777" w:rsidTr="00BF18CF">
        <w:tc>
          <w:tcPr>
            <w:tcW w:w="1886" w:type="dxa"/>
          </w:tcPr>
          <w:p w14:paraId="67C7A36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4" w:type="dxa"/>
          </w:tcPr>
          <w:p w14:paraId="70D5D4CE" w14:textId="77777777" w:rsidR="00BF18CF" w:rsidRDefault="00E51347">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P141_a_assigné (a_été_assigné_par)</w:t>
            </w:r>
            <w:r>
              <w:t xml:space="preserve"> : </w:t>
            </w:r>
            <w:r>
              <w:rPr>
                <w:rFonts w:ascii="Consolas" w:eastAsia="Consolas" w:hAnsi="Consolas" w:cs="Consolas"/>
                <w:sz w:val="22"/>
                <w:szCs w:val="22"/>
                <w:shd w:val="clear" w:color="auto" w:fill="EAEEF3"/>
              </w:rPr>
              <w:t>E1_Entité_CRM</w:t>
            </w:r>
          </w:p>
        </w:tc>
      </w:tr>
      <w:tr w:rsidR="00BF18CF" w14:paraId="3281A08F" w14:textId="77777777" w:rsidTr="00BF18CF">
        <w:tc>
          <w:tcPr>
            <w:tcW w:w="1886" w:type="dxa"/>
          </w:tcPr>
          <w:p w14:paraId="1AB9F3D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4" w:type="dxa"/>
          </w:tcPr>
          <w:p w14:paraId="6ACC1655" w14:textId="77777777" w:rsidR="00BF18CF" w:rsidRDefault="00BF18CF">
            <w:pPr>
              <w:pBdr>
                <w:top w:val="nil"/>
                <w:left w:val="nil"/>
                <w:bottom w:val="nil"/>
                <w:right w:val="nil"/>
                <w:between w:val="nil"/>
              </w:pBdr>
              <w:spacing w:before="36" w:after="36"/>
              <w:rPr>
                <w:color w:val="000000"/>
              </w:rPr>
            </w:pPr>
          </w:p>
        </w:tc>
      </w:tr>
      <w:tr w:rsidR="00BF18CF" w14:paraId="39ECCD1F" w14:textId="77777777" w:rsidTr="00BF18CF">
        <w:tc>
          <w:tcPr>
            <w:tcW w:w="1886" w:type="dxa"/>
          </w:tcPr>
          <w:p w14:paraId="31F95429"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4" w:type="dxa"/>
          </w:tcPr>
          <w:p w14:paraId="451E63F0" w14:textId="77777777" w:rsidR="00BF18CF" w:rsidRDefault="00E51347">
            <w:proofErr w:type="gramStart"/>
            <w:r>
              <w:t>plusieurs</w:t>
            </w:r>
            <w:proofErr w:type="gramEnd"/>
            <w:r>
              <w:t xml:space="preserve"> à plusieurs, nécessaire (1,n:0,n)</w:t>
            </w:r>
          </w:p>
        </w:tc>
      </w:tr>
      <w:tr w:rsidR="00BF18CF" w14:paraId="679E4B6E" w14:textId="77777777" w:rsidTr="00BF18CF">
        <w:tc>
          <w:tcPr>
            <w:tcW w:w="1886" w:type="dxa"/>
          </w:tcPr>
          <w:p w14:paraId="4C85FD6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4" w:type="dxa"/>
          </w:tcPr>
          <w:p w14:paraId="4B57E5EF" w14:textId="77777777" w:rsidR="00BF18CF" w:rsidRDefault="00E51347">
            <w:r>
              <w:t xml:space="preserve">Cette propriété enregistre la dimension observée au cours d’un évènement de </w:t>
            </w:r>
            <w:r>
              <w:rPr>
                <w:rFonts w:ascii="Consolas" w:eastAsia="Consolas" w:hAnsi="Consolas" w:cs="Consolas"/>
                <w:sz w:val="22"/>
                <w:szCs w:val="22"/>
                <w:shd w:val="clear" w:color="auto" w:fill="EAEEF3"/>
              </w:rPr>
              <w:t>E16_Mesurage</w:t>
            </w:r>
            <w:r>
              <w:t>.</w:t>
            </w:r>
          </w:p>
          <w:p w14:paraId="061CE987" w14:textId="77777777" w:rsidR="00BF18CF" w:rsidRDefault="00E51347">
            <w:r>
              <w:t xml:space="preserve">Une instance de </w:t>
            </w:r>
            <w:r>
              <w:rPr>
                <w:rFonts w:ascii="Consolas" w:eastAsia="Consolas" w:hAnsi="Consolas" w:cs="Consolas"/>
                <w:sz w:val="22"/>
                <w:szCs w:val="22"/>
                <w:shd w:val="clear" w:color="auto" w:fill="EAEEF3"/>
              </w:rPr>
              <w:t>E54_Dimension</w:t>
            </w:r>
            <w:r>
              <w:t xml:space="preserve"> peut représenter tout aspect quantifiable d’une instance de </w:t>
            </w:r>
            <w:r>
              <w:rPr>
                <w:rFonts w:ascii="Consolas" w:eastAsia="Consolas" w:hAnsi="Consolas" w:cs="Consolas"/>
                <w:sz w:val="22"/>
                <w:szCs w:val="22"/>
                <w:shd w:val="clear" w:color="auto" w:fill="EAEEF3"/>
              </w:rPr>
              <w:t>E70_Chose</w:t>
            </w:r>
            <w:r>
              <w:t>. En ce sens, le poids, la profondeur de couleur d’une image et la valeur monétaire sont des dimensions. Une activité de mesurage peut déterminer plus d’une dimension pour un objet donné.</w:t>
            </w:r>
          </w:p>
          <w:p w14:paraId="1E37A282" w14:textId="77777777" w:rsidR="00BF18CF" w:rsidRDefault="00E51347">
            <w:r>
              <w:t>Les dimensions peuvent être déterminées soit par observation directe, soit à l’aide de preuves enregistrées. Dans ce dernier cas, la chose mesurée n’a pas nécessairement à être présente ou même à exister.</w:t>
            </w:r>
          </w:p>
          <w:p w14:paraId="57620D1F" w14:textId="77777777" w:rsidR="00BF18CF" w:rsidRDefault="00E51347">
            <w:r>
              <w:t>Même si la connaissance de la valeur d’une dimension nécessite qu’une activité de mesurage ait eu lieu, la dimension peut être un objet de discours avant qu’une telle activité ait débuté, ou même si l’activité n’a pas eu lieu.</w:t>
            </w:r>
          </w:p>
        </w:tc>
      </w:tr>
      <w:tr w:rsidR="00BF18CF" w14:paraId="406F786C" w14:textId="77777777" w:rsidTr="00BF18CF">
        <w:tc>
          <w:tcPr>
            <w:tcW w:w="1886" w:type="dxa"/>
          </w:tcPr>
          <w:p w14:paraId="3EC0ADC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4" w:type="dxa"/>
          </w:tcPr>
          <w:p w14:paraId="00D68315" w14:textId="77777777" w:rsidR="00BF18CF" w:rsidRDefault="00E51347">
            <w:pPr>
              <w:numPr>
                <w:ilvl w:val="0"/>
                <w:numId w:val="19"/>
              </w:numPr>
            </w:pPr>
            <w:r>
              <w:t>Le mesurage de la hauteur de la coupe en argent « 232 » le 31 août 1997 (</w:t>
            </w:r>
            <w:r>
              <w:rPr>
                <w:rFonts w:ascii="Consolas" w:eastAsia="Consolas" w:hAnsi="Consolas" w:cs="Consolas"/>
                <w:sz w:val="22"/>
                <w:szCs w:val="22"/>
                <w:shd w:val="clear" w:color="auto" w:fill="EAEEF3"/>
              </w:rPr>
              <w:t>E16_Mesurage</w:t>
            </w:r>
            <w:r>
              <w:t>) a relevé comme dimension (</w:t>
            </w:r>
            <w:r>
              <w:rPr>
                <w:rFonts w:ascii="Consolas" w:eastAsia="Consolas" w:hAnsi="Consolas" w:cs="Consolas"/>
                <w:sz w:val="22"/>
                <w:szCs w:val="22"/>
                <w:shd w:val="clear" w:color="auto" w:fill="EAEEF3"/>
              </w:rPr>
              <w:t>P40_a_relevé_comme_dimension</w:t>
            </w:r>
            <w:r>
              <w:t>) la hauteur de la coupe en argent « 232 » (</w:t>
            </w:r>
            <w:r>
              <w:rPr>
                <w:rFonts w:ascii="Consolas" w:eastAsia="Consolas" w:hAnsi="Consolas" w:cs="Consolas"/>
                <w:sz w:val="22"/>
                <w:szCs w:val="22"/>
                <w:shd w:val="clear" w:color="auto" w:fill="EAEEF3"/>
              </w:rPr>
              <w:t>E54_Dimension</w:t>
            </w:r>
            <w:r>
              <w:t>) qui a pour unité de mesure mm (</w:t>
            </w:r>
            <w:r>
              <w:rPr>
                <w:rFonts w:ascii="Consolas" w:eastAsia="Consolas" w:hAnsi="Consolas" w:cs="Consolas"/>
                <w:sz w:val="22"/>
                <w:szCs w:val="22"/>
                <w:shd w:val="clear" w:color="auto" w:fill="EAEEF3"/>
              </w:rPr>
              <w:t>E58_Unité_de_mesure</w:t>
            </w:r>
            <w:r>
              <w:t>) a pour valeur « 224 » (</w:t>
            </w:r>
            <w:r>
              <w:rPr>
                <w:rFonts w:ascii="Consolas" w:eastAsia="Consolas" w:hAnsi="Consolas" w:cs="Consolas"/>
                <w:sz w:val="22"/>
                <w:szCs w:val="22"/>
                <w:shd w:val="clear" w:color="auto" w:fill="EAEEF3"/>
              </w:rPr>
              <w:t>E60_Nombre</w:t>
            </w:r>
            <w:r>
              <w:t>) (fictif)</w:t>
            </w:r>
          </w:p>
        </w:tc>
      </w:tr>
      <w:tr w:rsidR="00BF18CF" w14:paraId="452783A4" w14:textId="77777777" w:rsidTr="00BF18CF">
        <w:tc>
          <w:tcPr>
            <w:tcW w:w="1886" w:type="dxa"/>
          </w:tcPr>
          <w:p w14:paraId="0F6B9F2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4" w:type="dxa"/>
          </w:tcPr>
          <w:p w14:paraId="2EC47667" w14:textId="77777777" w:rsidR="00BF18CF" w:rsidRDefault="00E51347">
            <w:r>
              <w:t>P40(</w:t>
            </w:r>
            <w:proofErr w:type="gramStart"/>
            <w:r>
              <w:t>x,y</w:t>
            </w:r>
            <w:proofErr w:type="gramEnd"/>
            <w:r>
              <w:t>) ⇒ E16(x)</w:t>
            </w:r>
          </w:p>
          <w:p w14:paraId="41FF16D9" w14:textId="77777777" w:rsidR="00BF18CF" w:rsidRDefault="00E51347">
            <w:r>
              <w:t>P40(</w:t>
            </w:r>
            <w:proofErr w:type="gramStart"/>
            <w:r>
              <w:t>x,y</w:t>
            </w:r>
            <w:proofErr w:type="gramEnd"/>
            <w:r>
              <w:t>)⇒ E54(y)</w:t>
            </w:r>
          </w:p>
          <w:p w14:paraId="721C5CF8" w14:textId="77777777" w:rsidR="00BF18CF" w:rsidRDefault="00E51347">
            <w:r>
              <w:t>P40(</w:t>
            </w:r>
            <w:proofErr w:type="gramStart"/>
            <w:r>
              <w:t>x,y</w:t>
            </w:r>
            <w:proofErr w:type="gramEnd"/>
            <w:r>
              <w:t>) ⇒ P141(x,y)</w:t>
            </w:r>
          </w:p>
        </w:tc>
      </w:tr>
      <w:tr w:rsidR="00BF18CF" w14:paraId="35555C61" w14:textId="77777777" w:rsidTr="00BF18CF">
        <w:tc>
          <w:tcPr>
            <w:tcW w:w="1886" w:type="dxa"/>
          </w:tcPr>
          <w:p w14:paraId="17F1F3A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4" w:type="dxa"/>
          </w:tcPr>
          <w:p w14:paraId="381C6B83" w14:textId="77777777" w:rsidR="00BF18CF" w:rsidRDefault="00BF18CF">
            <w:pPr>
              <w:pBdr>
                <w:top w:val="nil"/>
                <w:left w:val="nil"/>
                <w:bottom w:val="nil"/>
                <w:right w:val="nil"/>
                <w:between w:val="nil"/>
              </w:pBdr>
              <w:spacing w:before="36" w:after="36"/>
              <w:rPr>
                <w:color w:val="000000"/>
              </w:rPr>
            </w:pPr>
          </w:p>
        </w:tc>
      </w:tr>
      <w:tr w:rsidR="00BF18CF" w14:paraId="15E81506" w14:textId="77777777" w:rsidTr="00BF18CF">
        <w:tc>
          <w:tcPr>
            <w:tcW w:w="1886" w:type="dxa"/>
          </w:tcPr>
          <w:p w14:paraId="26C5BC46" w14:textId="22179CE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4" w:type="dxa"/>
          </w:tcPr>
          <w:p w14:paraId="0AD48467" w14:textId="77777777" w:rsidR="00BF18CF" w:rsidRDefault="00BF18CF">
            <w:pPr>
              <w:pBdr>
                <w:top w:val="nil"/>
                <w:left w:val="nil"/>
                <w:bottom w:val="nil"/>
                <w:right w:val="nil"/>
                <w:between w:val="nil"/>
              </w:pBdr>
              <w:spacing w:before="36" w:after="36"/>
              <w:rPr>
                <w:color w:val="000000"/>
              </w:rPr>
            </w:pPr>
          </w:p>
        </w:tc>
      </w:tr>
      <w:tr w:rsidR="00BF18CF" w14:paraId="5DE3C101" w14:textId="77777777" w:rsidTr="00BF18CF">
        <w:tc>
          <w:tcPr>
            <w:tcW w:w="1886" w:type="dxa"/>
          </w:tcPr>
          <w:p w14:paraId="037B441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4" w:type="dxa"/>
          </w:tcPr>
          <w:p w14:paraId="2AF04069" w14:textId="77777777" w:rsidR="00BF18CF" w:rsidRDefault="00BF18CF">
            <w:pPr>
              <w:pBdr>
                <w:top w:val="nil"/>
                <w:left w:val="nil"/>
                <w:bottom w:val="nil"/>
                <w:right w:val="nil"/>
                <w:between w:val="nil"/>
              </w:pBdr>
              <w:spacing w:before="36" w:after="36"/>
              <w:rPr>
                <w:color w:val="000000"/>
              </w:rPr>
            </w:pPr>
          </w:p>
        </w:tc>
      </w:tr>
    </w:tbl>
    <w:p w14:paraId="05701A6F" w14:textId="77777777" w:rsidR="00BF18CF" w:rsidRDefault="00E51347">
      <w:pPr>
        <w:pStyle w:val="Heading3"/>
      </w:pPr>
      <w:bookmarkStart w:id="339" w:name="bookmark=id.1ulbmlt" w:colFirst="0" w:colLast="0"/>
      <w:bookmarkStart w:id="340" w:name="_Toc144360913"/>
      <w:bookmarkEnd w:id="339"/>
      <w:r>
        <w:t>P41 a classifié (a été classifié par)</w:t>
      </w:r>
      <w:bookmarkEnd w:id="340"/>
    </w:p>
    <w:tbl>
      <w:tblPr>
        <w:tblStyle w:val="afff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2"/>
        <w:gridCol w:w="8808"/>
      </w:tblGrid>
      <w:tr w:rsidR="00BF18CF" w14:paraId="1002D61E" w14:textId="77777777" w:rsidTr="00BF18CF">
        <w:tc>
          <w:tcPr>
            <w:tcW w:w="1882" w:type="dxa"/>
          </w:tcPr>
          <w:p w14:paraId="38B2CA5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8" w:type="dxa"/>
          </w:tcPr>
          <w:p w14:paraId="3E0990BF" w14:textId="77777777" w:rsidR="00BF18CF" w:rsidRDefault="00E51347">
            <w:r>
              <w:rPr>
                <w:rFonts w:ascii="Consolas" w:eastAsia="Consolas" w:hAnsi="Consolas" w:cs="Consolas"/>
                <w:sz w:val="22"/>
                <w:szCs w:val="22"/>
                <w:shd w:val="clear" w:color="auto" w:fill="EAEEF3"/>
              </w:rPr>
              <w:t>E17_Assignation_de_type</w:t>
            </w:r>
          </w:p>
        </w:tc>
      </w:tr>
      <w:tr w:rsidR="00BF18CF" w14:paraId="1D845C9C" w14:textId="77777777" w:rsidTr="00BF18CF">
        <w:tc>
          <w:tcPr>
            <w:tcW w:w="1882" w:type="dxa"/>
          </w:tcPr>
          <w:p w14:paraId="57DCF17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8" w:type="dxa"/>
          </w:tcPr>
          <w:p w14:paraId="5229829B" w14:textId="77777777" w:rsidR="00BF18CF" w:rsidRDefault="00E51347">
            <w:r>
              <w:rPr>
                <w:rFonts w:ascii="Consolas" w:eastAsia="Consolas" w:hAnsi="Consolas" w:cs="Consolas"/>
                <w:sz w:val="22"/>
                <w:szCs w:val="22"/>
                <w:shd w:val="clear" w:color="auto" w:fill="EAEEF3"/>
              </w:rPr>
              <w:t>E1_Entité_CRM</w:t>
            </w:r>
          </w:p>
        </w:tc>
      </w:tr>
      <w:tr w:rsidR="00BF18CF" w14:paraId="5BD183AD" w14:textId="77777777" w:rsidTr="00BF18CF">
        <w:tc>
          <w:tcPr>
            <w:tcW w:w="1882" w:type="dxa"/>
          </w:tcPr>
          <w:p w14:paraId="79E1A08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8" w:type="dxa"/>
          </w:tcPr>
          <w:p w14:paraId="5FD7CB9B" w14:textId="77777777" w:rsidR="00BF18CF" w:rsidRDefault="00E51347">
            <w:r>
              <w:rPr>
                <w:rFonts w:ascii="Consolas" w:eastAsia="Consolas" w:hAnsi="Consolas" w:cs="Consolas"/>
                <w:sz w:val="22"/>
                <w:szCs w:val="22"/>
                <w:shd w:val="clear" w:color="auto" w:fill="EAEEF3"/>
              </w:rPr>
              <w:t>E13_Assignation_d’attribut</w:t>
            </w:r>
            <w:r>
              <w:t>.</w:t>
            </w:r>
          </w:p>
          <w:p w14:paraId="74AAE9A0" w14:textId="77777777" w:rsidR="00BF18CF" w:rsidRDefault="00E51347">
            <w:r>
              <w:rPr>
                <w:rFonts w:ascii="Consolas" w:eastAsia="Consolas" w:hAnsi="Consolas" w:cs="Consolas"/>
                <w:sz w:val="22"/>
                <w:szCs w:val="22"/>
                <w:shd w:val="clear" w:color="auto" w:fill="EAEEF3"/>
              </w:rPr>
              <w:t>P140_a_assigné_l’attribut_à (a_reçu_l’attribut_par)</w:t>
            </w:r>
            <w:r>
              <w:t xml:space="preserve"> : </w:t>
            </w:r>
            <w:r>
              <w:rPr>
                <w:rFonts w:ascii="Consolas" w:eastAsia="Consolas" w:hAnsi="Consolas" w:cs="Consolas"/>
                <w:sz w:val="22"/>
                <w:szCs w:val="22"/>
                <w:shd w:val="clear" w:color="auto" w:fill="EAEEF3"/>
              </w:rPr>
              <w:t>E1_Entité_CRM</w:t>
            </w:r>
          </w:p>
        </w:tc>
      </w:tr>
      <w:tr w:rsidR="00BF18CF" w14:paraId="43883134" w14:textId="77777777" w:rsidTr="00BF18CF">
        <w:tc>
          <w:tcPr>
            <w:tcW w:w="1882" w:type="dxa"/>
          </w:tcPr>
          <w:p w14:paraId="0FB57B10" w14:textId="77777777" w:rsidR="00BF18CF" w:rsidRDefault="00E51347">
            <w:pPr>
              <w:pBdr>
                <w:top w:val="nil"/>
                <w:left w:val="nil"/>
                <w:bottom w:val="nil"/>
                <w:right w:val="nil"/>
                <w:between w:val="nil"/>
              </w:pBdr>
              <w:spacing w:before="36" w:after="36"/>
              <w:rPr>
                <w:color w:val="000000"/>
              </w:rPr>
            </w:pPr>
            <w:r>
              <w:rPr>
                <w:b/>
                <w:color w:val="000000"/>
              </w:rPr>
              <w:lastRenderedPageBreak/>
              <w:t>Super-propriété de</w:t>
            </w:r>
          </w:p>
        </w:tc>
        <w:tc>
          <w:tcPr>
            <w:tcW w:w="8808" w:type="dxa"/>
          </w:tcPr>
          <w:p w14:paraId="403EC7EA" w14:textId="77777777" w:rsidR="00BF18CF" w:rsidRDefault="00BF18CF">
            <w:pPr>
              <w:pBdr>
                <w:top w:val="nil"/>
                <w:left w:val="nil"/>
                <w:bottom w:val="nil"/>
                <w:right w:val="nil"/>
                <w:between w:val="nil"/>
              </w:pBdr>
              <w:spacing w:before="36" w:after="36"/>
              <w:rPr>
                <w:color w:val="000000"/>
              </w:rPr>
            </w:pPr>
          </w:p>
        </w:tc>
      </w:tr>
      <w:tr w:rsidR="00BF18CF" w14:paraId="53476444" w14:textId="77777777" w:rsidTr="00BF18CF">
        <w:tc>
          <w:tcPr>
            <w:tcW w:w="1882" w:type="dxa"/>
          </w:tcPr>
          <w:p w14:paraId="5AD45F85"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8" w:type="dxa"/>
          </w:tcPr>
          <w:p w14:paraId="20616409" w14:textId="77777777" w:rsidR="00BF18CF" w:rsidRDefault="00E51347">
            <w:proofErr w:type="gramStart"/>
            <w:r>
              <w:t>plusieurs</w:t>
            </w:r>
            <w:proofErr w:type="gramEnd"/>
            <w:r>
              <w:t xml:space="preserve"> à un, nécessaire (1,1:0,n)</w:t>
            </w:r>
          </w:p>
        </w:tc>
      </w:tr>
      <w:tr w:rsidR="00BF18CF" w14:paraId="6C6EADF9" w14:textId="77777777" w:rsidTr="00BF18CF">
        <w:tc>
          <w:tcPr>
            <w:tcW w:w="1882" w:type="dxa"/>
          </w:tcPr>
          <w:p w14:paraId="74DE6AF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8" w:type="dxa"/>
          </w:tcPr>
          <w:p w14:paraId="13BAF6B4" w14:textId="77777777" w:rsidR="00BF18CF" w:rsidRDefault="00E51347">
            <w:r>
              <w:t xml:space="preserve">Cette propriété enregistre l'entité à laquelle un type a été assigné lors d'une instance de </w:t>
            </w:r>
            <w:r>
              <w:rPr>
                <w:rFonts w:ascii="Consolas" w:eastAsia="Consolas" w:hAnsi="Consolas" w:cs="Consolas"/>
                <w:sz w:val="22"/>
                <w:szCs w:val="22"/>
                <w:shd w:val="clear" w:color="auto" w:fill="EAEEF3"/>
              </w:rPr>
              <w:t>E17_Assignation_de_type</w:t>
            </w:r>
            <w:r>
              <w:t>.</w:t>
            </w:r>
          </w:p>
          <w:p w14:paraId="069710DD" w14:textId="77777777" w:rsidR="00BF18CF" w:rsidRDefault="00E51347">
            <w:r>
              <w:t xml:space="preserve">Toute instance d'une entité du CIDOC CRM peut se voir assigner un type par une instance de </w:t>
            </w:r>
            <w:r>
              <w:rPr>
                <w:rFonts w:ascii="Consolas" w:eastAsia="Consolas" w:hAnsi="Consolas" w:cs="Consolas"/>
                <w:sz w:val="22"/>
                <w:szCs w:val="22"/>
                <w:shd w:val="clear" w:color="auto" w:fill="EAEEF3"/>
              </w:rPr>
              <w:t>E17_Assignation_de_type</w:t>
            </w:r>
            <w:r>
              <w:t xml:space="preserve">. Les instances de </w:t>
            </w:r>
            <w:r>
              <w:rPr>
                <w:rFonts w:ascii="Consolas" w:eastAsia="Consolas" w:hAnsi="Consolas" w:cs="Consolas"/>
                <w:sz w:val="22"/>
                <w:szCs w:val="22"/>
                <w:shd w:val="clear" w:color="auto" w:fill="EAEEF3"/>
              </w:rPr>
              <w:t>E17_Assignation_de_type</w:t>
            </w:r>
            <w:r>
              <w:t xml:space="preserve"> permettent le chemin sémantique plus détaillé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P41i_a_été_classifié_par</w:t>
            </w:r>
            <w:r>
              <w:t xml:space="preserve">, </w:t>
            </w:r>
            <w:r>
              <w:rPr>
                <w:rFonts w:ascii="Consolas" w:eastAsia="Consolas" w:hAnsi="Consolas" w:cs="Consolas"/>
                <w:sz w:val="22"/>
                <w:szCs w:val="22"/>
                <w:shd w:val="clear" w:color="auto" w:fill="EAEEF3"/>
              </w:rPr>
              <w:t>E17_Assignation_de_type</w:t>
            </w:r>
            <w:r>
              <w:t xml:space="preserve">, </w:t>
            </w:r>
            <w:r>
              <w:rPr>
                <w:rFonts w:ascii="Consolas" w:eastAsia="Consolas" w:hAnsi="Consolas" w:cs="Consolas"/>
                <w:sz w:val="22"/>
                <w:szCs w:val="22"/>
                <w:shd w:val="clear" w:color="auto" w:fill="EAEEF3"/>
              </w:rPr>
              <w:t>P42_a_assigné</w:t>
            </w:r>
            <w:r>
              <w:t xml:space="preserve">, </w:t>
            </w:r>
            <w:r>
              <w:rPr>
                <w:rFonts w:ascii="Consolas" w:eastAsia="Consolas" w:hAnsi="Consolas" w:cs="Consolas"/>
                <w:sz w:val="22"/>
                <w:szCs w:val="22"/>
                <w:shd w:val="clear" w:color="auto" w:fill="EAEEF3"/>
              </w:rPr>
              <w:t>E55_Type</w:t>
            </w:r>
            <w:r>
              <w:t xml:space="preserve"> pour l'assignation de types aux objets comparativement au raccourci offert par </w:t>
            </w:r>
            <w:r>
              <w:rPr>
                <w:rFonts w:ascii="Consolas" w:eastAsia="Consolas" w:hAnsi="Consolas" w:cs="Consolas"/>
                <w:sz w:val="22"/>
                <w:szCs w:val="22"/>
                <w:shd w:val="clear" w:color="auto" w:fill="EAEEF3"/>
              </w:rPr>
              <w:t>P2_a_pour_type (est_le_type_de)</w:t>
            </w:r>
            <w:r>
              <w:t>.</w:t>
            </w:r>
          </w:p>
        </w:tc>
      </w:tr>
      <w:tr w:rsidR="00BF18CF" w14:paraId="7409AD67" w14:textId="77777777" w:rsidTr="00BF18CF">
        <w:tc>
          <w:tcPr>
            <w:tcW w:w="1882" w:type="dxa"/>
          </w:tcPr>
          <w:p w14:paraId="6D15126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8" w:type="dxa"/>
          </w:tcPr>
          <w:p w14:paraId="5C70F23B" w14:textId="77777777" w:rsidR="00BF18CF" w:rsidRDefault="00E51347">
            <w:pPr>
              <w:numPr>
                <w:ilvl w:val="0"/>
                <w:numId w:val="19"/>
              </w:numPr>
            </w:pPr>
            <w:r>
              <w:t>La classification de la coupe en argent « 232 » le 31 août 1997 (</w:t>
            </w:r>
            <w:r>
              <w:rPr>
                <w:rFonts w:ascii="Consolas" w:eastAsia="Consolas" w:hAnsi="Consolas" w:cs="Consolas"/>
                <w:sz w:val="22"/>
                <w:szCs w:val="22"/>
                <w:shd w:val="clear" w:color="auto" w:fill="EAEEF3"/>
              </w:rPr>
              <w:t>E17_Assignation_de_type</w:t>
            </w:r>
            <w:r>
              <w:t>) a classifié (</w:t>
            </w:r>
            <w:r>
              <w:rPr>
                <w:rFonts w:ascii="Consolas" w:eastAsia="Consolas" w:hAnsi="Consolas" w:cs="Consolas"/>
                <w:sz w:val="22"/>
                <w:szCs w:val="22"/>
                <w:shd w:val="clear" w:color="auto" w:fill="EAEEF3"/>
              </w:rPr>
              <w:t>P41_a_classifié</w:t>
            </w:r>
            <w:r>
              <w:t>) la coupe en argent « 232 » (</w:t>
            </w:r>
            <w:r>
              <w:rPr>
                <w:rFonts w:ascii="Consolas" w:eastAsia="Consolas" w:hAnsi="Consolas" w:cs="Consolas"/>
                <w:sz w:val="22"/>
                <w:szCs w:val="22"/>
                <w:shd w:val="clear" w:color="auto" w:fill="EAEEF3"/>
              </w:rPr>
              <w:t>E22_Objet_élaboré_par_l’humain</w:t>
            </w:r>
            <w:r>
              <w:t>) (fictif)</w:t>
            </w:r>
          </w:p>
        </w:tc>
      </w:tr>
      <w:tr w:rsidR="00BF18CF" w14:paraId="7C81C509" w14:textId="77777777" w:rsidTr="00BF18CF">
        <w:tc>
          <w:tcPr>
            <w:tcW w:w="1882" w:type="dxa"/>
          </w:tcPr>
          <w:p w14:paraId="324E3EC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8" w:type="dxa"/>
          </w:tcPr>
          <w:p w14:paraId="059586AB" w14:textId="77777777" w:rsidR="00620ECC" w:rsidRDefault="00E51347">
            <w:r>
              <w:t>P41(</w:t>
            </w:r>
            <w:proofErr w:type="gramStart"/>
            <w:r>
              <w:t>x,y</w:t>
            </w:r>
            <w:proofErr w:type="gramEnd"/>
            <w:r>
              <w:t xml:space="preserve">) ⇒ E17(x) </w:t>
            </w:r>
          </w:p>
          <w:p w14:paraId="6945D5C9" w14:textId="77777777" w:rsidR="00620ECC" w:rsidRDefault="00E51347">
            <w:r>
              <w:t>P41(</w:t>
            </w:r>
            <w:proofErr w:type="gramStart"/>
            <w:r>
              <w:t>x,y</w:t>
            </w:r>
            <w:proofErr w:type="gramEnd"/>
            <w:r>
              <w:t xml:space="preserve">) ⇒ E1(y) </w:t>
            </w:r>
          </w:p>
          <w:p w14:paraId="7ECC3E5F" w14:textId="545C0558" w:rsidR="00BF18CF" w:rsidRDefault="00E51347">
            <w:r>
              <w:t>P41(</w:t>
            </w:r>
            <w:proofErr w:type="gramStart"/>
            <w:r>
              <w:t>x,y</w:t>
            </w:r>
            <w:proofErr w:type="gramEnd"/>
            <w:r>
              <w:t>) ⇒ P140(x,y)</w:t>
            </w:r>
          </w:p>
        </w:tc>
      </w:tr>
      <w:tr w:rsidR="00BF18CF" w14:paraId="78776B1C" w14:textId="77777777" w:rsidTr="00BF18CF">
        <w:tc>
          <w:tcPr>
            <w:tcW w:w="1882" w:type="dxa"/>
          </w:tcPr>
          <w:p w14:paraId="1970D44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8" w:type="dxa"/>
          </w:tcPr>
          <w:p w14:paraId="188D1BFD" w14:textId="77777777" w:rsidR="00BF18CF" w:rsidRDefault="00BF18CF">
            <w:pPr>
              <w:pBdr>
                <w:top w:val="nil"/>
                <w:left w:val="nil"/>
                <w:bottom w:val="nil"/>
                <w:right w:val="nil"/>
                <w:between w:val="nil"/>
              </w:pBdr>
              <w:spacing w:before="36" w:after="36"/>
              <w:rPr>
                <w:color w:val="000000"/>
              </w:rPr>
            </w:pPr>
          </w:p>
        </w:tc>
      </w:tr>
      <w:tr w:rsidR="00BF18CF" w14:paraId="3EBA3DF5" w14:textId="77777777" w:rsidTr="00BF18CF">
        <w:tc>
          <w:tcPr>
            <w:tcW w:w="1882" w:type="dxa"/>
          </w:tcPr>
          <w:p w14:paraId="185505D7" w14:textId="0250977C"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8" w:type="dxa"/>
          </w:tcPr>
          <w:p w14:paraId="10CDB58B" w14:textId="77777777" w:rsidR="00BF18CF" w:rsidRDefault="00BF18CF">
            <w:pPr>
              <w:pBdr>
                <w:top w:val="nil"/>
                <w:left w:val="nil"/>
                <w:bottom w:val="nil"/>
                <w:right w:val="nil"/>
                <w:between w:val="nil"/>
              </w:pBdr>
              <w:spacing w:before="36" w:after="36"/>
              <w:rPr>
                <w:color w:val="000000"/>
              </w:rPr>
            </w:pPr>
          </w:p>
        </w:tc>
      </w:tr>
      <w:tr w:rsidR="00BF18CF" w14:paraId="053C22A9" w14:textId="77777777" w:rsidTr="00BF18CF">
        <w:tc>
          <w:tcPr>
            <w:tcW w:w="1882" w:type="dxa"/>
          </w:tcPr>
          <w:p w14:paraId="09E7BD2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8" w:type="dxa"/>
          </w:tcPr>
          <w:p w14:paraId="1A4FDF74" w14:textId="77777777" w:rsidR="00BF18CF" w:rsidRDefault="00BF18CF">
            <w:pPr>
              <w:pBdr>
                <w:top w:val="nil"/>
                <w:left w:val="nil"/>
                <w:bottom w:val="nil"/>
                <w:right w:val="nil"/>
                <w:between w:val="nil"/>
              </w:pBdr>
              <w:spacing w:before="36" w:after="36"/>
              <w:rPr>
                <w:color w:val="000000"/>
              </w:rPr>
            </w:pPr>
          </w:p>
        </w:tc>
      </w:tr>
    </w:tbl>
    <w:p w14:paraId="6F0A65BD" w14:textId="77777777" w:rsidR="00BF18CF" w:rsidRDefault="00E51347">
      <w:pPr>
        <w:pStyle w:val="Heading3"/>
      </w:pPr>
      <w:bookmarkStart w:id="341" w:name="bookmark=id.4ekz59m" w:colFirst="0" w:colLast="0"/>
      <w:bookmarkStart w:id="342" w:name="_Toc144360914"/>
      <w:bookmarkEnd w:id="341"/>
      <w:r>
        <w:t>P42 a assigné (a été assigné par)</w:t>
      </w:r>
      <w:bookmarkEnd w:id="342"/>
    </w:p>
    <w:tbl>
      <w:tblPr>
        <w:tblStyle w:val="af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5"/>
        <w:gridCol w:w="8795"/>
      </w:tblGrid>
      <w:tr w:rsidR="00BF18CF" w14:paraId="3F3F9515" w14:textId="77777777" w:rsidTr="00BF18CF">
        <w:tc>
          <w:tcPr>
            <w:tcW w:w="1895" w:type="dxa"/>
          </w:tcPr>
          <w:p w14:paraId="7CEDF446"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5" w:type="dxa"/>
          </w:tcPr>
          <w:p w14:paraId="4FC121EE" w14:textId="77777777" w:rsidR="00BF18CF" w:rsidRDefault="00E51347">
            <w:r>
              <w:rPr>
                <w:rFonts w:ascii="Consolas" w:eastAsia="Consolas" w:hAnsi="Consolas" w:cs="Consolas"/>
                <w:sz w:val="22"/>
                <w:szCs w:val="22"/>
                <w:shd w:val="clear" w:color="auto" w:fill="EAEEF3"/>
              </w:rPr>
              <w:t>E17_Assignation_de_type</w:t>
            </w:r>
          </w:p>
        </w:tc>
      </w:tr>
      <w:tr w:rsidR="00BF18CF" w14:paraId="44989FA2" w14:textId="77777777" w:rsidTr="00BF18CF">
        <w:tc>
          <w:tcPr>
            <w:tcW w:w="1895" w:type="dxa"/>
          </w:tcPr>
          <w:p w14:paraId="0547168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5" w:type="dxa"/>
          </w:tcPr>
          <w:p w14:paraId="13371E78" w14:textId="77777777" w:rsidR="00BF18CF" w:rsidRDefault="00E51347">
            <w:r>
              <w:rPr>
                <w:rFonts w:ascii="Consolas" w:eastAsia="Consolas" w:hAnsi="Consolas" w:cs="Consolas"/>
                <w:sz w:val="22"/>
                <w:szCs w:val="22"/>
                <w:shd w:val="clear" w:color="auto" w:fill="EAEEF3"/>
              </w:rPr>
              <w:t>E55_Type</w:t>
            </w:r>
          </w:p>
        </w:tc>
      </w:tr>
      <w:tr w:rsidR="00BF18CF" w14:paraId="06B6DF6D" w14:textId="77777777" w:rsidTr="00BF18CF">
        <w:tc>
          <w:tcPr>
            <w:tcW w:w="1895" w:type="dxa"/>
          </w:tcPr>
          <w:p w14:paraId="2E30F2F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5" w:type="dxa"/>
          </w:tcPr>
          <w:p w14:paraId="26E63498" w14:textId="77777777" w:rsidR="00BF18CF" w:rsidRDefault="00E51347">
            <w:r>
              <w:rPr>
                <w:rFonts w:ascii="Consolas" w:eastAsia="Consolas" w:hAnsi="Consolas" w:cs="Consolas"/>
                <w:sz w:val="22"/>
                <w:szCs w:val="22"/>
                <w:shd w:val="clear" w:color="auto" w:fill="EAEEF3"/>
              </w:rPr>
              <w:t>E13_Assignation_d’attribut</w:t>
            </w:r>
            <w:r>
              <w:t>.</w:t>
            </w:r>
          </w:p>
          <w:p w14:paraId="687C618A" w14:textId="77777777" w:rsidR="00BF18CF" w:rsidRDefault="00E51347">
            <w:r>
              <w:rPr>
                <w:rFonts w:ascii="Consolas" w:eastAsia="Consolas" w:hAnsi="Consolas" w:cs="Consolas"/>
                <w:sz w:val="22"/>
                <w:szCs w:val="22"/>
                <w:shd w:val="clear" w:color="auto" w:fill="EAEEF3"/>
              </w:rPr>
              <w:t>P141_a_assigné (a_été_assigné_par)</w:t>
            </w:r>
            <w:r>
              <w:t xml:space="preserve"> : </w:t>
            </w:r>
            <w:r>
              <w:rPr>
                <w:rFonts w:ascii="Consolas" w:eastAsia="Consolas" w:hAnsi="Consolas" w:cs="Consolas"/>
                <w:sz w:val="22"/>
                <w:szCs w:val="22"/>
                <w:shd w:val="clear" w:color="auto" w:fill="EAEEF3"/>
              </w:rPr>
              <w:t>E1_Entité_CRM</w:t>
            </w:r>
          </w:p>
        </w:tc>
      </w:tr>
      <w:tr w:rsidR="00BF18CF" w14:paraId="5317340A" w14:textId="77777777" w:rsidTr="00BF18CF">
        <w:tc>
          <w:tcPr>
            <w:tcW w:w="1895" w:type="dxa"/>
          </w:tcPr>
          <w:p w14:paraId="30A6087A"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5" w:type="dxa"/>
          </w:tcPr>
          <w:p w14:paraId="6CA00CC8" w14:textId="77777777" w:rsidR="00BF18CF" w:rsidRDefault="00BF18CF">
            <w:pPr>
              <w:pBdr>
                <w:top w:val="nil"/>
                <w:left w:val="nil"/>
                <w:bottom w:val="nil"/>
                <w:right w:val="nil"/>
                <w:between w:val="nil"/>
              </w:pBdr>
              <w:spacing w:before="36" w:after="36"/>
              <w:rPr>
                <w:color w:val="000000"/>
              </w:rPr>
            </w:pPr>
          </w:p>
        </w:tc>
      </w:tr>
      <w:tr w:rsidR="00BF18CF" w14:paraId="3AF6F4FA" w14:textId="77777777" w:rsidTr="00BF18CF">
        <w:tc>
          <w:tcPr>
            <w:tcW w:w="1895" w:type="dxa"/>
          </w:tcPr>
          <w:p w14:paraId="3C34465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5" w:type="dxa"/>
          </w:tcPr>
          <w:p w14:paraId="3C7A4D5E" w14:textId="77777777" w:rsidR="00BF18CF" w:rsidRDefault="00E51347">
            <w:proofErr w:type="gramStart"/>
            <w:r>
              <w:t>plusieurs</w:t>
            </w:r>
            <w:proofErr w:type="gramEnd"/>
            <w:r>
              <w:t xml:space="preserve"> à plusieurs, nécessaire (1,n:0,n)</w:t>
            </w:r>
          </w:p>
        </w:tc>
      </w:tr>
      <w:tr w:rsidR="00BF18CF" w14:paraId="1FA671AB" w14:textId="77777777" w:rsidTr="00BF18CF">
        <w:tc>
          <w:tcPr>
            <w:tcW w:w="1895" w:type="dxa"/>
          </w:tcPr>
          <w:p w14:paraId="2F20EEE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5" w:type="dxa"/>
          </w:tcPr>
          <w:p w14:paraId="1D797307" w14:textId="77777777" w:rsidR="00BF18CF" w:rsidRDefault="00E51347">
            <w:r>
              <w:t xml:space="preserve">Cette propriété enregistre le type qui a été assigné à une entité lors d'une instance de </w:t>
            </w:r>
            <w:r>
              <w:rPr>
                <w:rFonts w:ascii="Consolas" w:eastAsia="Consolas" w:hAnsi="Consolas" w:cs="Consolas"/>
                <w:sz w:val="22"/>
                <w:szCs w:val="22"/>
                <w:shd w:val="clear" w:color="auto" w:fill="EAEEF3"/>
              </w:rPr>
              <w:t>E17_Assignation_de_type</w:t>
            </w:r>
            <w:r>
              <w:t>.</w:t>
            </w:r>
          </w:p>
          <w:p w14:paraId="573E90FC" w14:textId="77777777" w:rsidR="00BF18CF" w:rsidRDefault="00E51347">
            <w:r>
              <w:t xml:space="preserve">Les instances de </w:t>
            </w:r>
            <w:r>
              <w:rPr>
                <w:rFonts w:ascii="Consolas" w:eastAsia="Consolas" w:hAnsi="Consolas" w:cs="Consolas"/>
                <w:sz w:val="22"/>
                <w:szCs w:val="22"/>
                <w:shd w:val="clear" w:color="auto" w:fill="EAEEF3"/>
              </w:rPr>
              <w:t>E17_Assignation_de_type</w:t>
            </w:r>
            <w:r>
              <w:t xml:space="preserve"> permettent le chemin sémantique plus détaillé </w:t>
            </w:r>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P41i_a_été_classifié_par</w:t>
            </w:r>
            <w:r>
              <w:t xml:space="preserve">, </w:t>
            </w:r>
            <w:r>
              <w:rPr>
                <w:rFonts w:ascii="Consolas" w:eastAsia="Consolas" w:hAnsi="Consolas" w:cs="Consolas"/>
                <w:sz w:val="22"/>
                <w:szCs w:val="22"/>
                <w:shd w:val="clear" w:color="auto" w:fill="EAEEF3"/>
              </w:rPr>
              <w:t>E17_Assignation_de_type</w:t>
            </w:r>
            <w:r>
              <w:t xml:space="preserve">, </w:t>
            </w:r>
            <w:r>
              <w:rPr>
                <w:rFonts w:ascii="Consolas" w:eastAsia="Consolas" w:hAnsi="Consolas" w:cs="Consolas"/>
                <w:sz w:val="22"/>
                <w:szCs w:val="22"/>
                <w:shd w:val="clear" w:color="auto" w:fill="EAEEF3"/>
              </w:rPr>
              <w:t>P42_a_assigné</w:t>
            </w:r>
            <w:r>
              <w:t xml:space="preserve">, </w:t>
            </w:r>
            <w:r>
              <w:rPr>
                <w:rFonts w:ascii="Consolas" w:eastAsia="Consolas" w:hAnsi="Consolas" w:cs="Consolas"/>
                <w:sz w:val="22"/>
                <w:szCs w:val="22"/>
                <w:shd w:val="clear" w:color="auto" w:fill="EAEEF3"/>
              </w:rPr>
              <w:t>E55_Type</w:t>
            </w:r>
            <w:r>
              <w:t xml:space="preserve"> pour l'assignation de types aux objets comparativement au raccourci offert par </w:t>
            </w:r>
            <w:r>
              <w:rPr>
                <w:rFonts w:ascii="Consolas" w:eastAsia="Consolas" w:hAnsi="Consolas" w:cs="Consolas"/>
                <w:sz w:val="22"/>
                <w:szCs w:val="22"/>
                <w:shd w:val="clear" w:color="auto" w:fill="EAEEF3"/>
              </w:rPr>
              <w:t>P2_a_pour_type (est_le_type_de)</w:t>
            </w:r>
            <w:r>
              <w:t>.</w:t>
            </w:r>
          </w:p>
          <w:p w14:paraId="164CEB4A" w14:textId="77777777" w:rsidR="00BF18CF" w:rsidRDefault="00E51347">
            <w:r>
              <w:lastRenderedPageBreak/>
              <w:t>Par exemple, un fragment de vase antique pourrait se voir assigner le type « amphore attique à panse à figures rouges » par l'expert A. Le même fragment pourrait se voir assigner le type « amphore à col » par l'expert B.</w:t>
            </w:r>
          </w:p>
          <w:p w14:paraId="1FEB4443" w14:textId="77777777" w:rsidR="00BF18CF" w:rsidRDefault="00E51347">
            <w:r>
              <w:t xml:space="preserve">Une instance de </w:t>
            </w:r>
            <w:r>
              <w:rPr>
                <w:rFonts w:ascii="Consolas" w:eastAsia="Consolas" w:hAnsi="Consolas" w:cs="Consolas"/>
                <w:sz w:val="22"/>
                <w:szCs w:val="22"/>
                <w:shd w:val="clear" w:color="auto" w:fill="EAEEF3"/>
              </w:rPr>
              <w:t>E55_Type</w:t>
            </w:r>
            <w:r>
              <w:t xml:space="preserve"> peut être construite intellectuellement et indépendamment de l'attribution d'une autre instance à celle-ci.</w:t>
            </w:r>
          </w:p>
        </w:tc>
      </w:tr>
      <w:tr w:rsidR="00BF18CF" w14:paraId="12031C48" w14:textId="77777777" w:rsidTr="00BF18CF">
        <w:tc>
          <w:tcPr>
            <w:tcW w:w="1895" w:type="dxa"/>
          </w:tcPr>
          <w:p w14:paraId="4F6370DB"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95" w:type="dxa"/>
          </w:tcPr>
          <w:p w14:paraId="34ED6331" w14:textId="77777777" w:rsidR="00BF18CF" w:rsidRDefault="00E51347">
            <w:pPr>
              <w:numPr>
                <w:ilvl w:val="0"/>
                <w:numId w:val="19"/>
              </w:numPr>
            </w:pPr>
            <w:r>
              <w:t>La classification de la coupe en argent « 232 » le 31 août 1997 (</w:t>
            </w:r>
            <w:r>
              <w:rPr>
                <w:rFonts w:ascii="Consolas" w:eastAsia="Consolas" w:hAnsi="Consolas" w:cs="Consolas"/>
                <w:sz w:val="22"/>
                <w:szCs w:val="22"/>
                <w:shd w:val="clear" w:color="auto" w:fill="EAEEF3"/>
              </w:rPr>
              <w:t>E17_Assignation_de_type</w:t>
            </w:r>
            <w:r>
              <w:t>) a assigné (</w:t>
            </w:r>
            <w:r>
              <w:rPr>
                <w:rFonts w:ascii="Consolas" w:eastAsia="Consolas" w:hAnsi="Consolas" w:cs="Consolas"/>
                <w:sz w:val="22"/>
                <w:szCs w:val="22"/>
                <w:shd w:val="clear" w:color="auto" w:fill="EAEEF3"/>
              </w:rPr>
              <w:t>P42_a_assigné</w:t>
            </w:r>
            <w:r>
              <w:t>) « gobelet » (</w:t>
            </w:r>
            <w:r>
              <w:rPr>
                <w:rFonts w:ascii="Consolas" w:eastAsia="Consolas" w:hAnsi="Consolas" w:cs="Consolas"/>
                <w:sz w:val="22"/>
                <w:szCs w:val="22"/>
                <w:shd w:val="clear" w:color="auto" w:fill="EAEEF3"/>
              </w:rPr>
              <w:t>E55_Type</w:t>
            </w:r>
            <w:r>
              <w:t>) (fictif)</w:t>
            </w:r>
          </w:p>
        </w:tc>
      </w:tr>
      <w:tr w:rsidR="00BF18CF" w14:paraId="75AFE544" w14:textId="77777777" w:rsidTr="00BF18CF">
        <w:tc>
          <w:tcPr>
            <w:tcW w:w="1895" w:type="dxa"/>
          </w:tcPr>
          <w:p w14:paraId="1C60A29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5" w:type="dxa"/>
          </w:tcPr>
          <w:p w14:paraId="424A49AE" w14:textId="77777777" w:rsidR="00BF18CF" w:rsidRDefault="00E51347">
            <w:r>
              <w:t>P42(</w:t>
            </w:r>
            <w:proofErr w:type="gramStart"/>
            <w:r>
              <w:t>x,y</w:t>
            </w:r>
            <w:proofErr w:type="gramEnd"/>
            <w:r>
              <w:t>) ⇒ E17(x)</w:t>
            </w:r>
          </w:p>
          <w:p w14:paraId="36F97559" w14:textId="77777777" w:rsidR="00BF18CF" w:rsidRDefault="00E51347">
            <w:r>
              <w:t>P42(</w:t>
            </w:r>
            <w:proofErr w:type="gramStart"/>
            <w:r>
              <w:t>x,y</w:t>
            </w:r>
            <w:proofErr w:type="gramEnd"/>
            <w:r>
              <w:t>)⇒ E55(y)</w:t>
            </w:r>
          </w:p>
          <w:p w14:paraId="1B17A8B5" w14:textId="77777777" w:rsidR="00BF18CF" w:rsidRDefault="00E51347">
            <w:r>
              <w:t>P42(</w:t>
            </w:r>
            <w:proofErr w:type="gramStart"/>
            <w:r>
              <w:t>x,y</w:t>
            </w:r>
            <w:proofErr w:type="gramEnd"/>
            <w:r>
              <w:t>) ⇒ P141(x,y)</w:t>
            </w:r>
          </w:p>
        </w:tc>
      </w:tr>
      <w:tr w:rsidR="00BF18CF" w14:paraId="35759700" w14:textId="77777777" w:rsidTr="00BF18CF">
        <w:tc>
          <w:tcPr>
            <w:tcW w:w="1895" w:type="dxa"/>
          </w:tcPr>
          <w:p w14:paraId="77FB66C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5" w:type="dxa"/>
          </w:tcPr>
          <w:p w14:paraId="02A2AA8D" w14:textId="77777777" w:rsidR="00BF18CF" w:rsidRDefault="00BF18CF">
            <w:pPr>
              <w:pBdr>
                <w:top w:val="nil"/>
                <w:left w:val="nil"/>
                <w:bottom w:val="nil"/>
                <w:right w:val="nil"/>
                <w:between w:val="nil"/>
              </w:pBdr>
              <w:spacing w:before="36" w:after="36"/>
              <w:rPr>
                <w:color w:val="000000"/>
              </w:rPr>
            </w:pPr>
          </w:p>
        </w:tc>
      </w:tr>
      <w:tr w:rsidR="00BF18CF" w14:paraId="6961BE34" w14:textId="77777777" w:rsidTr="00BF18CF">
        <w:tc>
          <w:tcPr>
            <w:tcW w:w="1895" w:type="dxa"/>
          </w:tcPr>
          <w:p w14:paraId="7B2EA22E" w14:textId="12742E6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5" w:type="dxa"/>
          </w:tcPr>
          <w:p w14:paraId="4710C4FB" w14:textId="77777777" w:rsidR="00BF18CF" w:rsidRDefault="00BF18CF">
            <w:pPr>
              <w:pBdr>
                <w:top w:val="nil"/>
                <w:left w:val="nil"/>
                <w:bottom w:val="nil"/>
                <w:right w:val="nil"/>
                <w:between w:val="nil"/>
              </w:pBdr>
              <w:spacing w:before="36" w:after="36"/>
              <w:rPr>
                <w:color w:val="000000"/>
              </w:rPr>
            </w:pPr>
          </w:p>
        </w:tc>
      </w:tr>
      <w:tr w:rsidR="00BF18CF" w14:paraId="3CF476A0" w14:textId="77777777" w:rsidTr="00BF18CF">
        <w:tc>
          <w:tcPr>
            <w:tcW w:w="1895" w:type="dxa"/>
          </w:tcPr>
          <w:p w14:paraId="65CAB5B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5" w:type="dxa"/>
          </w:tcPr>
          <w:p w14:paraId="2CAB2699" w14:textId="77777777" w:rsidR="00BF18CF" w:rsidRDefault="00BF18CF">
            <w:pPr>
              <w:pBdr>
                <w:top w:val="nil"/>
                <w:left w:val="nil"/>
                <w:bottom w:val="nil"/>
                <w:right w:val="nil"/>
                <w:between w:val="nil"/>
              </w:pBdr>
              <w:spacing w:before="36" w:after="36"/>
              <w:rPr>
                <w:color w:val="000000"/>
              </w:rPr>
            </w:pPr>
          </w:p>
        </w:tc>
      </w:tr>
    </w:tbl>
    <w:p w14:paraId="0977B710" w14:textId="77777777" w:rsidR="00BF18CF" w:rsidRDefault="00E51347">
      <w:pPr>
        <w:pStyle w:val="Heading3"/>
      </w:pPr>
      <w:bookmarkStart w:id="343" w:name="bookmark=id.2tq9fhf" w:colFirst="0" w:colLast="0"/>
      <w:bookmarkStart w:id="344" w:name="_Toc144360915"/>
      <w:bookmarkEnd w:id="343"/>
      <w:r>
        <w:t>P43 a pour dimension (est la dimension de)</w:t>
      </w:r>
      <w:bookmarkEnd w:id="344"/>
    </w:p>
    <w:tbl>
      <w:tblPr>
        <w:tblStyle w:val="af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2"/>
        <w:gridCol w:w="8808"/>
      </w:tblGrid>
      <w:tr w:rsidR="00BF18CF" w14:paraId="2B66FB37" w14:textId="77777777" w:rsidTr="00BF18CF">
        <w:tc>
          <w:tcPr>
            <w:tcW w:w="1882" w:type="dxa"/>
          </w:tcPr>
          <w:p w14:paraId="50B6999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8" w:type="dxa"/>
          </w:tcPr>
          <w:p w14:paraId="082FC360" w14:textId="77777777" w:rsidR="00BF18CF" w:rsidRDefault="00E51347">
            <w:r>
              <w:rPr>
                <w:rFonts w:ascii="Consolas" w:eastAsia="Consolas" w:hAnsi="Consolas" w:cs="Consolas"/>
                <w:sz w:val="22"/>
                <w:szCs w:val="22"/>
                <w:shd w:val="clear" w:color="auto" w:fill="EAEEF3"/>
              </w:rPr>
              <w:t>E70_Chose</w:t>
            </w:r>
          </w:p>
        </w:tc>
      </w:tr>
      <w:tr w:rsidR="00BF18CF" w14:paraId="53F223DE" w14:textId="77777777" w:rsidTr="00BF18CF">
        <w:tc>
          <w:tcPr>
            <w:tcW w:w="1882" w:type="dxa"/>
          </w:tcPr>
          <w:p w14:paraId="28C02F7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8" w:type="dxa"/>
          </w:tcPr>
          <w:p w14:paraId="6FE8E04F" w14:textId="77777777" w:rsidR="00BF18CF" w:rsidRDefault="00E51347">
            <w:r>
              <w:rPr>
                <w:rFonts w:ascii="Consolas" w:eastAsia="Consolas" w:hAnsi="Consolas" w:cs="Consolas"/>
                <w:sz w:val="22"/>
                <w:szCs w:val="22"/>
                <w:shd w:val="clear" w:color="auto" w:fill="EAEEF3"/>
              </w:rPr>
              <w:t>E54_Dimension</w:t>
            </w:r>
          </w:p>
        </w:tc>
      </w:tr>
      <w:tr w:rsidR="00BF18CF" w14:paraId="71C09C7F" w14:textId="77777777" w:rsidTr="00BF18CF">
        <w:tc>
          <w:tcPr>
            <w:tcW w:w="1882" w:type="dxa"/>
          </w:tcPr>
          <w:p w14:paraId="0B56EE8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8" w:type="dxa"/>
          </w:tcPr>
          <w:p w14:paraId="210902E4" w14:textId="77777777" w:rsidR="00BF18CF" w:rsidRDefault="00BF18CF">
            <w:pPr>
              <w:pBdr>
                <w:top w:val="nil"/>
                <w:left w:val="nil"/>
                <w:bottom w:val="nil"/>
                <w:right w:val="nil"/>
                <w:between w:val="nil"/>
              </w:pBdr>
              <w:spacing w:before="36" w:after="36"/>
              <w:rPr>
                <w:color w:val="000000"/>
              </w:rPr>
            </w:pPr>
          </w:p>
        </w:tc>
      </w:tr>
      <w:tr w:rsidR="00BF18CF" w14:paraId="6EEE7038" w14:textId="77777777" w:rsidTr="00BF18CF">
        <w:tc>
          <w:tcPr>
            <w:tcW w:w="1882" w:type="dxa"/>
          </w:tcPr>
          <w:p w14:paraId="0540B2C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8" w:type="dxa"/>
          </w:tcPr>
          <w:p w14:paraId="1E16E225" w14:textId="77777777" w:rsidR="00BF18CF" w:rsidRDefault="00BF18CF">
            <w:pPr>
              <w:pBdr>
                <w:top w:val="nil"/>
                <w:left w:val="nil"/>
                <w:bottom w:val="nil"/>
                <w:right w:val="nil"/>
                <w:between w:val="nil"/>
              </w:pBdr>
              <w:spacing w:before="36" w:after="36"/>
              <w:rPr>
                <w:color w:val="000000"/>
              </w:rPr>
            </w:pPr>
          </w:p>
        </w:tc>
      </w:tr>
      <w:tr w:rsidR="00BF18CF" w14:paraId="05B5DF20" w14:textId="77777777" w:rsidTr="00BF18CF">
        <w:tc>
          <w:tcPr>
            <w:tcW w:w="1882" w:type="dxa"/>
          </w:tcPr>
          <w:p w14:paraId="4C53F8D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8" w:type="dxa"/>
          </w:tcPr>
          <w:p w14:paraId="4C7D8075" w14:textId="77777777" w:rsidR="00BF18CF" w:rsidRDefault="00E51347">
            <w:proofErr w:type="gramStart"/>
            <w:r>
              <w:t>un</w:t>
            </w:r>
            <w:proofErr w:type="gramEnd"/>
            <w:r>
              <w:t xml:space="preserve"> à plusieurs, dépendant (0,n:1,1)</w:t>
            </w:r>
          </w:p>
        </w:tc>
      </w:tr>
      <w:tr w:rsidR="00BF18CF" w14:paraId="0DB95C33" w14:textId="77777777" w:rsidTr="00BF18CF">
        <w:tc>
          <w:tcPr>
            <w:tcW w:w="1882" w:type="dxa"/>
          </w:tcPr>
          <w:p w14:paraId="2D3D813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8" w:type="dxa"/>
          </w:tcPr>
          <w:p w14:paraId="2B9272AC" w14:textId="77777777" w:rsidR="00BF18CF" w:rsidRDefault="00E51347">
            <w:r>
              <w:t xml:space="preserve">Cette propriété enregistre une instance de </w:t>
            </w:r>
            <w:r>
              <w:rPr>
                <w:rFonts w:ascii="Consolas" w:eastAsia="Consolas" w:hAnsi="Consolas" w:cs="Consolas"/>
                <w:sz w:val="22"/>
                <w:szCs w:val="22"/>
                <w:shd w:val="clear" w:color="auto" w:fill="EAEEF3"/>
              </w:rPr>
              <w:t>E54_Dimension</w:t>
            </w:r>
            <w:r>
              <w:t xml:space="preserve"> se rapportant à une instance de </w:t>
            </w:r>
            <w:r>
              <w:rPr>
                <w:rFonts w:ascii="Consolas" w:eastAsia="Consolas" w:hAnsi="Consolas" w:cs="Consolas"/>
                <w:sz w:val="22"/>
                <w:szCs w:val="22"/>
                <w:shd w:val="clear" w:color="auto" w:fill="EAEEF3"/>
              </w:rPr>
              <w:t>E70_Chose</w:t>
            </w:r>
            <w:r>
              <w:t>.</w:t>
            </w:r>
          </w:p>
          <w:p w14:paraId="2C45EE9A"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E70_Chose</w:t>
            </w:r>
            <w:r>
              <w:t xml:space="preserve">, </w:t>
            </w:r>
            <w:r>
              <w:rPr>
                <w:rFonts w:ascii="Consolas" w:eastAsia="Consolas" w:hAnsi="Consolas" w:cs="Consolas"/>
                <w:sz w:val="22"/>
                <w:szCs w:val="22"/>
                <w:shd w:val="clear" w:color="auto" w:fill="EAEEF3"/>
              </w:rPr>
              <w:t>P39i_a_été_mesuré_par</w:t>
            </w:r>
            <w:r>
              <w:t xml:space="preserve">, </w:t>
            </w:r>
            <w:r>
              <w:rPr>
                <w:rFonts w:ascii="Consolas" w:eastAsia="Consolas" w:hAnsi="Consolas" w:cs="Consolas"/>
                <w:sz w:val="22"/>
                <w:szCs w:val="22"/>
                <w:shd w:val="clear" w:color="auto" w:fill="EAEEF3"/>
              </w:rPr>
              <w:t>E16_Mesurage</w:t>
            </w:r>
            <w:r>
              <w:t xml:space="preserve">, </w:t>
            </w:r>
            <w:r>
              <w:rPr>
                <w:rFonts w:ascii="Consolas" w:eastAsia="Consolas" w:hAnsi="Consolas" w:cs="Consolas"/>
                <w:sz w:val="22"/>
                <w:szCs w:val="22"/>
                <w:shd w:val="clear" w:color="auto" w:fill="EAEEF3"/>
              </w:rPr>
              <w:t>P40_a_relevé_comme_dimension (a_été_relevé_par)</w:t>
            </w:r>
            <w:r>
              <w:t xml:space="preserve">, </w:t>
            </w:r>
            <w:r>
              <w:rPr>
                <w:rFonts w:ascii="Consolas" w:eastAsia="Consolas" w:hAnsi="Consolas" w:cs="Consolas"/>
                <w:sz w:val="22"/>
                <w:szCs w:val="22"/>
                <w:shd w:val="clear" w:color="auto" w:fill="EAEEF3"/>
              </w:rPr>
              <w:t>E54_Dimension</w:t>
            </w:r>
            <w:r>
              <w:t>.</w:t>
            </w:r>
          </w:p>
          <w:p w14:paraId="11DF53AE" w14:textId="77777777" w:rsidR="00BF18CF" w:rsidRDefault="00E51347">
            <w:r>
              <w:t xml:space="preserve">La propriété </w:t>
            </w:r>
            <w:r>
              <w:rPr>
                <w:rFonts w:ascii="Consolas" w:eastAsia="Consolas" w:hAnsi="Consolas" w:cs="Consolas"/>
                <w:sz w:val="22"/>
                <w:szCs w:val="22"/>
                <w:shd w:val="clear" w:color="auto" w:fill="EAEEF3"/>
              </w:rPr>
              <w:t>P43_a_pour_dimension (est_la_dimension_de)</w:t>
            </w:r>
            <w:r>
              <w:t xml:space="preserve"> n'offre aucune information sur comment et quand une instance de </w:t>
            </w:r>
            <w:r>
              <w:rPr>
                <w:rFonts w:ascii="Consolas" w:eastAsia="Consolas" w:hAnsi="Consolas" w:cs="Consolas"/>
                <w:sz w:val="22"/>
                <w:szCs w:val="22"/>
                <w:shd w:val="clear" w:color="auto" w:fill="EAEEF3"/>
              </w:rPr>
              <w:t>E54_Dimension</w:t>
            </w:r>
            <w:r>
              <w:t xml:space="preserve"> a été établie, ni par qui.</w:t>
            </w:r>
          </w:p>
          <w:p w14:paraId="3F99E37F" w14:textId="77777777" w:rsidR="00BF18CF" w:rsidRDefault="00E51347">
            <w:r>
              <w:t xml:space="preserve">Une instance de </w:t>
            </w:r>
            <w:r>
              <w:rPr>
                <w:rFonts w:ascii="Consolas" w:eastAsia="Consolas" w:hAnsi="Consolas" w:cs="Consolas"/>
                <w:sz w:val="22"/>
                <w:szCs w:val="22"/>
                <w:shd w:val="clear" w:color="auto" w:fill="EAEEF3"/>
              </w:rPr>
              <w:t>E54_Dimension</w:t>
            </w:r>
            <w:r>
              <w:t xml:space="preserve"> est spécifique à une instance de </w:t>
            </w:r>
            <w:r>
              <w:rPr>
                <w:rFonts w:ascii="Consolas" w:eastAsia="Consolas" w:hAnsi="Consolas" w:cs="Consolas"/>
                <w:sz w:val="22"/>
                <w:szCs w:val="22"/>
                <w:shd w:val="clear" w:color="auto" w:fill="EAEEF3"/>
              </w:rPr>
              <w:t>E70_Chose</w:t>
            </w:r>
            <w:r>
              <w:t>.</w:t>
            </w:r>
          </w:p>
        </w:tc>
      </w:tr>
      <w:tr w:rsidR="00BF18CF" w14:paraId="042EC135" w14:textId="77777777" w:rsidTr="00BF18CF">
        <w:tc>
          <w:tcPr>
            <w:tcW w:w="1882" w:type="dxa"/>
          </w:tcPr>
          <w:p w14:paraId="1B12DAEF"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8" w:type="dxa"/>
          </w:tcPr>
          <w:p w14:paraId="3D65C476" w14:textId="77777777" w:rsidR="00BF18CF" w:rsidRDefault="00E51347">
            <w:pPr>
              <w:numPr>
                <w:ilvl w:val="0"/>
                <w:numId w:val="19"/>
              </w:numPr>
            </w:pPr>
            <w:r>
              <w:t>La coupe en argent « 232 » (</w:t>
            </w:r>
            <w:r>
              <w:rPr>
                <w:rFonts w:ascii="Consolas" w:eastAsia="Consolas" w:hAnsi="Consolas" w:cs="Consolas"/>
                <w:sz w:val="22"/>
                <w:szCs w:val="22"/>
                <w:shd w:val="clear" w:color="auto" w:fill="EAEEF3"/>
              </w:rPr>
              <w:t>E22_Objet_élaboré_par_l’humain</w:t>
            </w:r>
            <w:r>
              <w:t>) a pour dimension (</w:t>
            </w:r>
            <w:r>
              <w:rPr>
                <w:rFonts w:ascii="Consolas" w:eastAsia="Consolas" w:hAnsi="Consolas" w:cs="Consolas"/>
                <w:sz w:val="22"/>
                <w:szCs w:val="22"/>
                <w:shd w:val="clear" w:color="auto" w:fill="EAEEF3"/>
              </w:rPr>
              <w:t>P43_a_pour_dimension</w:t>
            </w:r>
            <w:r>
              <w:t>) la hauteur de la coupe en argent « 232 » (</w:t>
            </w:r>
            <w:r>
              <w:rPr>
                <w:rFonts w:ascii="Consolas" w:eastAsia="Consolas" w:hAnsi="Consolas" w:cs="Consolas"/>
                <w:sz w:val="22"/>
                <w:szCs w:val="22"/>
                <w:shd w:val="clear" w:color="auto" w:fill="EAEEF3"/>
              </w:rPr>
              <w:t>E54_Dimension</w:t>
            </w:r>
            <w:r>
              <w:t>) qui a pour unité de mesure (</w:t>
            </w:r>
            <w:r>
              <w:rPr>
                <w:rFonts w:ascii="Consolas" w:eastAsia="Consolas" w:hAnsi="Consolas" w:cs="Consolas"/>
                <w:sz w:val="22"/>
                <w:szCs w:val="22"/>
                <w:shd w:val="clear" w:color="auto" w:fill="EAEEF3"/>
              </w:rPr>
              <w:t>P91_a_pour_unité_de_mesure</w:t>
            </w:r>
            <w:r>
              <w:t>) « mm » (</w:t>
            </w:r>
            <w:r>
              <w:rPr>
                <w:rFonts w:ascii="Consolas" w:eastAsia="Consolas" w:hAnsi="Consolas" w:cs="Consolas"/>
                <w:sz w:val="22"/>
                <w:szCs w:val="22"/>
                <w:shd w:val="clear" w:color="auto" w:fill="EAEEF3"/>
              </w:rPr>
              <w:t>E58_Unité_de_mesure</w:t>
            </w:r>
            <w:r>
              <w:t>) et pour valeur (</w:t>
            </w:r>
            <w:r>
              <w:rPr>
                <w:rFonts w:ascii="Consolas" w:eastAsia="Consolas" w:hAnsi="Consolas" w:cs="Consolas"/>
                <w:sz w:val="22"/>
                <w:szCs w:val="22"/>
                <w:shd w:val="clear" w:color="auto" w:fill="EAEEF3"/>
              </w:rPr>
              <w:t>P90_a_pour_valeur</w:t>
            </w:r>
            <w:r>
              <w:t>) « 224 » (</w:t>
            </w:r>
            <w:r>
              <w:rPr>
                <w:rFonts w:ascii="Consolas" w:eastAsia="Consolas" w:hAnsi="Consolas" w:cs="Consolas"/>
                <w:sz w:val="22"/>
                <w:szCs w:val="22"/>
                <w:shd w:val="clear" w:color="auto" w:fill="EAEEF3"/>
              </w:rPr>
              <w:t>E60_Nombre</w:t>
            </w:r>
            <w:r>
              <w:t>) (fictif)</w:t>
            </w:r>
          </w:p>
        </w:tc>
      </w:tr>
      <w:tr w:rsidR="00BF18CF" w14:paraId="39961F4D" w14:textId="77777777" w:rsidTr="00BF18CF">
        <w:tc>
          <w:tcPr>
            <w:tcW w:w="1882" w:type="dxa"/>
          </w:tcPr>
          <w:p w14:paraId="10B6B5AB"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08" w:type="dxa"/>
          </w:tcPr>
          <w:p w14:paraId="7F3B75B9" w14:textId="77777777" w:rsidR="00620ECC" w:rsidRDefault="00E51347">
            <w:r>
              <w:t>P43(</w:t>
            </w:r>
            <w:proofErr w:type="gramStart"/>
            <w:r>
              <w:t>x,y</w:t>
            </w:r>
            <w:proofErr w:type="gramEnd"/>
            <w:r>
              <w:t xml:space="preserve">) ⇒ E70(x) </w:t>
            </w:r>
          </w:p>
          <w:p w14:paraId="1AACDD0C" w14:textId="77777777" w:rsidR="00620ECC" w:rsidRDefault="00E51347">
            <w:r>
              <w:t>P43(</w:t>
            </w:r>
            <w:proofErr w:type="gramStart"/>
            <w:r>
              <w:t>x,y</w:t>
            </w:r>
            <w:proofErr w:type="gramEnd"/>
            <w:r>
              <w:t xml:space="preserve">) ⇒ E54(y) </w:t>
            </w:r>
          </w:p>
          <w:p w14:paraId="4C64296D" w14:textId="27203C0F" w:rsidR="00BF18CF" w:rsidRDefault="00E51347">
            <w:r>
              <w:t>P43(</w:t>
            </w:r>
            <w:proofErr w:type="gramStart"/>
            <w:r>
              <w:t>x,y</w:t>
            </w:r>
            <w:proofErr w:type="gramEnd"/>
            <w:r>
              <w:t>) ⇐ (∃z) [E16(z) ˄ P39i(x,z) ˄ P40(z,y)]</w:t>
            </w:r>
          </w:p>
        </w:tc>
      </w:tr>
      <w:tr w:rsidR="00BF18CF" w14:paraId="2C9C8F31" w14:textId="77777777" w:rsidTr="00BF18CF">
        <w:tc>
          <w:tcPr>
            <w:tcW w:w="1882" w:type="dxa"/>
          </w:tcPr>
          <w:p w14:paraId="4F3BAB9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8" w:type="dxa"/>
          </w:tcPr>
          <w:p w14:paraId="3F3342F5" w14:textId="77777777" w:rsidR="00BF18CF" w:rsidRDefault="00BF18CF">
            <w:pPr>
              <w:pBdr>
                <w:top w:val="nil"/>
                <w:left w:val="nil"/>
                <w:bottom w:val="nil"/>
                <w:right w:val="nil"/>
                <w:between w:val="nil"/>
              </w:pBdr>
              <w:spacing w:before="36" w:after="36"/>
              <w:rPr>
                <w:color w:val="000000"/>
              </w:rPr>
            </w:pPr>
          </w:p>
        </w:tc>
      </w:tr>
      <w:tr w:rsidR="00BF18CF" w14:paraId="5106DD94" w14:textId="77777777" w:rsidTr="00BF18CF">
        <w:tc>
          <w:tcPr>
            <w:tcW w:w="1882" w:type="dxa"/>
          </w:tcPr>
          <w:p w14:paraId="0D2E0AA5" w14:textId="5D89BAB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8" w:type="dxa"/>
          </w:tcPr>
          <w:p w14:paraId="3A5B0620" w14:textId="77777777" w:rsidR="00BF18CF" w:rsidRDefault="00BF18CF">
            <w:pPr>
              <w:pBdr>
                <w:top w:val="nil"/>
                <w:left w:val="nil"/>
                <w:bottom w:val="nil"/>
                <w:right w:val="nil"/>
                <w:between w:val="nil"/>
              </w:pBdr>
              <w:spacing w:before="36" w:after="36"/>
              <w:rPr>
                <w:color w:val="000000"/>
              </w:rPr>
            </w:pPr>
          </w:p>
        </w:tc>
      </w:tr>
      <w:tr w:rsidR="00BF18CF" w14:paraId="5CD7A04C" w14:textId="77777777" w:rsidTr="00BF18CF">
        <w:tc>
          <w:tcPr>
            <w:tcW w:w="1882" w:type="dxa"/>
          </w:tcPr>
          <w:p w14:paraId="0F6F5C7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8" w:type="dxa"/>
          </w:tcPr>
          <w:p w14:paraId="3E3A478C" w14:textId="77777777" w:rsidR="00BF18CF" w:rsidRDefault="00BF18CF">
            <w:pPr>
              <w:pBdr>
                <w:top w:val="nil"/>
                <w:left w:val="nil"/>
                <w:bottom w:val="nil"/>
                <w:right w:val="nil"/>
                <w:between w:val="nil"/>
              </w:pBdr>
              <w:spacing w:before="36" w:after="36"/>
              <w:rPr>
                <w:color w:val="000000"/>
              </w:rPr>
            </w:pPr>
          </w:p>
        </w:tc>
      </w:tr>
    </w:tbl>
    <w:p w14:paraId="572D66AA" w14:textId="77777777" w:rsidR="00BF18CF" w:rsidRDefault="00E51347">
      <w:pPr>
        <w:pStyle w:val="Heading3"/>
      </w:pPr>
      <w:bookmarkStart w:id="345" w:name="bookmark=id.18vjpp8" w:colFirst="0" w:colLast="0"/>
      <w:bookmarkStart w:id="346" w:name="_Toc144360916"/>
      <w:bookmarkEnd w:id="345"/>
      <w:r>
        <w:t>P44 a pour état matériel (est l'état matériel de)</w:t>
      </w:r>
      <w:bookmarkEnd w:id="346"/>
    </w:p>
    <w:tbl>
      <w:tblPr>
        <w:tblStyle w:val="aff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4"/>
        <w:gridCol w:w="8796"/>
      </w:tblGrid>
      <w:tr w:rsidR="00BF18CF" w14:paraId="7A856FC9" w14:textId="77777777" w:rsidTr="00BF18CF">
        <w:tc>
          <w:tcPr>
            <w:tcW w:w="1894" w:type="dxa"/>
          </w:tcPr>
          <w:p w14:paraId="03C8668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6" w:type="dxa"/>
          </w:tcPr>
          <w:p w14:paraId="3A12B3B8" w14:textId="77777777" w:rsidR="00BF18CF" w:rsidRDefault="00E51347">
            <w:r>
              <w:rPr>
                <w:rFonts w:ascii="Consolas" w:eastAsia="Consolas" w:hAnsi="Consolas" w:cs="Consolas"/>
                <w:sz w:val="22"/>
                <w:szCs w:val="22"/>
                <w:shd w:val="clear" w:color="auto" w:fill="EAEEF3"/>
              </w:rPr>
              <w:t>E18_Chose_matérielle</w:t>
            </w:r>
          </w:p>
        </w:tc>
      </w:tr>
      <w:tr w:rsidR="00BF18CF" w14:paraId="5EEBAB4A" w14:textId="77777777" w:rsidTr="00BF18CF">
        <w:tc>
          <w:tcPr>
            <w:tcW w:w="1894" w:type="dxa"/>
          </w:tcPr>
          <w:p w14:paraId="6C1E58F8"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6" w:type="dxa"/>
          </w:tcPr>
          <w:p w14:paraId="6348121C" w14:textId="77777777" w:rsidR="00BF18CF" w:rsidRDefault="00E51347">
            <w:r>
              <w:rPr>
                <w:rFonts w:ascii="Consolas" w:eastAsia="Consolas" w:hAnsi="Consolas" w:cs="Consolas"/>
                <w:sz w:val="22"/>
                <w:szCs w:val="22"/>
                <w:shd w:val="clear" w:color="auto" w:fill="EAEEF3"/>
              </w:rPr>
              <w:t>E3_État_matériel</w:t>
            </w:r>
          </w:p>
        </w:tc>
      </w:tr>
      <w:tr w:rsidR="00BF18CF" w14:paraId="2F1B7B3F" w14:textId="77777777" w:rsidTr="00BF18CF">
        <w:tc>
          <w:tcPr>
            <w:tcW w:w="1894" w:type="dxa"/>
          </w:tcPr>
          <w:p w14:paraId="12171E09"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6" w:type="dxa"/>
          </w:tcPr>
          <w:p w14:paraId="1BE8052E" w14:textId="77777777" w:rsidR="00BF18CF" w:rsidRDefault="00BF18CF">
            <w:pPr>
              <w:pBdr>
                <w:top w:val="nil"/>
                <w:left w:val="nil"/>
                <w:bottom w:val="nil"/>
                <w:right w:val="nil"/>
                <w:between w:val="nil"/>
              </w:pBdr>
              <w:spacing w:before="36" w:after="36"/>
              <w:rPr>
                <w:color w:val="000000"/>
              </w:rPr>
            </w:pPr>
          </w:p>
        </w:tc>
      </w:tr>
      <w:tr w:rsidR="00BF18CF" w14:paraId="394B4A68" w14:textId="77777777" w:rsidTr="00BF18CF">
        <w:tc>
          <w:tcPr>
            <w:tcW w:w="1894" w:type="dxa"/>
          </w:tcPr>
          <w:p w14:paraId="4C53E8F1"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6" w:type="dxa"/>
          </w:tcPr>
          <w:p w14:paraId="4A1C4336" w14:textId="77777777" w:rsidR="00BF18CF" w:rsidRDefault="00BF18CF">
            <w:pPr>
              <w:pBdr>
                <w:top w:val="nil"/>
                <w:left w:val="nil"/>
                <w:bottom w:val="nil"/>
                <w:right w:val="nil"/>
                <w:between w:val="nil"/>
              </w:pBdr>
              <w:spacing w:before="36" w:after="36"/>
              <w:rPr>
                <w:color w:val="000000"/>
              </w:rPr>
            </w:pPr>
          </w:p>
        </w:tc>
      </w:tr>
      <w:tr w:rsidR="00BF18CF" w14:paraId="4F703328" w14:textId="77777777" w:rsidTr="00BF18CF">
        <w:tc>
          <w:tcPr>
            <w:tcW w:w="1894" w:type="dxa"/>
          </w:tcPr>
          <w:p w14:paraId="18723ED1"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6" w:type="dxa"/>
          </w:tcPr>
          <w:p w14:paraId="71E092E4" w14:textId="77777777" w:rsidR="00BF18CF" w:rsidRDefault="00E51347">
            <w:proofErr w:type="gramStart"/>
            <w:r>
              <w:t>un</w:t>
            </w:r>
            <w:proofErr w:type="gramEnd"/>
            <w:r>
              <w:t xml:space="preserve"> à plusieurs, dépendant (0,n:1,1)</w:t>
            </w:r>
          </w:p>
        </w:tc>
      </w:tr>
      <w:tr w:rsidR="00BF18CF" w14:paraId="13F45F27" w14:textId="77777777" w:rsidTr="00BF18CF">
        <w:tc>
          <w:tcPr>
            <w:tcW w:w="1894" w:type="dxa"/>
          </w:tcPr>
          <w:p w14:paraId="1E6768F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6" w:type="dxa"/>
          </w:tcPr>
          <w:p w14:paraId="003280A2" w14:textId="77777777" w:rsidR="00BF18CF" w:rsidRDefault="00E51347">
            <w:r>
              <w:t xml:space="preserve">Cette propriété enregistre une instance de </w:t>
            </w:r>
            <w:r>
              <w:rPr>
                <w:rFonts w:ascii="Consolas" w:eastAsia="Consolas" w:hAnsi="Consolas" w:cs="Consolas"/>
                <w:sz w:val="22"/>
                <w:szCs w:val="22"/>
                <w:shd w:val="clear" w:color="auto" w:fill="EAEEF3"/>
              </w:rPr>
              <w:t>E3_État_matériel</w:t>
            </w:r>
            <w:r>
              <w:t xml:space="preserve"> concernant une instance de </w:t>
            </w:r>
            <w:r>
              <w:rPr>
                <w:rFonts w:ascii="Consolas" w:eastAsia="Consolas" w:hAnsi="Consolas" w:cs="Consolas"/>
                <w:sz w:val="22"/>
                <w:szCs w:val="22"/>
                <w:shd w:val="clear" w:color="auto" w:fill="EAEEF3"/>
              </w:rPr>
              <w:t>E18_Chose_matérielle</w:t>
            </w:r>
            <w:r>
              <w:t>.</w:t>
            </w:r>
          </w:p>
          <w:p w14:paraId="2C7D8378"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P34i_a_été_évalué_par</w:t>
            </w:r>
            <w:r>
              <w:t xml:space="preserve">, </w:t>
            </w:r>
            <w:r>
              <w:rPr>
                <w:rFonts w:ascii="Consolas" w:eastAsia="Consolas" w:hAnsi="Consolas" w:cs="Consolas"/>
                <w:sz w:val="22"/>
                <w:szCs w:val="22"/>
                <w:shd w:val="clear" w:color="auto" w:fill="EAEEF3"/>
              </w:rPr>
              <w:t>E14_Évaluation_d’état_matériel</w:t>
            </w:r>
            <w:r>
              <w:t xml:space="preserve">, </w:t>
            </w:r>
            <w:r>
              <w:rPr>
                <w:rFonts w:ascii="Consolas" w:eastAsia="Consolas" w:hAnsi="Consolas" w:cs="Consolas"/>
                <w:sz w:val="22"/>
                <w:szCs w:val="22"/>
                <w:shd w:val="clear" w:color="auto" w:fill="EAEEF3"/>
              </w:rPr>
              <w:t>P35_a_identifié</w:t>
            </w:r>
            <w:r>
              <w:t xml:space="preserve">, </w:t>
            </w:r>
            <w:r>
              <w:rPr>
                <w:rFonts w:ascii="Consolas" w:eastAsia="Consolas" w:hAnsi="Consolas" w:cs="Consolas"/>
                <w:sz w:val="22"/>
                <w:szCs w:val="22"/>
                <w:shd w:val="clear" w:color="auto" w:fill="EAEEF3"/>
              </w:rPr>
              <w:t>E3_État_matériel</w:t>
            </w:r>
            <w:r>
              <w:t>.</w:t>
            </w:r>
          </w:p>
          <w:p w14:paraId="66296A69" w14:textId="77777777" w:rsidR="00BF18CF" w:rsidRDefault="00E51347">
            <w:r>
              <w:rPr>
                <w:rFonts w:ascii="Consolas" w:eastAsia="Consolas" w:hAnsi="Consolas" w:cs="Consolas"/>
                <w:sz w:val="22"/>
                <w:szCs w:val="22"/>
                <w:shd w:val="clear" w:color="auto" w:fill="EAEEF3"/>
              </w:rPr>
              <w:t>P44_a_pour_état_matériel (est_l’état_matériel_de)</w:t>
            </w:r>
            <w:r>
              <w:t xml:space="preserve"> ne procure pas d'information sur comment, quand ou par qui a été établie l'instance de </w:t>
            </w:r>
            <w:r>
              <w:rPr>
                <w:rFonts w:ascii="Consolas" w:eastAsia="Consolas" w:hAnsi="Consolas" w:cs="Consolas"/>
                <w:sz w:val="22"/>
                <w:szCs w:val="22"/>
                <w:shd w:val="clear" w:color="auto" w:fill="EAEEF3"/>
              </w:rPr>
              <w:t>E3_État_matériel</w:t>
            </w:r>
            <w:r>
              <w:t>.</w:t>
            </w:r>
          </w:p>
          <w:p w14:paraId="5DE421DF" w14:textId="77777777" w:rsidR="00BF18CF" w:rsidRDefault="00E51347">
            <w:r>
              <w:t xml:space="preserve">Une instance de </w:t>
            </w:r>
            <w:r>
              <w:rPr>
                <w:rFonts w:ascii="Consolas" w:eastAsia="Consolas" w:hAnsi="Consolas" w:cs="Consolas"/>
                <w:sz w:val="22"/>
                <w:szCs w:val="22"/>
                <w:shd w:val="clear" w:color="auto" w:fill="EAEEF3"/>
              </w:rPr>
              <w:t>E3_État_matériel</w:t>
            </w:r>
            <w:r>
              <w:t xml:space="preserve"> est spécifique à une instance de </w:t>
            </w:r>
            <w:r>
              <w:rPr>
                <w:rFonts w:ascii="Consolas" w:eastAsia="Consolas" w:hAnsi="Consolas" w:cs="Consolas"/>
                <w:sz w:val="22"/>
                <w:szCs w:val="22"/>
                <w:shd w:val="clear" w:color="auto" w:fill="EAEEF3"/>
              </w:rPr>
              <w:t>E18_Chose_matérielle</w:t>
            </w:r>
            <w:r>
              <w:t>.</w:t>
            </w:r>
          </w:p>
        </w:tc>
      </w:tr>
      <w:tr w:rsidR="00BF18CF" w14:paraId="15A15424" w14:textId="77777777" w:rsidTr="00BF18CF">
        <w:tc>
          <w:tcPr>
            <w:tcW w:w="1894" w:type="dxa"/>
          </w:tcPr>
          <w:p w14:paraId="20F3074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6" w:type="dxa"/>
          </w:tcPr>
          <w:p w14:paraId="266BEE4A" w14:textId="77777777" w:rsidR="00BF18CF" w:rsidRDefault="00E51347">
            <w:pPr>
              <w:numPr>
                <w:ilvl w:val="0"/>
                <w:numId w:val="19"/>
              </w:numPr>
            </w:pPr>
            <w:r>
              <w:t>La coupe en argent « 232 » (</w:t>
            </w:r>
            <w:r>
              <w:rPr>
                <w:rFonts w:ascii="Consolas" w:eastAsia="Consolas" w:hAnsi="Consolas" w:cs="Consolas"/>
                <w:sz w:val="22"/>
                <w:szCs w:val="22"/>
                <w:shd w:val="clear" w:color="auto" w:fill="EAEEF3"/>
              </w:rPr>
              <w:t>E22_Objet_élaboré_par_l’humain</w:t>
            </w:r>
            <w:r>
              <w:t>) a pour état matériel (</w:t>
            </w:r>
            <w:r>
              <w:rPr>
                <w:rFonts w:ascii="Consolas" w:eastAsia="Consolas" w:hAnsi="Consolas" w:cs="Consolas"/>
                <w:sz w:val="22"/>
                <w:szCs w:val="22"/>
                <w:shd w:val="clear" w:color="auto" w:fill="EAEEF3"/>
              </w:rPr>
              <w:t>P44_a_pour_état_matériel</w:t>
            </w:r>
            <w:r>
              <w:t>) des traces d'oxydation présentes en 1997 (</w:t>
            </w:r>
            <w:r>
              <w:rPr>
                <w:rFonts w:ascii="Consolas" w:eastAsia="Consolas" w:hAnsi="Consolas" w:cs="Consolas"/>
                <w:sz w:val="22"/>
                <w:szCs w:val="22"/>
                <w:shd w:val="clear" w:color="auto" w:fill="EAEEF3"/>
              </w:rPr>
              <w:t>E3_État_matériel</w:t>
            </w:r>
            <w:r>
              <w:t>), lesquelles ont pour type (</w:t>
            </w:r>
            <w:r>
              <w:rPr>
                <w:rFonts w:ascii="Consolas" w:eastAsia="Consolas" w:hAnsi="Consolas" w:cs="Consolas"/>
                <w:sz w:val="22"/>
                <w:szCs w:val="22"/>
                <w:shd w:val="clear" w:color="auto" w:fill="EAEEF3"/>
              </w:rPr>
              <w:t>P2_a_pour_type</w:t>
            </w:r>
            <w:r>
              <w:t>) « traces d'oxydation » (</w:t>
            </w:r>
            <w:r>
              <w:rPr>
                <w:rFonts w:ascii="Consolas" w:eastAsia="Consolas" w:hAnsi="Consolas" w:cs="Consolas"/>
                <w:sz w:val="22"/>
                <w:szCs w:val="22"/>
                <w:shd w:val="clear" w:color="auto" w:fill="EAEEF3"/>
              </w:rPr>
              <w:t>E55_Type</w:t>
            </w:r>
            <w:r>
              <w:t>) (fictif)</w:t>
            </w:r>
          </w:p>
        </w:tc>
      </w:tr>
      <w:tr w:rsidR="00BF18CF" w14:paraId="12E5198E" w14:textId="77777777" w:rsidTr="00BF18CF">
        <w:tc>
          <w:tcPr>
            <w:tcW w:w="1894" w:type="dxa"/>
          </w:tcPr>
          <w:p w14:paraId="6925B8F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6" w:type="dxa"/>
          </w:tcPr>
          <w:p w14:paraId="6735343E" w14:textId="77777777" w:rsidR="00BF18CF" w:rsidRDefault="00E51347">
            <w:r>
              <w:t>P44(</w:t>
            </w:r>
            <w:proofErr w:type="gramStart"/>
            <w:r>
              <w:t>x,y</w:t>
            </w:r>
            <w:proofErr w:type="gramEnd"/>
            <w:r>
              <w:t>) ⇒ E18(x)</w:t>
            </w:r>
          </w:p>
          <w:p w14:paraId="7F2212EC" w14:textId="77777777" w:rsidR="00BF18CF" w:rsidRDefault="00E51347">
            <w:r>
              <w:t>P44(</w:t>
            </w:r>
            <w:proofErr w:type="gramStart"/>
            <w:r>
              <w:t>x,y</w:t>
            </w:r>
            <w:proofErr w:type="gramEnd"/>
            <w:r>
              <w:t>) ⇒ E3(y)</w:t>
            </w:r>
          </w:p>
          <w:p w14:paraId="593CF739" w14:textId="77777777" w:rsidR="00BF18CF" w:rsidRDefault="00E51347">
            <w:r>
              <w:t>P44(</w:t>
            </w:r>
            <w:proofErr w:type="gramStart"/>
            <w:r>
              <w:t>x,y</w:t>
            </w:r>
            <w:proofErr w:type="gramEnd"/>
            <w:r>
              <w:t>) ⇐ (∃z) [E14(z) ˄ P34i(x,z) ˄ P35(z,y)]</w:t>
            </w:r>
          </w:p>
        </w:tc>
      </w:tr>
      <w:tr w:rsidR="00BF18CF" w14:paraId="3DD72930" w14:textId="77777777" w:rsidTr="00BF18CF">
        <w:tc>
          <w:tcPr>
            <w:tcW w:w="1894" w:type="dxa"/>
          </w:tcPr>
          <w:p w14:paraId="7A1219E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6" w:type="dxa"/>
          </w:tcPr>
          <w:p w14:paraId="2377968B" w14:textId="77777777" w:rsidR="00BF18CF" w:rsidRDefault="00BF18CF">
            <w:pPr>
              <w:pBdr>
                <w:top w:val="nil"/>
                <w:left w:val="nil"/>
                <w:bottom w:val="nil"/>
                <w:right w:val="nil"/>
                <w:between w:val="nil"/>
              </w:pBdr>
              <w:spacing w:before="36" w:after="36"/>
              <w:rPr>
                <w:color w:val="000000"/>
              </w:rPr>
            </w:pPr>
          </w:p>
        </w:tc>
      </w:tr>
      <w:tr w:rsidR="00BF18CF" w14:paraId="2E6120C4" w14:textId="77777777" w:rsidTr="00BF18CF">
        <w:tc>
          <w:tcPr>
            <w:tcW w:w="1894" w:type="dxa"/>
          </w:tcPr>
          <w:p w14:paraId="0253F65A" w14:textId="0B00EEA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6" w:type="dxa"/>
          </w:tcPr>
          <w:p w14:paraId="6A1E7AFD" w14:textId="77777777" w:rsidR="00BF18CF" w:rsidRDefault="00BF18CF">
            <w:pPr>
              <w:pBdr>
                <w:top w:val="nil"/>
                <w:left w:val="nil"/>
                <w:bottom w:val="nil"/>
                <w:right w:val="nil"/>
                <w:between w:val="nil"/>
              </w:pBdr>
              <w:spacing w:before="36" w:after="36"/>
              <w:rPr>
                <w:color w:val="000000"/>
              </w:rPr>
            </w:pPr>
          </w:p>
        </w:tc>
      </w:tr>
      <w:tr w:rsidR="00BF18CF" w14:paraId="2793B298" w14:textId="77777777" w:rsidTr="00BF18CF">
        <w:tc>
          <w:tcPr>
            <w:tcW w:w="1894" w:type="dxa"/>
          </w:tcPr>
          <w:p w14:paraId="5F32DC6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6" w:type="dxa"/>
          </w:tcPr>
          <w:p w14:paraId="3D3EA6D9" w14:textId="77777777" w:rsidR="00BF18CF" w:rsidRDefault="00BF18CF">
            <w:pPr>
              <w:pBdr>
                <w:top w:val="nil"/>
                <w:left w:val="nil"/>
                <w:bottom w:val="nil"/>
                <w:right w:val="nil"/>
                <w:between w:val="nil"/>
              </w:pBdr>
              <w:spacing w:before="36" w:after="36"/>
              <w:rPr>
                <w:color w:val="000000"/>
              </w:rPr>
            </w:pPr>
          </w:p>
        </w:tc>
      </w:tr>
    </w:tbl>
    <w:p w14:paraId="683729F0" w14:textId="77777777" w:rsidR="00BF18CF" w:rsidRDefault="00E51347">
      <w:pPr>
        <w:pStyle w:val="Heading3"/>
      </w:pPr>
      <w:bookmarkStart w:id="347" w:name="bookmark=id.3sv78d1" w:colFirst="0" w:colLast="0"/>
      <w:bookmarkStart w:id="348" w:name="_Toc144360917"/>
      <w:bookmarkEnd w:id="347"/>
      <w:r>
        <w:lastRenderedPageBreak/>
        <w:t>P45 comprend (est inclus dans)</w:t>
      </w:r>
      <w:bookmarkEnd w:id="348"/>
    </w:p>
    <w:tbl>
      <w:tblPr>
        <w:tblStyle w:val="aff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8"/>
        <w:gridCol w:w="8752"/>
      </w:tblGrid>
      <w:tr w:rsidR="00BF18CF" w14:paraId="717FF145" w14:textId="77777777" w:rsidTr="00BF18CF">
        <w:tc>
          <w:tcPr>
            <w:tcW w:w="1938" w:type="dxa"/>
          </w:tcPr>
          <w:p w14:paraId="2750C94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52" w:type="dxa"/>
          </w:tcPr>
          <w:p w14:paraId="6146BAFA" w14:textId="77777777" w:rsidR="00BF18CF" w:rsidRDefault="00E51347">
            <w:r>
              <w:rPr>
                <w:rFonts w:ascii="Consolas" w:eastAsia="Consolas" w:hAnsi="Consolas" w:cs="Consolas"/>
                <w:sz w:val="22"/>
                <w:szCs w:val="22"/>
                <w:shd w:val="clear" w:color="auto" w:fill="EAEEF3"/>
              </w:rPr>
              <w:t>E18_Chose_matérielle</w:t>
            </w:r>
          </w:p>
        </w:tc>
      </w:tr>
      <w:tr w:rsidR="00BF18CF" w14:paraId="372FA850" w14:textId="77777777" w:rsidTr="00BF18CF">
        <w:tc>
          <w:tcPr>
            <w:tcW w:w="1938" w:type="dxa"/>
          </w:tcPr>
          <w:p w14:paraId="5457C5D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52" w:type="dxa"/>
          </w:tcPr>
          <w:p w14:paraId="464DF152" w14:textId="77777777" w:rsidR="00BF18CF" w:rsidRDefault="00E51347">
            <w:r>
              <w:rPr>
                <w:rFonts w:ascii="Consolas" w:eastAsia="Consolas" w:hAnsi="Consolas" w:cs="Consolas"/>
                <w:sz w:val="22"/>
                <w:szCs w:val="22"/>
                <w:shd w:val="clear" w:color="auto" w:fill="EAEEF3"/>
              </w:rPr>
              <w:t>E57_Matériau</w:t>
            </w:r>
          </w:p>
        </w:tc>
      </w:tr>
      <w:tr w:rsidR="00BF18CF" w14:paraId="5EB5B03C" w14:textId="77777777" w:rsidTr="00BF18CF">
        <w:tc>
          <w:tcPr>
            <w:tcW w:w="1938" w:type="dxa"/>
          </w:tcPr>
          <w:p w14:paraId="3A58D08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52" w:type="dxa"/>
          </w:tcPr>
          <w:p w14:paraId="7C442E6B" w14:textId="77777777" w:rsidR="00BF18CF" w:rsidRDefault="00BF18CF">
            <w:pPr>
              <w:pBdr>
                <w:top w:val="nil"/>
                <w:left w:val="nil"/>
                <w:bottom w:val="nil"/>
                <w:right w:val="nil"/>
                <w:between w:val="nil"/>
              </w:pBdr>
              <w:spacing w:before="36" w:after="36"/>
              <w:rPr>
                <w:color w:val="000000"/>
              </w:rPr>
            </w:pPr>
          </w:p>
        </w:tc>
      </w:tr>
      <w:tr w:rsidR="00BF18CF" w14:paraId="6EEA30B6" w14:textId="77777777" w:rsidTr="00BF18CF">
        <w:tc>
          <w:tcPr>
            <w:tcW w:w="1938" w:type="dxa"/>
          </w:tcPr>
          <w:p w14:paraId="7B36E741"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52" w:type="dxa"/>
          </w:tcPr>
          <w:p w14:paraId="04529351" w14:textId="77777777" w:rsidR="00BF18CF" w:rsidRDefault="00BF18CF">
            <w:pPr>
              <w:pBdr>
                <w:top w:val="nil"/>
                <w:left w:val="nil"/>
                <w:bottom w:val="nil"/>
                <w:right w:val="nil"/>
                <w:between w:val="nil"/>
              </w:pBdr>
              <w:spacing w:before="36" w:after="36"/>
              <w:rPr>
                <w:color w:val="000000"/>
              </w:rPr>
            </w:pPr>
          </w:p>
        </w:tc>
      </w:tr>
      <w:tr w:rsidR="00BF18CF" w14:paraId="1610852B" w14:textId="77777777" w:rsidTr="00BF18CF">
        <w:tc>
          <w:tcPr>
            <w:tcW w:w="1938" w:type="dxa"/>
          </w:tcPr>
          <w:p w14:paraId="295BAF5A"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52" w:type="dxa"/>
          </w:tcPr>
          <w:p w14:paraId="3D62E5A3" w14:textId="77777777" w:rsidR="00BF18CF" w:rsidRDefault="00E51347">
            <w:proofErr w:type="gramStart"/>
            <w:r>
              <w:t>plusieurs</w:t>
            </w:r>
            <w:proofErr w:type="gramEnd"/>
            <w:r>
              <w:t xml:space="preserve"> à plusieurs, nécessaire (1,n:0,n)</w:t>
            </w:r>
          </w:p>
        </w:tc>
      </w:tr>
      <w:tr w:rsidR="00BF18CF" w14:paraId="08311EBF" w14:textId="77777777" w:rsidTr="00BF18CF">
        <w:tc>
          <w:tcPr>
            <w:tcW w:w="1938" w:type="dxa"/>
          </w:tcPr>
          <w:p w14:paraId="12D18C2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52" w:type="dxa"/>
          </w:tcPr>
          <w:p w14:paraId="0BF988BC" w14:textId="77777777" w:rsidR="00BF18CF" w:rsidRDefault="00E51347">
            <w:r>
              <w:t xml:space="preserve">Cette propriété identifie les instances de </w:t>
            </w:r>
            <w:r>
              <w:rPr>
                <w:rFonts w:ascii="Consolas" w:eastAsia="Consolas" w:hAnsi="Consolas" w:cs="Consolas"/>
                <w:sz w:val="22"/>
                <w:szCs w:val="22"/>
                <w:shd w:val="clear" w:color="auto" w:fill="EAEEF3"/>
              </w:rPr>
              <w:t>E57_Matériau</w:t>
            </w:r>
            <w:r>
              <w:t xml:space="preserve"> dont une instance de </w:t>
            </w:r>
            <w:r>
              <w:rPr>
                <w:rFonts w:ascii="Consolas" w:eastAsia="Consolas" w:hAnsi="Consolas" w:cs="Consolas"/>
                <w:sz w:val="22"/>
                <w:szCs w:val="22"/>
                <w:shd w:val="clear" w:color="auto" w:fill="EAEEF3"/>
              </w:rPr>
              <w:t>E18_Chose_matérielle</w:t>
            </w:r>
            <w:r>
              <w:t xml:space="preserve"> est composée.</w:t>
            </w:r>
          </w:p>
          <w:p w14:paraId="7EFF575B" w14:textId="77777777" w:rsidR="00BF18CF" w:rsidRDefault="00E51347">
            <w:r>
              <w:t xml:space="preserve">Toutes les choses matérielles comprennent des matériaux physiques observables que </w:t>
            </w:r>
            <w:r>
              <w:rPr>
                <w:rFonts w:ascii="Consolas" w:eastAsia="Consolas" w:hAnsi="Consolas" w:cs="Consolas"/>
                <w:sz w:val="22"/>
                <w:szCs w:val="22"/>
                <w:shd w:val="clear" w:color="auto" w:fill="EAEEF3"/>
              </w:rPr>
              <w:t>P45_comprend (est_inclus_dans)</w:t>
            </w:r>
            <w:r>
              <w:t xml:space="preserve"> permet d'enregistrer.</w:t>
            </w:r>
          </w:p>
          <w:p w14:paraId="24C72DB4" w14:textId="77777777" w:rsidR="00BF18CF" w:rsidRDefault="00E51347">
            <w:r>
              <w:t>Dans ce contexte, les matériaux observables sont distingués de matériaux bruts qui seraient consommés. De plus, un matériau pourrait ne pas avoir d'instance physique (p. ex. un alliage théorique).</w:t>
            </w:r>
          </w:p>
        </w:tc>
      </w:tr>
      <w:tr w:rsidR="00BF18CF" w14:paraId="50A9CC41" w14:textId="77777777" w:rsidTr="00BF18CF">
        <w:tc>
          <w:tcPr>
            <w:tcW w:w="1938" w:type="dxa"/>
          </w:tcPr>
          <w:p w14:paraId="5F753C6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52" w:type="dxa"/>
          </w:tcPr>
          <w:p w14:paraId="2F9A61E1" w14:textId="77777777" w:rsidR="00BF18CF" w:rsidRDefault="00E51347">
            <w:pPr>
              <w:numPr>
                <w:ilvl w:val="0"/>
                <w:numId w:val="19"/>
              </w:numPr>
            </w:pPr>
            <w:r>
              <w:t>La coupe en argent « 232 » (</w:t>
            </w:r>
            <w:r>
              <w:rPr>
                <w:rFonts w:ascii="Consolas" w:eastAsia="Consolas" w:hAnsi="Consolas" w:cs="Consolas"/>
                <w:sz w:val="22"/>
                <w:szCs w:val="22"/>
                <w:shd w:val="clear" w:color="auto" w:fill="EAEEF3"/>
              </w:rPr>
              <w:t>E22_Objet_élaboré_par_l’humain</w:t>
            </w:r>
            <w:r>
              <w:t>) comprend (</w:t>
            </w:r>
            <w:r>
              <w:rPr>
                <w:rFonts w:ascii="Consolas" w:eastAsia="Consolas" w:hAnsi="Consolas" w:cs="Consolas"/>
                <w:sz w:val="22"/>
                <w:szCs w:val="22"/>
                <w:shd w:val="clear" w:color="auto" w:fill="EAEEF3"/>
              </w:rPr>
              <w:t>P45_comprend</w:t>
            </w:r>
            <w:r>
              <w:t>) le matériau « argent » (</w:t>
            </w:r>
            <w:r>
              <w:rPr>
                <w:rFonts w:ascii="Consolas" w:eastAsia="Consolas" w:hAnsi="Consolas" w:cs="Consolas"/>
                <w:sz w:val="22"/>
                <w:szCs w:val="22"/>
                <w:shd w:val="clear" w:color="auto" w:fill="EAEEF3"/>
              </w:rPr>
              <w:t>E57_Matériau</w:t>
            </w:r>
            <w:r>
              <w:t>) (fictif)</w:t>
            </w:r>
          </w:p>
        </w:tc>
      </w:tr>
      <w:tr w:rsidR="00BF18CF" w14:paraId="7C196D15" w14:textId="77777777" w:rsidTr="00BF18CF">
        <w:tc>
          <w:tcPr>
            <w:tcW w:w="1938" w:type="dxa"/>
          </w:tcPr>
          <w:p w14:paraId="1D0DB97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52" w:type="dxa"/>
          </w:tcPr>
          <w:p w14:paraId="32903078" w14:textId="77777777" w:rsidR="00BF18CF" w:rsidRDefault="00E51347">
            <w:r>
              <w:t>P45(</w:t>
            </w:r>
            <w:proofErr w:type="gramStart"/>
            <w:r>
              <w:t>x,y</w:t>
            </w:r>
            <w:proofErr w:type="gramEnd"/>
            <w:r>
              <w:t>) ⇒ E18(x)</w:t>
            </w:r>
          </w:p>
          <w:p w14:paraId="60A02E34" w14:textId="77777777" w:rsidR="00BF18CF" w:rsidRDefault="00E51347">
            <w:r>
              <w:t>P45(</w:t>
            </w:r>
            <w:proofErr w:type="gramStart"/>
            <w:r>
              <w:t>x,y</w:t>
            </w:r>
            <w:proofErr w:type="gramEnd"/>
            <w:r>
              <w:t>) ⇒ E57(y)</w:t>
            </w:r>
          </w:p>
        </w:tc>
      </w:tr>
      <w:tr w:rsidR="00BF18CF" w14:paraId="45BABAE0" w14:textId="77777777" w:rsidTr="00BF18CF">
        <w:tc>
          <w:tcPr>
            <w:tcW w:w="1938" w:type="dxa"/>
          </w:tcPr>
          <w:p w14:paraId="767AC9E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52" w:type="dxa"/>
          </w:tcPr>
          <w:p w14:paraId="5FA12FFC" w14:textId="77777777" w:rsidR="00BF18CF" w:rsidRDefault="00BF18CF">
            <w:pPr>
              <w:pBdr>
                <w:top w:val="nil"/>
                <w:left w:val="nil"/>
                <w:bottom w:val="nil"/>
                <w:right w:val="nil"/>
                <w:between w:val="nil"/>
              </w:pBdr>
              <w:spacing w:before="36" w:after="36"/>
              <w:rPr>
                <w:color w:val="000000"/>
              </w:rPr>
            </w:pPr>
          </w:p>
        </w:tc>
      </w:tr>
      <w:tr w:rsidR="00BF18CF" w14:paraId="5FF4E1EB" w14:textId="77777777" w:rsidTr="00BF18CF">
        <w:tc>
          <w:tcPr>
            <w:tcW w:w="1938" w:type="dxa"/>
          </w:tcPr>
          <w:p w14:paraId="27A00588" w14:textId="058683D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52" w:type="dxa"/>
          </w:tcPr>
          <w:p w14:paraId="41010A4C" w14:textId="77777777" w:rsidR="00BF18CF" w:rsidRDefault="00BF18CF">
            <w:pPr>
              <w:pBdr>
                <w:top w:val="nil"/>
                <w:left w:val="nil"/>
                <w:bottom w:val="nil"/>
                <w:right w:val="nil"/>
                <w:between w:val="nil"/>
              </w:pBdr>
              <w:spacing w:before="36" w:after="36"/>
              <w:rPr>
                <w:color w:val="000000"/>
              </w:rPr>
            </w:pPr>
          </w:p>
        </w:tc>
      </w:tr>
      <w:tr w:rsidR="00BF18CF" w14:paraId="0126C78B" w14:textId="77777777" w:rsidTr="00BF18CF">
        <w:tc>
          <w:tcPr>
            <w:tcW w:w="1938" w:type="dxa"/>
          </w:tcPr>
          <w:p w14:paraId="508BEC2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52" w:type="dxa"/>
          </w:tcPr>
          <w:p w14:paraId="22F08B90" w14:textId="77777777" w:rsidR="00BF18CF" w:rsidRDefault="00BF18CF">
            <w:pPr>
              <w:pBdr>
                <w:top w:val="nil"/>
                <w:left w:val="nil"/>
                <w:bottom w:val="nil"/>
                <w:right w:val="nil"/>
                <w:between w:val="nil"/>
              </w:pBdr>
              <w:spacing w:before="36" w:after="36"/>
              <w:rPr>
                <w:color w:val="000000"/>
              </w:rPr>
            </w:pPr>
          </w:p>
        </w:tc>
      </w:tr>
    </w:tbl>
    <w:p w14:paraId="47C1C3C3" w14:textId="77777777" w:rsidR="00BF18CF" w:rsidRDefault="00E51347">
      <w:pPr>
        <w:pStyle w:val="Heading3"/>
      </w:pPr>
      <w:bookmarkStart w:id="349" w:name="bookmark=id.280hiku" w:colFirst="0" w:colLast="0"/>
      <w:bookmarkStart w:id="350" w:name="_Toc144360918"/>
      <w:bookmarkEnd w:id="349"/>
      <w:r>
        <w:t>P46 est composé de (fait partie de)</w:t>
      </w:r>
      <w:bookmarkEnd w:id="350"/>
    </w:p>
    <w:tbl>
      <w:tblPr>
        <w:tblStyle w:val="afff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8"/>
        <w:gridCol w:w="8832"/>
      </w:tblGrid>
      <w:tr w:rsidR="00BF18CF" w14:paraId="1D381598" w14:textId="77777777" w:rsidTr="00BF18CF">
        <w:tc>
          <w:tcPr>
            <w:tcW w:w="1858" w:type="dxa"/>
          </w:tcPr>
          <w:p w14:paraId="6F7FE66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2" w:type="dxa"/>
          </w:tcPr>
          <w:p w14:paraId="18B61B0A" w14:textId="77777777" w:rsidR="00BF18CF" w:rsidRDefault="00E51347">
            <w:r>
              <w:rPr>
                <w:rFonts w:ascii="Consolas" w:eastAsia="Consolas" w:hAnsi="Consolas" w:cs="Consolas"/>
                <w:sz w:val="22"/>
                <w:szCs w:val="22"/>
                <w:shd w:val="clear" w:color="auto" w:fill="EAEEF3"/>
              </w:rPr>
              <w:t>E18_Chose_matérielle</w:t>
            </w:r>
          </w:p>
        </w:tc>
      </w:tr>
      <w:tr w:rsidR="00BF18CF" w14:paraId="10809ADF" w14:textId="77777777" w:rsidTr="00BF18CF">
        <w:tc>
          <w:tcPr>
            <w:tcW w:w="1858" w:type="dxa"/>
          </w:tcPr>
          <w:p w14:paraId="0BA11C3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2" w:type="dxa"/>
          </w:tcPr>
          <w:p w14:paraId="3EC46C6E" w14:textId="77777777" w:rsidR="00BF18CF" w:rsidRDefault="00E51347">
            <w:r>
              <w:rPr>
                <w:rFonts w:ascii="Consolas" w:eastAsia="Consolas" w:hAnsi="Consolas" w:cs="Consolas"/>
                <w:sz w:val="22"/>
                <w:szCs w:val="22"/>
                <w:shd w:val="clear" w:color="auto" w:fill="EAEEF3"/>
              </w:rPr>
              <w:t>E18_Chose_matérielle</w:t>
            </w:r>
          </w:p>
        </w:tc>
      </w:tr>
      <w:tr w:rsidR="00BF18CF" w14:paraId="71A12523" w14:textId="77777777" w:rsidTr="00BF18CF">
        <w:tc>
          <w:tcPr>
            <w:tcW w:w="1858" w:type="dxa"/>
          </w:tcPr>
          <w:p w14:paraId="30C2077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2" w:type="dxa"/>
          </w:tcPr>
          <w:p w14:paraId="1EA66C9A" w14:textId="77777777" w:rsidR="00BF18CF" w:rsidRDefault="00BF18CF">
            <w:pPr>
              <w:pBdr>
                <w:top w:val="nil"/>
                <w:left w:val="nil"/>
                <w:bottom w:val="nil"/>
                <w:right w:val="nil"/>
                <w:between w:val="nil"/>
              </w:pBdr>
              <w:spacing w:before="36" w:after="36"/>
              <w:rPr>
                <w:color w:val="000000"/>
              </w:rPr>
            </w:pPr>
          </w:p>
        </w:tc>
      </w:tr>
      <w:tr w:rsidR="00BF18CF" w14:paraId="0727A7F5" w14:textId="77777777" w:rsidTr="00BF18CF">
        <w:tc>
          <w:tcPr>
            <w:tcW w:w="1858" w:type="dxa"/>
          </w:tcPr>
          <w:p w14:paraId="4E1A9DB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2" w:type="dxa"/>
          </w:tcPr>
          <w:p w14:paraId="6E211B77" w14:textId="77777777" w:rsidR="00BF18CF" w:rsidRDefault="00E51347">
            <w:r>
              <w:rPr>
                <w:rFonts w:ascii="Consolas" w:eastAsia="Consolas" w:hAnsi="Consolas" w:cs="Consolas"/>
                <w:sz w:val="22"/>
                <w:szCs w:val="22"/>
                <w:shd w:val="clear" w:color="auto" w:fill="EAEEF3"/>
              </w:rPr>
              <w:t>E19_Objet_matériel</w:t>
            </w:r>
            <w:r>
              <w:t xml:space="preserve">. </w:t>
            </w:r>
            <w:r>
              <w:rPr>
                <w:rFonts w:ascii="Consolas" w:eastAsia="Consolas" w:hAnsi="Consolas" w:cs="Consolas"/>
                <w:sz w:val="22"/>
                <w:szCs w:val="22"/>
                <w:shd w:val="clear" w:color="auto" w:fill="EAEEF3"/>
              </w:rPr>
              <w:t>P56_a_pour_caractéristique (se_trouve_sur)</w:t>
            </w:r>
            <w:r>
              <w:t xml:space="preserve">: </w:t>
            </w:r>
            <w:r>
              <w:rPr>
                <w:rFonts w:ascii="Consolas" w:eastAsia="Consolas" w:hAnsi="Consolas" w:cs="Consolas"/>
                <w:sz w:val="22"/>
                <w:szCs w:val="22"/>
                <w:shd w:val="clear" w:color="auto" w:fill="EAEEF3"/>
              </w:rPr>
              <w:t>E26_Caractéristique_physique</w:t>
            </w:r>
          </w:p>
        </w:tc>
      </w:tr>
      <w:tr w:rsidR="00BF18CF" w14:paraId="2576B715" w14:textId="77777777" w:rsidTr="00BF18CF">
        <w:tc>
          <w:tcPr>
            <w:tcW w:w="1858" w:type="dxa"/>
          </w:tcPr>
          <w:p w14:paraId="1763221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2" w:type="dxa"/>
          </w:tcPr>
          <w:p w14:paraId="511ECBA1" w14:textId="77777777" w:rsidR="00BF18CF" w:rsidRDefault="00E51347">
            <w:proofErr w:type="gramStart"/>
            <w:r>
              <w:t>plusieurs</w:t>
            </w:r>
            <w:proofErr w:type="gramEnd"/>
            <w:r>
              <w:t xml:space="preserve"> à plusieurs (0,n:0,n)</w:t>
            </w:r>
          </w:p>
        </w:tc>
      </w:tr>
      <w:tr w:rsidR="00BF18CF" w14:paraId="6208099A" w14:textId="77777777" w:rsidTr="00BF18CF">
        <w:tc>
          <w:tcPr>
            <w:tcW w:w="1858" w:type="dxa"/>
          </w:tcPr>
          <w:p w14:paraId="565A611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2" w:type="dxa"/>
          </w:tcPr>
          <w:p w14:paraId="644AAB1B" w14:textId="77777777" w:rsidR="00BF18CF" w:rsidRDefault="00E51347">
            <w:r>
              <w:t xml:space="preserve">Cette propriété associe une instance de </w:t>
            </w:r>
            <w:r>
              <w:rPr>
                <w:rFonts w:ascii="Consolas" w:eastAsia="Consolas" w:hAnsi="Consolas" w:cs="Consolas"/>
                <w:sz w:val="22"/>
                <w:szCs w:val="22"/>
                <w:shd w:val="clear" w:color="auto" w:fill="EAEEF3"/>
              </w:rPr>
              <w:t>E18_Chose_matérielle</w:t>
            </w:r>
            <w:r>
              <w:t xml:space="preserve"> à une autre instance de </w:t>
            </w:r>
            <w:r>
              <w:rPr>
                <w:rFonts w:ascii="Consolas" w:eastAsia="Consolas" w:hAnsi="Consolas" w:cs="Consolas"/>
                <w:sz w:val="22"/>
                <w:szCs w:val="22"/>
                <w:shd w:val="clear" w:color="auto" w:fill="EAEEF3"/>
              </w:rPr>
              <w:t>E18_Chose_matérielle</w:t>
            </w:r>
            <w:r>
              <w:t xml:space="preserve"> dont elle fait partie. La portée spatiale de la partie composante est </w:t>
            </w:r>
            <w:proofErr w:type="gramStart"/>
            <w:r>
              <w:t>inclue</w:t>
            </w:r>
            <w:proofErr w:type="gramEnd"/>
            <w:r>
              <w:t xml:space="preserve"> dans la portée spatiale du tout.</w:t>
            </w:r>
          </w:p>
          <w:p w14:paraId="1F931429" w14:textId="77777777" w:rsidR="00BF18CF" w:rsidRDefault="00E51347">
            <w:r>
              <w:t xml:space="preserve">Les éléments composants, puisqu’ils sont eux-mêmes des instances de </w:t>
            </w:r>
            <w:r>
              <w:rPr>
                <w:rFonts w:ascii="Consolas" w:eastAsia="Consolas" w:hAnsi="Consolas" w:cs="Consolas"/>
                <w:sz w:val="22"/>
                <w:szCs w:val="22"/>
                <w:shd w:val="clear" w:color="auto" w:fill="EAEEF3"/>
              </w:rPr>
              <w:t>E18_Chose_matérielle</w:t>
            </w:r>
            <w:r>
              <w:t xml:space="preserve">, peuvent être à leur tour analysés comme contenant des </w:t>
            </w:r>
            <w:r>
              <w:lastRenderedPageBreak/>
              <w:t xml:space="preserve">sous-composants, ce qui crée donc une hiérarchie de subdivision en parties. Une instance de </w:t>
            </w:r>
            <w:r>
              <w:rPr>
                <w:rFonts w:ascii="Consolas" w:eastAsia="Consolas" w:hAnsi="Consolas" w:cs="Consolas"/>
                <w:sz w:val="22"/>
                <w:szCs w:val="22"/>
                <w:shd w:val="clear" w:color="auto" w:fill="EAEEF3"/>
              </w:rPr>
              <w:t>E18_Chose_matérielle</w:t>
            </w:r>
            <w:r>
              <w:t xml:space="preserve"> peut être partagée entre plusieurs ensembles, par exemple dans le cas de deux bâtiments qui partagent un mur mitoyen. Cette propriété ne spécifie pas quand et pour combien de temps un élément composant fait partie d’un ensemble. Si un composant ne fait pas partie d’un ensemble du début ou jusqu’à la fin de l’existence de ce dernier, les classes </w:t>
            </w:r>
            <w:r>
              <w:rPr>
                <w:rFonts w:ascii="Consolas" w:eastAsia="Consolas" w:hAnsi="Consolas" w:cs="Consolas"/>
                <w:sz w:val="22"/>
                <w:szCs w:val="22"/>
                <w:shd w:val="clear" w:color="auto" w:fill="EAEEF3"/>
              </w:rPr>
              <w:t>E79_Ajout_d’élément</w:t>
            </w:r>
            <w:r>
              <w:t xml:space="preserve"> et </w:t>
            </w:r>
            <w:r>
              <w:rPr>
                <w:rFonts w:ascii="Consolas" w:eastAsia="Consolas" w:hAnsi="Consolas" w:cs="Consolas"/>
                <w:sz w:val="22"/>
                <w:szCs w:val="22"/>
                <w:shd w:val="clear" w:color="auto" w:fill="EAEEF3"/>
              </w:rPr>
              <w:t>E80_Retrait_d’élément</w:t>
            </w:r>
            <w:r>
              <w:t xml:space="preserve"> peuvent être utilisées pour documenter le moment où le composant devient une partie de cet ensemble spécifique et/ou quand il cesse de l’être. Durant l’intervalle temporel où le composant fait partie de cet ensemble, il est complètement contenu dans le lieu occupé par l’ensemble.</w:t>
            </w:r>
          </w:p>
          <w:p w14:paraId="68792B34" w14:textId="77777777" w:rsidR="00BF18CF" w:rsidRDefault="00E51347">
            <w:r>
              <w:t xml:space="preserve">Cette propriété vise à décrire des composants spécifiques qui sont individuellement documentés, plutôt que des aspects généraux. Des descriptions générales de la structure d’une instance de </w:t>
            </w:r>
            <w:r>
              <w:rPr>
                <w:rFonts w:ascii="Consolas" w:eastAsia="Consolas" w:hAnsi="Consolas" w:cs="Consolas"/>
                <w:sz w:val="22"/>
                <w:szCs w:val="22"/>
                <w:shd w:val="clear" w:color="auto" w:fill="EAEEF3"/>
              </w:rPr>
              <w:t>E18_Chose_matérielle</w:t>
            </w:r>
            <w:r>
              <w:t xml:space="preserve"> sont documentées par la propriété </w:t>
            </w:r>
            <w:r>
              <w:rPr>
                <w:rFonts w:ascii="Consolas" w:eastAsia="Consolas" w:hAnsi="Consolas" w:cs="Consolas"/>
                <w:sz w:val="22"/>
                <w:szCs w:val="22"/>
                <w:shd w:val="clear" w:color="auto" w:fill="EAEEF3"/>
              </w:rPr>
              <w:t>P3_a_pour_note</w:t>
            </w:r>
            <w:r>
              <w:t>.</w:t>
            </w:r>
          </w:p>
          <w:p w14:paraId="0B7B6095" w14:textId="77777777" w:rsidR="00BF18CF" w:rsidRDefault="00E51347">
            <w:r>
              <w:t xml:space="preserve">Les instances de </w:t>
            </w:r>
            <w:r>
              <w:rPr>
                <w:rFonts w:ascii="Consolas" w:eastAsia="Consolas" w:hAnsi="Consolas" w:cs="Consolas"/>
                <w:sz w:val="22"/>
                <w:szCs w:val="22"/>
                <w:shd w:val="clear" w:color="auto" w:fill="EAEEF3"/>
              </w:rPr>
              <w:t>E57_Matériau</w:t>
            </w:r>
            <w:r>
              <w:t xml:space="preserve"> dont une instance de </w:t>
            </w:r>
            <w:r>
              <w:rPr>
                <w:rFonts w:ascii="Consolas" w:eastAsia="Consolas" w:hAnsi="Consolas" w:cs="Consolas"/>
                <w:sz w:val="22"/>
                <w:szCs w:val="22"/>
                <w:shd w:val="clear" w:color="auto" w:fill="EAEEF3"/>
              </w:rPr>
              <w:t>E18_Chose_matérielle</w:t>
            </w:r>
            <w:r>
              <w:t xml:space="preserve"> est composée doivent être documentées en utilisant la propriété </w:t>
            </w:r>
            <w:r>
              <w:rPr>
                <w:rFonts w:ascii="Consolas" w:eastAsia="Consolas" w:hAnsi="Consolas" w:cs="Consolas"/>
                <w:sz w:val="22"/>
                <w:szCs w:val="22"/>
                <w:shd w:val="clear" w:color="auto" w:fill="EAEEF3"/>
              </w:rPr>
              <w:t>P45_comprend (est_inclus_dans)</w:t>
            </w:r>
            <w:r>
              <w:t>.</w:t>
            </w:r>
          </w:p>
          <w:p w14:paraId="1734DCD1" w14:textId="77777777" w:rsidR="00BF18CF" w:rsidRDefault="00E51347">
            <w:r>
              <w:t>Cette propriété est transitive et non réflexive.</w:t>
            </w:r>
          </w:p>
        </w:tc>
      </w:tr>
      <w:tr w:rsidR="00BF18CF" w14:paraId="4040910C" w14:textId="77777777" w:rsidTr="00BF18CF">
        <w:tc>
          <w:tcPr>
            <w:tcW w:w="1858" w:type="dxa"/>
          </w:tcPr>
          <w:p w14:paraId="69654451"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32" w:type="dxa"/>
          </w:tcPr>
          <w:p w14:paraId="6CFABC6D" w14:textId="77777777" w:rsidR="00BF18CF" w:rsidRDefault="00E51347">
            <w:pPr>
              <w:numPr>
                <w:ilvl w:val="0"/>
                <w:numId w:val="19"/>
              </w:numPr>
            </w:pPr>
            <w:r>
              <w:t>Le carrosse royal (</w:t>
            </w:r>
            <w:r>
              <w:rPr>
                <w:rFonts w:ascii="Consolas" w:eastAsia="Consolas" w:hAnsi="Consolas" w:cs="Consolas"/>
                <w:sz w:val="22"/>
                <w:szCs w:val="22"/>
                <w:shd w:val="clear" w:color="auto" w:fill="EAEEF3"/>
              </w:rPr>
              <w:t>E22_Objet_élaboré_par_l’humain</w:t>
            </w:r>
            <w:r>
              <w:t>) fait partie du (</w:t>
            </w:r>
            <w:r>
              <w:rPr>
                <w:rFonts w:ascii="Consolas" w:eastAsia="Consolas" w:hAnsi="Consolas" w:cs="Consolas"/>
                <w:sz w:val="22"/>
                <w:szCs w:val="22"/>
                <w:shd w:val="clear" w:color="auto" w:fill="EAEEF3"/>
              </w:rPr>
              <w:t>P46i_fait_partie_de</w:t>
            </w:r>
            <w:r>
              <w:t>) cortège royal (</w:t>
            </w:r>
            <w:r>
              <w:rPr>
                <w:rFonts w:ascii="Consolas" w:eastAsia="Consolas" w:hAnsi="Consolas" w:cs="Consolas"/>
                <w:sz w:val="22"/>
                <w:szCs w:val="22"/>
                <w:shd w:val="clear" w:color="auto" w:fill="EAEEF3"/>
              </w:rPr>
              <w:t>E22_Objet_élaboré_par_l’humain</w:t>
            </w:r>
            <w:r>
              <w:t>)</w:t>
            </w:r>
          </w:p>
          <w:p w14:paraId="6A1B9C1A" w14:textId="77777777" w:rsidR="00BF18CF" w:rsidRDefault="00E51347">
            <w:pPr>
              <w:numPr>
                <w:ilvl w:val="0"/>
                <w:numId w:val="19"/>
              </w:numPr>
            </w:pPr>
            <w:r>
              <w:t>Le « Hog’s back » (</w:t>
            </w:r>
            <w:r>
              <w:rPr>
                <w:rFonts w:ascii="Consolas" w:eastAsia="Consolas" w:hAnsi="Consolas" w:cs="Consolas"/>
                <w:sz w:val="22"/>
                <w:szCs w:val="22"/>
                <w:shd w:val="clear" w:color="auto" w:fill="EAEEF3"/>
              </w:rPr>
              <w:t>E24_Chose_matérielle_élaborée_par_</w:t>
            </w:r>
            <w:proofErr w:type="gramStart"/>
            <w:r>
              <w:rPr>
                <w:rFonts w:ascii="Consolas" w:eastAsia="Consolas" w:hAnsi="Consolas" w:cs="Consolas"/>
                <w:sz w:val="22"/>
                <w:szCs w:val="22"/>
                <w:shd w:val="clear" w:color="auto" w:fill="EAEEF3"/>
              </w:rPr>
              <w:t>l’humain</w:t>
            </w:r>
            <w:r>
              <w:t xml:space="preserve"> )</w:t>
            </w:r>
            <w:proofErr w:type="gramEnd"/>
            <w:r>
              <w:t xml:space="preserve"> fait partie du (</w:t>
            </w:r>
            <w:r>
              <w:rPr>
                <w:rFonts w:ascii="Consolas" w:eastAsia="Consolas" w:hAnsi="Consolas" w:cs="Consolas"/>
                <w:sz w:val="22"/>
                <w:szCs w:val="22"/>
                <w:shd w:val="clear" w:color="auto" w:fill="EAEEF3"/>
              </w:rPr>
              <w:t>P46i_fait_partie_de</w:t>
            </w:r>
            <w:r>
              <w:t>) « Fosseway » (</w:t>
            </w:r>
            <w:r>
              <w:rPr>
                <w:rFonts w:ascii="Consolas" w:eastAsia="Consolas" w:hAnsi="Consolas" w:cs="Consolas"/>
                <w:sz w:val="22"/>
                <w:szCs w:val="22"/>
                <w:shd w:val="clear" w:color="auto" w:fill="EAEEF3"/>
              </w:rPr>
              <w:t>E24_Chose_matérielle_élaborée_par_l’humain</w:t>
            </w:r>
            <w:r>
              <w:t xml:space="preserve"> )</w:t>
            </w:r>
          </w:p>
        </w:tc>
      </w:tr>
      <w:tr w:rsidR="00BF18CF" w14:paraId="407C5656" w14:textId="77777777" w:rsidTr="00BF18CF">
        <w:tc>
          <w:tcPr>
            <w:tcW w:w="1858" w:type="dxa"/>
          </w:tcPr>
          <w:p w14:paraId="0809600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2" w:type="dxa"/>
          </w:tcPr>
          <w:p w14:paraId="6AB52715" w14:textId="77777777" w:rsidR="00BF18CF" w:rsidRDefault="00E51347">
            <w:r>
              <w:t>P46(</w:t>
            </w:r>
            <w:proofErr w:type="gramStart"/>
            <w:r>
              <w:t>x,y</w:t>
            </w:r>
            <w:proofErr w:type="gramEnd"/>
            <w:r>
              <w:t>) ⇒ E18(x)</w:t>
            </w:r>
          </w:p>
          <w:p w14:paraId="42A94238" w14:textId="77777777" w:rsidR="00BF18CF" w:rsidRDefault="00E51347">
            <w:r>
              <w:t>P46(</w:t>
            </w:r>
            <w:proofErr w:type="gramStart"/>
            <w:r>
              <w:t>x,y</w:t>
            </w:r>
            <w:proofErr w:type="gramEnd"/>
            <w:r>
              <w:t>) ⇒ E18(y)</w:t>
            </w:r>
          </w:p>
          <w:p w14:paraId="725E4644" w14:textId="77777777" w:rsidR="00BF18CF" w:rsidRDefault="00E51347">
            <w:r>
              <w:t>P46(</w:t>
            </w:r>
            <w:proofErr w:type="gramStart"/>
            <w:r>
              <w:t>x,y</w:t>
            </w:r>
            <w:proofErr w:type="gramEnd"/>
            <w:r>
              <w:t>) ⇒ P132(x,y)</w:t>
            </w:r>
          </w:p>
          <w:p w14:paraId="25BA9C6F" w14:textId="77777777" w:rsidR="00BF18CF" w:rsidRDefault="00E51347">
            <w:r>
              <w:t>[P46(</w:t>
            </w:r>
            <w:proofErr w:type="gramStart"/>
            <w:r>
              <w:t>x,y</w:t>
            </w:r>
            <w:proofErr w:type="gramEnd"/>
            <w:r>
              <w:t>) ∧ P46(y,z)] ⇒ P46(x,z)</w:t>
            </w:r>
          </w:p>
          <w:p w14:paraId="03102060" w14:textId="77777777" w:rsidR="00BF18CF" w:rsidRDefault="00E51347">
            <w:r>
              <w:t>P46(</w:t>
            </w:r>
            <w:proofErr w:type="gramStart"/>
            <w:r>
              <w:t>x,y</w:t>
            </w:r>
            <w:proofErr w:type="gramEnd"/>
            <w:r>
              <w:t>) ⇒ (∃uzw)[E93(u) ∧ P195i (x,u) ∧ E52(z) ∧ P164(u,z) ∧ E93(w) ∧ P195i (w,y) ∧ P164(w,z)</w:t>
            </w:r>
          </w:p>
          <w:p w14:paraId="1CB6B262" w14:textId="77777777" w:rsidR="00BF18CF" w:rsidRDefault="00E51347">
            <w:r>
              <w:t>∧ P10(</w:t>
            </w:r>
            <w:proofErr w:type="gramStart"/>
            <w:r>
              <w:t>w,u</w:t>
            </w:r>
            <w:proofErr w:type="gramEnd"/>
            <w:r>
              <w:t>)]</w:t>
            </w:r>
          </w:p>
          <w:p w14:paraId="27E6133A" w14:textId="77777777" w:rsidR="00BF18CF" w:rsidRDefault="00E51347">
            <w:r>
              <w:t>¬P46(</w:t>
            </w:r>
            <w:proofErr w:type="gramStart"/>
            <w:r>
              <w:t>x,x</w:t>
            </w:r>
            <w:proofErr w:type="gramEnd"/>
            <w:r>
              <w:t>)</w:t>
            </w:r>
          </w:p>
        </w:tc>
      </w:tr>
      <w:tr w:rsidR="00BF18CF" w14:paraId="62F1329B" w14:textId="77777777" w:rsidTr="00BF18CF">
        <w:tc>
          <w:tcPr>
            <w:tcW w:w="1858" w:type="dxa"/>
          </w:tcPr>
          <w:p w14:paraId="7D08F8E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2" w:type="dxa"/>
          </w:tcPr>
          <w:p w14:paraId="5C41CA0D" w14:textId="77777777" w:rsidR="00BF18CF" w:rsidRDefault="00BF18CF">
            <w:pPr>
              <w:pBdr>
                <w:top w:val="nil"/>
                <w:left w:val="nil"/>
                <w:bottom w:val="nil"/>
                <w:right w:val="nil"/>
                <w:between w:val="nil"/>
              </w:pBdr>
              <w:spacing w:before="36" w:after="36"/>
              <w:rPr>
                <w:color w:val="000000"/>
              </w:rPr>
            </w:pPr>
          </w:p>
        </w:tc>
      </w:tr>
      <w:tr w:rsidR="00BF18CF" w14:paraId="040C8F5E" w14:textId="77777777" w:rsidTr="00BF18CF">
        <w:tc>
          <w:tcPr>
            <w:tcW w:w="1858" w:type="dxa"/>
          </w:tcPr>
          <w:p w14:paraId="5A2F5500" w14:textId="78902DB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2" w:type="dxa"/>
          </w:tcPr>
          <w:p w14:paraId="64DCC208" w14:textId="77777777" w:rsidR="00BF18CF" w:rsidRDefault="00BF18CF">
            <w:pPr>
              <w:pBdr>
                <w:top w:val="nil"/>
                <w:left w:val="nil"/>
                <w:bottom w:val="nil"/>
                <w:right w:val="nil"/>
                <w:between w:val="nil"/>
              </w:pBdr>
              <w:spacing w:before="36" w:after="36"/>
              <w:rPr>
                <w:color w:val="000000"/>
              </w:rPr>
            </w:pPr>
          </w:p>
        </w:tc>
      </w:tr>
      <w:tr w:rsidR="00BF18CF" w14:paraId="32661CA6" w14:textId="77777777" w:rsidTr="00BF18CF">
        <w:tc>
          <w:tcPr>
            <w:tcW w:w="1858" w:type="dxa"/>
          </w:tcPr>
          <w:p w14:paraId="70E4B02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2" w:type="dxa"/>
          </w:tcPr>
          <w:p w14:paraId="1047ED45" w14:textId="77777777" w:rsidR="00BF18CF" w:rsidRDefault="00BF18CF">
            <w:pPr>
              <w:pBdr>
                <w:top w:val="nil"/>
                <w:left w:val="nil"/>
                <w:bottom w:val="nil"/>
                <w:right w:val="nil"/>
                <w:between w:val="nil"/>
              </w:pBdr>
              <w:spacing w:before="36" w:after="36"/>
              <w:rPr>
                <w:color w:val="000000"/>
              </w:rPr>
            </w:pPr>
          </w:p>
        </w:tc>
      </w:tr>
    </w:tbl>
    <w:p w14:paraId="1265E912" w14:textId="77777777" w:rsidR="00BF18CF" w:rsidRDefault="00E51347">
      <w:pPr>
        <w:pStyle w:val="Heading3"/>
      </w:pPr>
      <w:bookmarkStart w:id="351" w:name="bookmark=id.n5rssn" w:colFirst="0" w:colLast="0"/>
      <w:bookmarkStart w:id="352" w:name="_Toc144360919"/>
      <w:bookmarkEnd w:id="351"/>
      <w:r>
        <w:t>P48 a pour identifiant préférentiel (est l’identifiant préférentiel de)</w:t>
      </w:r>
      <w:bookmarkEnd w:id="352"/>
    </w:p>
    <w:tbl>
      <w:tblPr>
        <w:tblStyle w:val="aff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2"/>
        <w:gridCol w:w="8818"/>
      </w:tblGrid>
      <w:tr w:rsidR="00BF18CF" w14:paraId="3B16DA3B" w14:textId="77777777" w:rsidTr="00BF18CF">
        <w:tc>
          <w:tcPr>
            <w:tcW w:w="1872" w:type="dxa"/>
          </w:tcPr>
          <w:p w14:paraId="6AAB061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8" w:type="dxa"/>
          </w:tcPr>
          <w:p w14:paraId="3E14B2A9" w14:textId="77777777" w:rsidR="00BF18CF" w:rsidRDefault="00E51347">
            <w:r>
              <w:rPr>
                <w:rFonts w:ascii="Consolas" w:eastAsia="Consolas" w:hAnsi="Consolas" w:cs="Consolas"/>
                <w:sz w:val="22"/>
                <w:szCs w:val="22"/>
                <w:shd w:val="clear" w:color="auto" w:fill="EAEEF3"/>
              </w:rPr>
              <w:t>E1_Entité_CRM</w:t>
            </w:r>
          </w:p>
        </w:tc>
      </w:tr>
      <w:tr w:rsidR="00BF18CF" w14:paraId="1026D7F6" w14:textId="77777777" w:rsidTr="00BF18CF">
        <w:tc>
          <w:tcPr>
            <w:tcW w:w="1872" w:type="dxa"/>
          </w:tcPr>
          <w:p w14:paraId="76BEE54B" w14:textId="77777777" w:rsidR="00BF18CF" w:rsidRDefault="00E51347">
            <w:pPr>
              <w:pBdr>
                <w:top w:val="nil"/>
                <w:left w:val="nil"/>
                <w:bottom w:val="nil"/>
                <w:right w:val="nil"/>
                <w:between w:val="nil"/>
              </w:pBdr>
              <w:spacing w:before="36" w:after="36"/>
              <w:rPr>
                <w:color w:val="000000"/>
              </w:rPr>
            </w:pPr>
            <w:r>
              <w:rPr>
                <w:b/>
                <w:color w:val="000000"/>
              </w:rPr>
              <w:lastRenderedPageBreak/>
              <w:t>Portée</w:t>
            </w:r>
          </w:p>
        </w:tc>
        <w:tc>
          <w:tcPr>
            <w:tcW w:w="8818" w:type="dxa"/>
          </w:tcPr>
          <w:p w14:paraId="146F629D" w14:textId="77777777" w:rsidR="00BF18CF" w:rsidRDefault="00E51347">
            <w:r>
              <w:rPr>
                <w:rFonts w:ascii="Consolas" w:eastAsia="Consolas" w:hAnsi="Consolas" w:cs="Consolas"/>
                <w:sz w:val="22"/>
                <w:szCs w:val="22"/>
                <w:shd w:val="clear" w:color="auto" w:fill="EAEEF3"/>
              </w:rPr>
              <w:t>E42_Identifiant</w:t>
            </w:r>
          </w:p>
        </w:tc>
      </w:tr>
      <w:tr w:rsidR="00BF18CF" w14:paraId="60A5237C" w14:textId="77777777" w:rsidTr="00BF18CF">
        <w:tc>
          <w:tcPr>
            <w:tcW w:w="1872" w:type="dxa"/>
          </w:tcPr>
          <w:p w14:paraId="3D37B15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8" w:type="dxa"/>
          </w:tcPr>
          <w:p w14:paraId="1C9A25B4"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P1_est_identifié_par (identifie)</w:t>
            </w:r>
            <w:r>
              <w:t xml:space="preserve"> : </w:t>
            </w:r>
            <w:r>
              <w:rPr>
                <w:rFonts w:ascii="Consolas" w:eastAsia="Consolas" w:hAnsi="Consolas" w:cs="Consolas"/>
                <w:sz w:val="22"/>
                <w:szCs w:val="22"/>
                <w:shd w:val="clear" w:color="auto" w:fill="EAEEF3"/>
              </w:rPr>
              <w:t>E41_Appellation</w:t>
            </w:r>
          </w:p>
        </w:tc>
      </w:tr>
      <w:tr w:rsidR="00BF18CF" w14:paraId="3611C025" w14:textId="77777777" w:rsidTr="00BF18CF">
        <w:tc>
          <w:tcPr>
            <w:tcW w:w="1872" w:type="dxa"/>
          </w:tcPr>
          <w:p w14:paraId="3A4F359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8" w:type="dxa"/>
          </w:tcPr>
          <w:p w14:paraId="0BC8EBFB" w14:textId="77777777" w:rsidR="00BF18CF" w:rsidRDefault="00BF18CF">
            <w:pPr>
              <w:pBdr>
                <w:top w:val="nil"/>
                <w:left w:val="nil"/>
                <w:bottom w:val="nil"/>
                <w:right w:val="nil"/>
                <w:between w:val="nil"/>
              </w:pBdr>
              <w:spacing w:before="36" w:after="36"/>
              <w:rPr>
                <w:color w:val="000000"/>
              </w:rPr>
            </w:pPr>
          </w:p>
        </w:tc>
      </w:tr>
      <w:tr w:rsidR="00BF18CF" w14:paraId="3FA19E83" w14:textId="77777777" w:rsidTr="00BF18CF">
        <w:tc>
          <w:tcPr>
            <w:tcW w:w="1872" w:type="dxa"/>
          </w:tcPr>
          <w:p w14:paraId="62051B9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8" w:type="dxa"/>
          </w:tcPr>
          <w:p w14:paraId="79013D82" w14:textId="77777777" w:rsidR="00BF18CF" w:rsidRDefault="00E51347">
            <w:proofErr w:type="gramStart"/>
            <w:r>
              <w:t>plusieurs</w:t>
            </w:r>
            <w:proofErr w:type="gramEnd"/>
            <w:r>
              <w:t xml:space="preserve"> à un (0,1:0,n)</w:t>
            </w:r>
          </w:p>
        </w:tc>
      </w:tr>
      <w:tr w:rsidR="00BF18CF" w14:paraId="403A94AD" w14:textId="77777777" w:rsidTr="00BF18CF">
        <w:tc>
          <w:tcPr>
            <w:tcW w:w="1872" w:type="dxa"/>
          </w:tcPr>
          <w:p w14:paraId="364ACBD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8" w:type="dxa"/>
          </w:tcPr>
          <w:p w14:paraId="6E7B2FE0" w14:textId="77777777" w:rsidR="00BF18CF" w:rsidRDefault="00E51347">
            <w:r>
              <w:t xml:space="preserve">Cette propriété enregistre l’instance préférentielle de </w:t>
            </w:r>
            <w:r>
              <w:rPr>
                <w:rFonts w:ascii="Consolas" w:eastAsia="Consolas" w:hAnsi="Consolas" w:cs="Consolas"/>
                <w:sz w:val="22"/>
                <w:szCs w:val="22"/>
                <w:shd w:val="clear" w:color="auto" w:fill="EAEEF3"/>
              </w:rPr>
              <w:t>E42_Identifiant</w:t>
            </w:r>
            <w:r>
              <w:t xml:space="preserve"> qui a été utilisée pour identifier une instance de </w:t>
            </w:r>
            <w:r>
              <w:rPr>
                <w:rFonts w:ascii="Consolas" w:eastAsia="Consolas" w:hAnsi="Consolas" w:cs="Consolas"/>
                <w:sz w:val="22"/>
                <w:szCs w:val="22"/>
                <w:shd w:val="clear" w:color="auto" w:fill="EAEEF3"/>
              </w:rPr>
              <w:t>E1_Entité_CRM</w:t>
            </w:r>
            <w:r>
              <w:t xml:space="preserve"> au moment où cette propriété a été documentée.</w:t>
            </w:r>
          </w:p>
          <w:p w14:paraId="06E8A1BC" w14:textId="77777777" w:rsidR="00BF18CF" w:rsidRDefault="00E51347">
            <w:r>
              <w:t>Plus d’un identifiant préférentiel peut avoir été assigné à une entité au cours du temps.</w:t>
            </w:r>
          </w:p>
          <w:p w14:paraId="2591586E" w14:textId="77777777" w:rsidR="00BF18CF" w:rsidRDefault="00E51347">
            <w:r>
              <w:t>L’usage de cette propriété requiert un mécanisme externe pour assigner la validité temporelle à l’instance du CIDOC CRM qui assigne l’identifiant.</w:t>
            </w:r>
          </w:p>
          <w:p w14:paraId="53FA311A" w14:textId="77777777" w:rsidR="00BF18CF" w:rsidRDefault="00E51347">
            <w:r>
              <w:t xml:space="preserve">Le fait qu’un identifiant soit privilégié par une organisation peut être exprimé dans un format indépendant du contexte en documentant cette préférence sous la forme d’une instance de </w:t>
            </w:r>
            <w:r>
              <w:rPr>
                <w:rFonts w:ascii="Consolas" w:eastAsia="Consolas" w:hAnsi="Consolas" w:cs="Consolas"/>
                <w:sz w:val="22"/>
                <w:szCs w:val="22"/>
                <w:shd w:val="clear" w:color="auto" w:fill="EAEEF3"/>
              </w:rPr>
              <w:t>E55_Type</w:t>
            </w:r>
            <w:r>
              <w:t xml:space="preserve"> relié à une instance de </w:t>
            </w:r>
            <w:r>
              <w:rPr>
                <w:rFonts w:ascii="Consolas" w:eastAsia="Consolas" w:hAnsi="Consolas" w:cs="Consolas"/>
                <w:sz w:val="22"/>
                <w:szCs w:val="22"/>
                <w:shd w:val="clear" w:color="auto" w:fill="EAEEF3"/>
              </w:rPr>
              <w:t>E15_Assignation_d'identifiant</w:t>
            </w:r>
            <w:r>
              <w:t xml:space="preserve"> par le biais de la propriété </w:t>
            </w:r>
            <w:r>
              <w:rPr>
                <w:rFonts w:ascii="Consolas" w:eastAsia="Consolas" w:hAnsi="Consolas" w:cs="Consolas"/>
                <w:sz w:val="22"/>
                <w:szCs w:val="22"/>
                <w:shd w:val="clear" w:color="auto" w:fill="EAEEF3"/>
              </w:rPr>
              <w:t>P2_a_pour_type (est_le_type_de)</w:t>
            </w:r>
            <w:r>
              <w:t>.</w:t>
            </w:r>
          </w:p>
        </w:tc>
      </w:tr>
      <w:tr w:rsidR="00BF18CF" w14:paraId="527917BC" w14:textId="77777777" w:rsidTr="00BF18CF">
        <w:tc>
          <w:tcPr>
            <w:tcW w:w="1872" w:type="dxa"/>
          </w:tcPr>
          <w:p w14:paraId="22668FB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8" w:type="dxa"/>
          </w:tcPr>
          <w:p w14:paraId="53A3EAF2" w14:textId="77777777" w:rsidR="00BF18CF" w:rsidRDefault="00E51347">
            <w:pPr>
              <w:numPr>
                <w:ilvl w:val="0"/>
                <w:numId w:val="19"/>
              </w:numPr>
            </w:pPr>
            <w:r>
              <w:t>La paire de Lederhosen (culotte bavaroise) donnée par Martin Doerr (</w:t>
            </w:r>
            <w:r>
              <w:rPr>
                <w:rFonts w:ascii="Consolas" w:eastAsia="Consolas" w:hAnsi="Consolas" w:cs="Consolas"/>
                <w:sz w:val="22"/>
                <w:szCs w:val="22"/>
                <w:shd w:val="clear" w:color="auto" w:fill="EAEEF3"/>
              </w:rPr>
              <w:t>E22_Objet_élaboré_par_l’humain</w:t>
            </w:r>
            <w:r>
              <w:t>) a pour identifiant préférentiel (</w:t>
            </w:r>
            <w:r>
              <w:rPr>
                <w:rFonts w:ascii="Consolas" w:eastAsia="Consolas" w:hAnsi="Consolas" w:cs="Consolas"/>
                <w:sz w:val="22"/>
                <w:szCs w:val="22"/>
                <w:shd w:val="clear" w:color="auto" w:fill="EAEEF3"/>
              </w:rPr>
              <w:t>P48_a_pour_identifiant_préférentiel</w:t>
            </w:r>
            <w:r>
              <w:t>) « OXCMS:2001.1.32 » (</w:t>
            </w:r>
            <w:r>
              <w:rPr>
                <w:rFonts w:ascii="Consolas" w:eastAsia="Consolas" w:hAnsi="Consolas" w:cs="Consolas"/>
                <w:sz w:val="22"/>
                <w:szCs w:val="22"/>
                <w:shd w:val="clear" w:color="auto" w:fill="EAEEF3"/>
              </w:rPr>
              <w:t>E42_Identifiant</w:t>
            </w:r>
            <w:r>
              <w:t>) (fictif)</w:t>
            </w:r>
          </w:p>
        </w:tc>
      </w:tr>
      <w:tr w:rsidR="00BF18CF" w14:paraId="7E401FB0" w14:textId="77777777" w:rsidTr="00BF18CF">
        <w:tc>
          <w:tcPr>
            <w:tcW w:w="1872" w:type="dxa"/>
          </w:tcPr>
          <w:p w14:paraId="0A906EA0"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8" w:type="dxa"/>
          </w:tcPr>
          <w:p w14:paraId="61F0B61B" w14:textId="77777777" w:rsidR="00BF18CF" w:rsidRDefault="00E51347">
            <w:r>
              <w:t>P48(</w:t>
            </w:r>
            <w:proofErr w:type="gramStart"/>
            <w:r>
              <w:t>x,y</w:t>
            </w:r>
            <w:proofErr w:type="gramEnd"/>
            <w:r>
              <w:t>) ⇒ E1(x)</w:t>
            </w:r>
          </w:p>
          <w:p w14:paraId="6A871CAC" w14:textId="77777777" w:rsidR="00BF18CF" w:rsidRDefault="00E51347">
            <w:r>
              <w:t>P48(</w:t>
            </w:r>
            <w:proofErr w:type="gramStart"/>
            <w:r>
              <w:t>x,y</w:t>
            </w:r>
            <w:proofErr w:type="gramEnd"/>
            <w:r>
              <w:t>) ⇒ E42(y)</w:t>
            </w:r>
          </w:p>
          <w:p w14:paraId="5C63DDC8" w14:textId="77777777" w:rsidR="00BF18CF" w:rsidRDefault="00E51347">
            <w:r>
              <w:t>P48(</w:t>
            </w:r>
            <w:proofErr w:type="gramStart"/>
            <w:r>
              <w:t>x,y</w:t>
            </w:r>
            <w:proofErr w:type="gramEnd"/>
            <w:r>
              <w:t>) ⇒ P1(x,y)</w:t>
            </w:r>
          </w:p>
        </w:tc>
      </w:tr>
      <w:tr w:rsidR="00BF18CF" w14:paraId="394D4841" w14:textId="77777777" w:rsidTr="00BF18CF">
        <w:tc>
          <w:tcPr>
            <w:tcW w:w="1872" w:type="dxa"/>
          </w:tcPr>
          <w:p w14:paraId="7D0CA19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8" w:type="dxa"/>
          </w:tcPr>
          <w:p w14:paraId="689F109D" w14:textId="77777777" w:rsidR="00BF18CF" w:rsidRDefault="00BF18CF">
            <w:pPr>
              <w:pBdr>
                <w:top w:val="nil"/>
                <w:left w:val="nil"/>
                <w:bottom w:val="nil"/>
                <w:right w:val="nil"/>
                <w:between w:val="nil"/>
              </w:pBdr>
              <w:spacing w:before="36" w:after="36"/>
              <w:rPr>
                <w:color w:val="000000"/>
              </w:rPr>
            </w:pPr>
          </w:p>
        </w:tc>
      </w:tr>
      <w:tr w:rsidR="00BF18CF" w14:paraId="107FEF3E" w14:textId="77777777" w:rsidTr="00BF18CF">
        <w:tc>
          <w:tcPr>
            <w:tcW w:w="1872" w:type="dxa"/>
          </w:tcPr>
          <w:p w14:paraId="64D9AAB2" w14:textId="4B7DCFC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8" w:type="dxa"/>
          </w:tcPr>
          <w:p w14:paraId="0D765AA4" w14:textId="77777777" w:rsidR="00BF18CF" w:rsidRDefault="00BF18CF">
            <w:pPr>
              <w:pBdr>
                <w:top w:val="nil"/>
                <w:left w:val="nil"/>
                <w:bottom w:val="nil"/>
                <w:right w:val="nil"/>
                <w:between w:val="nil"/>
              </w:pBdr>
              <w:spacing w:before="36" w:after="36"/>
              <w:rPr>
                <w:color w:val="000000"/>
              </w:rPr>
            </w:pPr>
          </w:p>
        </w:tc>
      </w:tr>
      <w:tr w:rsidR="00BF18CF" w14:paraId="61BCFE4F" w14:textId="77777777" w:rsidTr="00BF18CF">
        <w:tc>
          <w:tcPr>
            <w:tcW w:w="1872" w:type="dxa"/>
          </w:tcPr>
          <w:p w14:paraId="1709D0B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8" w:type="dxa"/>
          </w:tcPr>
          <w:p w14:paraId="6E983F30" w14:textId="77777777" w:rsidR="00BF18CF" w:rsidRDefault="00BF18CF">
            <w:pPr>
              <w:pBdr>
                <w:top w:val="nil"/>
                <w:left w:val="nil"/>
                <w:bottom w:val="nil"/>
                <w:right w:val="nil"/>
                <w:between w:val="nil"/>
              </w:pBdr>
              <w:spacing w:before="36" w:after="36"/>
              <w:rPr>
                <w:color w:val="000000"/>
              </w:rPr>
            </w:pPr>
          </w:p>
        </w:tc>
      </w:tr>
    </w:tbl>
    <w:p w14:paraId="2A750FDE" w14:textId="77777777" w:rsidR="00BF18CF" w:rsidRDefault="00E51347">
      <w:pPr>
        <w:pStyle w:val="Heading3"/>
      </w:pPr>
      <w:bookmarkStart w:id="353" w:name="bookmark=id.375fbgg" w:colFirst="0" w:colLast="0"/>
      <w:bookmarkStart w:id="354" w:name="_Toc144360920"/>
      <w:bookmarkEnd w:id="353"/>
      <w:r>
        <w:t>P49 a pour actant détenteur actuel ou antérieur (est l’actant détenteur actuel ou antérieur de)</w:t>
      </w:r>
      <w:bookmarkEnd w:id="354"/>
    </w:p>
    <w:tbl>
      <w:tblPr>
        <w:tblStyle w:val="aff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32"/>
        <w:gridCol w:w="8858"/>
      </w:tblGrid>
      <w:tr w:rsidR="00BF18CF" w14:paraId="1191C0D5" w14:textId="77777777" w:rsidTr="00BF18CF">
        <w:tc>
          <w:tcPr>
            <w:tcW w:w="1832" w:type="dxa"/>
          </w:tcPr>
          <w:p w14:paraId="67EE7217"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58" w:type="dxa"/>
          </w:tcPr>
          <w:p w14:paraId="419BD045" w14:textId="77777777" w:rsidR="00BF18CF" w:rsidRDefault="00E51347">
            <w:r>
              <w:rPr>
                <w:rFonts w:ascii="Consolas" w:eastAsia="Consolas" w:hAnsi="Consolas" w:cs="Consolas"/>
                <w:sz w:val="22"/>
                <w:szCs w:val="22"/>
                <w:shd w:val="clear" w:color="auto" w:fill="EAEEF3"/>
              </w:rPr>
              <w:t>E18_Chose_matérielle</w:t>
            </w:r>
          </w:p>
        </w:tc>
      </w:tr>
      <w:tr w:rsidR="00BF18CF" w14:paraId="68A6EFED" w14:textId="77777777" w:rsidTr="00BF18CF">
        <w:tc>
          <w:tcPr>
            <w:tcW w:w="1832" w:type="dxa"/>
          </w:tcPr>
          <w:p w14:paraId="1F9F761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58" w:type="dxa"/>
          </w:tcPr>
          <w:p w14:paraId="4381E124" w14:textId="77777777" w:rsidR="00BF18CF" w:rsidRDefault="00E51347">
            <w:r>
              <w:rPr>
                <w:rFonts w:ascii="Consolas" w:eastAsia="Consolas" w:hAnsi="Consolas" w:cs="Consolas"/>
                <w:sz w:val="22"/>
                <w:szCs w:val="22"/>
                <w:shd w:val="clear" w:color="auto" w:fill="EAEEF3"/>
              </w:rPr>
              <w:t>E39_Actant</w:t>
            </w:r>
          </w:p>
        </w:tc>
      </w:tr>
      <w:tr w:rsidR="00BF18CF" w14:paraId="6D3E9EBF" w14:textId="77777777" w:rsidTr="00BF18CF">
        <w:tc>
          <w:tcPr>
            <w:tcW w:w="1832" w:type="dxa"/>
          </w:tcPr>
          <w:p w14:paraId="674F4CBC"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58" w:type="dxa"/>
          </w:tcPr>
          <w:p w14:paraId="683FA8E1" w14:textId="77777777" w:rsidR="00BF18CF" w:rsidRDefault="00BF18CF">
            <w:pPr>
              <w:pBdr>
                <w:top w:val="nil"/>
                <w:left w:val="nil"/>
                <w:bottom w:val="nil"/>
                <w:right w:val="nil"/>
                <w:between w:val="nil"/>
              </w:pBdr>
              <w:spacing w:before="36" w:after="36"/>
              <w:rPr>
                <w:color w:val="000000"/>
              </w:rPr>
            </w:pPr>
          </w:p>
        </w:tc>
      </w:tr>
      <w:tr w:rsidR="00BF18CF" w14:paraId="145AB2E1" w14:textId="77777777" w:rsidTr="00BF18CF">
        <w:tc>
          <w:tcPr>
            <w:tcW w:w="1832" w:type="dxa"/>
          </w:tcPr>
          <w:p w14:paraId="165CEB84"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58" w:type="dxa"/>
          </w:tcPr>
          <w:p w14:paraId="05C3F09D"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P50_a_pour_actant_détenteur_actuel (est_actant_détenteur_actuel_de)</w:t>
            </w:r>
            <w:r>
              <w:t xml:space="preserve"> : </w:t>
            </w:r>
            <w:r>
              <w:rPr>
                <w:rFonts w:ascii="Consolas" w:eastAsia="Consolas" w:hAnsi="Consolas" w:cs="Consolas"/>
                <w:sz w:val="22"/>
                <w:szCs w:val="22"/>
                <w:shd w:val="clear" w:color="auto" w:fill="EAEEF3"/>
              </w:rPr>
              <w:t>E39_Actant</w:t>
            </w:r>
          </w:p>
          <w:p w14:paraId="48F2595A" w14:textId="77777777" w:rsidR="00BF18CF" w:rsidRDefault="00E51347">
            <w:r>
              <w:rPr>
                <w:rFonts w:ascii="Consolas" w:eastAsia="Consolas" w:hAnsi="Consolas" w:cs="Consolas"/>
                <w:sz w:val="22"/>
                <w:szCs w:val="22"/>
                <w:shd w:val="clear" w:color="auto" w:fill="EAEEF3"/>
              </w:rPr>
              <w:lastRenderedPageBreak/>
              <w:t>E78_Collection</w:t>
            </w:r>
            <w:r>
              <w:t xml:space="preserve">. </w:t>
            </w:r>
            <w:r>
              <w:rPr>
                <w:rFonts w:ascii="Consolas" w:eastAsia="Consolas" w:hAnsi="Consolas" w:cs="Consolas"/>
                <w:sz w:val="22"/>
                <w:szCs w:val="22"/>
                <w:shd w:val="clear" w:color="auto" w:fill="EAEEF3"/>
              </w:rPr>
              <w:t>P109_a_pour_responsable_actuel_ou_antérieur_de_la_collection (est_responsable_actuel_ou_antérieur_de_la_collection)</w:t>
            </w:r>
            <w:r>
              <w:t xml:space="preserve"> : </w:t>
            </w:r>
            <w:r>
              <w:rPr>
                <w:rFonts w:ascii="Consolas" w:eastAsia="Consolas" w:hAnsi="Consolas" w:cs="Consolas"/>
                <w:sz w:val="22"/>
                <w:szCs w:val="22"/>
                <w:shd w:val="clear" w:color="auto" w:fill="EAEEF3"/>
              </w:rPr>
              <w:t>E39_Actant</w:t>
            </w:r>
          </w:p>
        </w:tc>
      </w:tr>
      <w:tr w:rsidR="00BF18CF" w14:paraId="23175139" w14:textId="77777777" w:rsidTr="00BF18CF">
        <w:tc>
          <w:tcPr>
            <w:tcW w:w="1832" w:type="dxa"/>
          </w:tcPr>
          <w:p w14:paraId="768D2BC4"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858" w:type="dxa"/>
          </w:tcPr>
          <w:p w14:paraId="20D4E9BA" w14:textId="77777777" w:rsidR="00BF18CF" w:rsidRDefault="00E51347">
            <w:proofErr w:type="gramStart"/>
            <w:r>
              <w:t>plusieurs</w:t>
            </w:r>
            <w:proofErr w:type="gramEnd"/>
            <w:r>
              <w:t xml:space="preserve"> à plusieurs (0,n:0,n)</w:t>
            </w:r>
          </w:p>
        </w:tc>
      </w:tr>
      <w:tr w:rsidR="00BF18CF" w14:paraId="116378AE" w14:textId="77777777" w:rsidTr="00BF18CF">
        <w:tc>
          <w:tcPr>
            <w:tcW w:w="1832" w:type="dxa"/>
          </w:tcPr>
          <w:p w14:paraId="5093CA9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58" w:type="dxa"/>
          </w:tcPr>
          <w:p w14:paraId="50CF658F" w14:textId="77777777" w:rsidR="00BF18CF" w:rsidRDefault="00E51347">
            <w:r>
              <w:t xml:space="preserve">Cette propriété identifie l’instance de </w:t>
            </w:r>
            <w:r>
              <w:rPr>
                <w:rFonts w:ascii="Consolas" w:eastAsia="Consolas" w:hAnsi="Consolas" w:cs="Consolas"/>
                <w:sz w:val="22"/>
                <w:szCs w:val="22"/>
                <w:shd w:val="clear" w:color="auto" w:fill="EAEEF3"/>
              </w:rPr>
              <w:t>E39_Actant</w:t>
            </w:r>
            <w:r>
              <w:t xml:space="preserve"> qui a ou a eu la garde d’une instance de </w:t>
            </w:r>
            <w:r>
              <w:rPr>
                <w:rFonts w:ascii="Consolas" w:eastAsia="Consolas" w:hAnsi="Consolas" w:cs="Consolas"/>
                <w:sz w:val="22"/>
                <w:szCs w:val="22"/>
                <w:shd w:val="clear" w:color="auto" w:fill="EAEEF3"/>
              </w:rPr>
              <w:t>E18_Chose_matérielle</w:t>
            </w:r>
            <w:r>
              <w:t xml:space="preserve"> à un moment donné. Cette propriété laisse ouverte la question de l’ajout ou du retrait des parties de la chose matérielle durant les intervalles temporels où elle a été sous la garde de cet actant. Il est cependant requis qu’au moins une partie, qui peut être identifiée sans ambiguïté comme étant représentative de l’ensemble, a été sous cette garde durant la totalité de l’intervalle temporel. La manière dont une part représentative est définie doit permettre de comprendre sans ambiguïté qui est détenteur d’une part et de l’ensemble, et doit être en conformité avec les critères d’identité de l’instance de </w:t>
            </w:r>
            <w:r>
              <w:rPr>
                <w:rFonts w:ascii="Consolas" w:eastAsia="Consolas" w:hAnsi="Consolas" w:cs="Consolas"/>
                <w:sz w:val="22"/>
                <w:szCs w:val="22"/>
                <w:shd w:val="clear" w:color="auto" w:fill="EAEEF3"/>
              </w:rPr>
              <w:t>E18_Chose_matérielle</w:t>
            </w:r>
            <w:r>
              <w:t xml:space="preserve"> détenue.</w:t>
            </w:r>
          </w:p>
          <w:p w14:paraId="3F77F7F7" w14:textId="77777777" w:rsidR="00BF18CF" w:rsidRDefault="00E51347">
            <w:r>
              <w:t xml:space="preserve">La distinction entre la propriété </w:t>
            </w:r>
            <w:r>
              <w:rPr>
                <w:rFonts w:ascii="Consolas" w:eastAsia="Consolas" w:hAnsi="Consolas" w:cs="Consolas"/>
                <w:sz w:val="22"/>
                <w:szCs w:val="22"/>
                <w:shd w:val="clear" w:color="auto" w:fill="EAEEF3"/>
              </w:rPr>
              <w:t>P50_a_pour_actant_détenteur_actuel (est_actant_détenteur_actuel_de)</w:t>
            </w:r>
            <w:r>
              <w:t xml:space="preserve"> et la propriété </w:t>
            </w:r>
            <w:r>
              <w:rPr>
                <w:rFonts w:ascii="Consolas" w:eastAsia="Consolas" w:hAnsi="Consolas" w:cs="Consolas"/>
                <w:sz w:val="22"/>
                <w:szCs w:val="22"/>
                <w:shd w:val="clear" w:color="auto" w:fill="EAEEF3"/>
              </w:rPr>
              <w:t>P49_a_pour_actant_détenteur_actuel_ou_antérieur (est_l'actant_détenteur_actuel_ou_antérieur_de)</w:t>
            </w:r>
            <w:r>
              <w:t xml:space="preserve"> est que cette dernière ne précise pas si l'actant détenant la chose matérielle est antérieur ou actuel.</w:t>
            </w:r>
          </w:p>
          <w:p w14:paraId="78709079"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P30_a_transféré_la_garde_de (a_été_l’objet_d’un_transfert_de_garde_par)</w:t>
            </w:r>
            <w:r>
              <w:t xml:space="preserve">, </w:t>
            </w:r>
            <w:r>
              <w:rPr>
                <w:rFonts w:ascii="Consolas" w:eastAsia="Consolas" w:hAnsi="Consolas" w:cs="Consolas"/>
                <w:sz w:val="22"/>
                <w:szCs w:val="22"/>
                <w:shd w:val="clear" w:color="auto" w:fill="EAEEF3"/>
              </w:rPr>
              <w:t>E10_Transfert_de_la_garde</w:t>
            </w:r>
            <w:r>
              <w:t xml:space="preserve">, </w:t>
            </w:r>
            <w:r>
              <w:rPr>
                <w:rFonts w:ascii="Consolas" w:eastAsia="Consolas" w:hAnsi="Consolas" w:cs="Consolas"/>
                <w:sz w:val="22"/>
                <w:szCs w:val="22"/>
                <w:shd w:val="clear" w:color="auto" w:fill="EAEEF3"/>
              </w:rPr>
              <w:t>P28_a_mis_fin_à_la_garde_par (a_cédé_la_garde_par)</w:t>
            </w:r>
            <w:r>
              <w:t xml:space="preserve"> (ou </w:t>
            </w:r>
            <w:r>
              <w:rPr>
                <w:rFonts w:ascii="Consolas" w:eastAsia="Consolas" w:hAnsi="Consolas" w:cs="Consolas"/>
                <w:sz w:val="22"/>
                <w:szCs w:val="22"/>
                <w:shd w:val="clear" w:color="auto" w:fill="EAEEF3"/>
              </w:rPr>
              <w:t>P29_a_confié_la_garde_par (a_reçu_la_garde_par)</w:t>
            </w:r>
            <w:r>
              <w:t xml:space="preserve">), </w:t>
            </w:r>
            <w:r>
              <w:rPr>
                <w:rFonts w:ascii="Consolas" w:eastAsia="Consolas" w:hAnsi="Consolas" w:cs="Consolas"/>
                <w:sz w:val="22"/>
                <w:szCs w:val="22"/>
                <w:shd w:val="clear" w:color="auto" w:fill="EAEEF3"/>
              </w:rPr>
              <w:t>E39_Actant</w:t>
            </w:r>
            <w:r>
              <w:t>.</w:t>
            </w:r>
          </w:p>
        </w:tc>
      </w:tr>
      <w:tr w:rsidR="00BF18CF" w14:paraId="5D9593D2" w14:textId="77777777" w:rsidTr="00BF18CF">
        <w:tc>
          <w:tcPr>
            <w:tcW w:w="1832" w:type="dxa"/>
          </w:tcPr>
          <w:p w14:paraId="30197577"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58" w:type="dxa"/>
          </w:tcPr>
          <w:p w14:paraId="5BBC304B" w14:textId="77777777" w:rsidR="00BF18CF" w:rsidRDefault="00E51347">
            <w:pPr>
              <w:numPr>
                <w:ilvl w:val="0"/>
                <w:numId w:val="19"/>
              </w:numPr>
            </w:pPr>
            <w:r>
              <w:t>Les œuvres peintes de la collection Iveagh Bequest (</w:t>
            </w:r>
            <w:r>
              <w:rPr>
                <w:rFonts w:ascii="Consolas" w:eastAsia="Consolas" w:hAnsi="Consolas" w:cs="Consolas"/>
                <w:sz w:val="22"/>
                <w:szCs w:val="22"/>
                <w:shd w:val="clear" w:color="auto" w:fill="EAEEF3"/>
              </w:rPr>
              <w:t>E19_Objet_matériel</w:t>
            </w:r>
            <w:r>
              <w:t>) ont pour actant détenteur actuel ou antérieur (</w:t>
            </w:r>
            <w:r>
              <w:rPr>
                <w:rFonts w:ascii="Consolas" w:eastAsia="Consolas" w:hAnsi="Consolas" w:cs="Consolas"/>
                <w:sz w:val="22"/>
                <w:szCs w:val="22"/>
                <w:shd w:val="clear" w:color="auto" w:fill="EAEEF3"/>
              </w:rPr>
              <w:t>P49_a_pour_actant_détenteur_actuel_ou_antérieur</w:t>
            </w:r>
            <w:r>
              <w:t>) Secure Deliveries Inc. (</w:t>
            </w:r>
            <w:r>
              <w:rPr>
                <w:rFonts w:ascii="Consolas" w:eastAsia="Consolas" w:hAnsi="Consolas" w:cs="Consolas"/>
                <w:sz w:val="22"/>
                <w:szCs w:val="22"/>
                <w:shd w:val="clear" w:color="auto" w:fill="EAEEF3"/>
              </w:rPr>
              <w:t>E74_Groupe</w:t>
            </w:r>
            <w:r>
              <w:t>) (Bequest, 1975)</w:t>
            </w:r>
          </w:p>
        </w:tc>
      </w:tr>
      <w:tr w:rsidR="00BF18CF" w14:paraId="4ADA9A77" w14:textId="77777777" w:rsidTr="00BF18CF">
        <w:tc>
          <w:tcPr>
            <w:tcW w:w="1832" w:type="dxa"/>
          </w:tcPr>
          <w:p w14:paraId="4E54D2A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58" w:type="dxa"/>
          </w:tcPr>
          <w:p w14:paraId="27232C90" w14:textId="77777777" w:rsidR="00BF18CF" w:rsidRDefault="00E51347">
            <w:r>
              <w:t>P49(</w:t>
            </w:r>
            <w:proofErr w:type="gramStart"/>
            <w:r>
              <w:t>x,y</w:t>
            </w:r>
            <w:proofErr w:type="gramEnd"/>
            <w:r>
              <w:t>) ⇒ E18(x)</w:t>
            </w:r>
          </w:p>
          <w:p w14:paraId="0B715181" w14:textId="77777777" w:rsidR="00BF18CF" w:rsidRDefault="00E51347">
            <w:r>
              <w:t>P49(</w:t>
            </w:r>
            <w:proofErr w:type="gramStart"/>
            <w:r>
              <w:t>x,y</w:t>
            </w:r>
            <w:proofErr w:type="gramEnd"/>
            <w:r>
              <w:t>) ⇒ E39(y)</w:t>
            </w:r>
          </w:p>
          <w:p w14:paraId="15507664" w14:textId="77777777" w:rsidR="00BF18CF" w:rsidRDefault="00E51347">
            <w:r>
              <w:t>P49(</w:t>
            </w:r>
            <w:proofErr w:type="gramStart"/>
            <w:r>
              <w:t>x,y</w:t>
            </w:r>
            <w:proofErr w:type="gramEnd"/>
            <w:r>
              <w:t>) ⇐ (∃z) [E10(z) ˄ P30i(x,z) ˄ [P28(z,y) ˅ P29(z,y) ]]</w:t>
            </w:r>
          </w:p>
        </w:tc>
      </w:tr>
      <w:tr w:rsidR="00BF18CF" w14:paraId="4165E2E4" w14:textId="77777777" w:rsidTr="00BF18CF">
        <w:tc>
          <w:tcPr>
            <w:tcW w:w="1832" w:type="dxa"/>
          </w:tcPr>
          <w:p w14:paraId="3F64B3A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58" w:type="dxa"/>
          </w:tcPr>
          <w:p w14:paraId="154CE124" w14:textId="77777777" w:rsidR="00BF18CF" w:rsidRDefault="00BF18CF">
            <w:pPr>
              <w:pBdr>
                <w:top w:val="nil"/>
                <w:left w:val="nil"/>
                <w:bottom w:val="nil"/>
                <w:right w:val="nil"/>
                <w:between w:val="nil"/>
              </w:pBdr>
              <w:spacing w:before="36" w:after="36"/>
              <w:rPr>
                <w:color w:val="000000"/>
              </w:rPr>
            </w:pPr>
          </w:p>
        </w:tc>
      </w:tr>
      <w:tr w:rsidR="00BF18CF" w14:paraId="231B1B8B" w14:textId="77777777" w:rsidTr="00BF18CF">
        <w:tc>
          <w:tcPr>
            <w:tcW w:w="1832" w:type="dxa"/>
          </w:tcPr>
          <w:p w14:paraId="7CBE233C" w14:textId="7986BFC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58" w:type="dxa"/>
          </w:tcPr>
          <w:p w14:paraId="255AAFE8" w14:textId="77777777" w:rsidR="00BF18CF" w:rsidRDefault="00BF18CF">
            <w:pPr>
              <w:pBdr>
                <w:top w:val="nil"/>
                <w:left w:val="nil"/>
                <w:bottom w:val="nil"/>
                <w:right w:val="nil"/>
                <w:between w:val="nil"/>
              </w:pBdr>
              <w:spacing w:before="36" w:after="36"/>
              <w:rPr>
                <w:color w:val="000000"/>
              </w:rPr>
            </w:pPr>
          </w:p>
        </w:tc>
      </w:tr>
      <w:tr w:rsidR="00BF18CF" w14:paraId="7EC82ECE" w14:textId="77777777" w:rsidTr="00BF18CF">
        <w:tc>
          <w:tcPr>
            <w:tcW w:w="1832" w:type="dxa"/>
          </w:tcPr>
          <w:p w14:paraId="61FC692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58" w:type="dxa"/>
          </w:tcPr>
          <w:p w14:paraId="2B5BE0B4" w14:textId="77777777" w:rsidR="00BF18CF" w:rsidRDefault="00BF18CF">
            <w:pPr>
              <w:pBdr>
                <w:top w:val="nil"/>
                <w:left w:val="nil"/>
                <w:bottom w:val="nil"/>
                <w:right w:val="nil"/>
                <w:between w:val="nil"/>
              </w:pBdr>
              <w:spacing w:before="36" w:after="36"/>
              <w:rPr>
                <w:color w:val="000000"/>
              </w:rPr>
            </w:pPr>
          </w:p>
        </w:tc>
      </w:tr>
    </w:tbl>
    <w:p w14:paraId="60B897BC" w14:textId="77777777" w:rsidR="00BF18CF" w:rsidRDefault="00E51347">
      <w:pPr>
        <w:pStyle w:val="Heading3"/>
      </w:pPr>
      <w:bookmarkStart w:id="355" w:name="bookmark=id.1maplo9" w:colFirst="0" w:colLast="0"/>
      <w:bookmarkStart w:id="356" w:name="_Toc144360921"/>
      <w:bookmarkEnd w:id="355"/>
      <w:r>
        <w:t>P50 a pour actant détenteur actuel (est l’actant détenteur actuel)</w:t>
      </w:r>
      <w:bookmarkEnd w:id="356"/>
    </w:p>
    <w:tbl>
      <w:tblPr>
        <w:tblStyle w:val="aff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8"/>
        <w:gridCol w:w="8812"/>
      </w:tblGrid>
      <w:tr w:rsidR="00BF18CF" w14:paraId="2277A5FD" w14:textId="77777777" w:rsidTr="00BF18CF">
        <w:tc>
          <w:tcPr>
            <w:tcW w:w="1878" w:type="dxa"/>
          </w:tcPr>
          <w:p w14:paraId="24A1EDBA"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2" w:type="dxa"/>
          </w:tcPr>
          <w:p w14:paraId="7329B7A8" w14:textId="77777777" w:rsidR="00BF18CF" w:rsidRDefault="00E51347">
            <w:r>
              <w:rPr>
                <w:rFonts w:ascii="Consolas" w:eastAsia="Consolas" w:hAnsi="Consolas" w:cs="Consolas"/>
                <w:sz w:val="22"/>
                <w:szCs w:val="22"/>
                <w:shd w:val="clear" w:color="auto" w:fill="EAEEF3"/>
              </w:rPr>
              <w:t>E18_Chose_matérielle</w:t>
            </w:r>
          </w:p>
        </w:tc>
      </w:tr>
      <w:tr w:rsidR="00BF18CF" w14:paraId="02BB6895" w14:textId="77777777" w:rsidTr="00BF18CF">
        <w:tc>
          <w:tcPr>
            <w:tcW w:w="1878" w:type="dxa"/>
          </w:tcPr>
          <w:p w14:paraId="63279B6C"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2" w:type="dxa"/>
          </w:tcPr>
          <w:p w14:paraId="01826723" w14:textId="77777777" w:rsidR="00BF18CF" w:rsidRDefault="00E51347">
            <w:r>
              <w:rPr>
                <w:rFonts w:ascii="Consolas" w:eastAsia="Consolas" w:hAnsi="Consolas" w:cs="Consolas"/>
                <w:sz w:val="22"/>
                <w:szCs w:val="22"/>
                <w:shd w:val="clear" w:color="auto" w:fill="EAEEF3"/>
              </w:rPr>
              <w:t>E39_Actant</w:t>
            </w:r>
          </w:p>
        </w:tc>
      </w:tr>
      <w:tr w:rsidR="00BF18CF" w14:paraId="5710198F" w14:textId="77777777" w:rsidTr="00BF18CF">
        <w:tc>
          <w:tcPr>
            <w:tcW w:w="1878" w:type="dxa"/>
          </w:tcPr>
          <w:p w14:paraId="6AA7DED0" w14:textId="77777777" w:rsidR="00BF18CF" w:rsidRDefault="00E51347">
            <w:pPr>
              <w:pBdr>
                <w:top w:val="nil"/>
                <w:left w:val="nil"/>
                <w:bottom w:val="nil"/>
                <w:right w:val="nil"/>
                <w:between w:val="nil"/>
              </w:pBdr>
              <w:spacing w:before="36" w:after="36"/>
              <w:rPr>
                <w:color w:val="000000"/>
              </w:rPr>
            </w:pPr>
            <w:r>
              <w:rPr>
                <w:b/>
                <w:color w:val="000000"/>
              </w:rPr>
              <w:lastRenderedPageBreak/>
              <w:t>Sous-propriété de</w:t>
            </w:r>
          </w:p>
        </w:tc>
        <w:tc>
          <w:tcPr>
            <w:tcW w:w="8812" w:type="dxa"/>
          </w:tcPr>
          <w:p w14:paraId="451BD03A"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P49_a_pour_actant_détenteur_actuel_ou_antérieur (est_l’actant_détenteur_actuel_ou_antérieur_de)</w:t>
            </w:r>
            <w:r>
              <w:t xml:space="preserve"> : </w:t>
            </w:r>
            <w:r>
              <w:rPr>
                <w:rFonts w:ascii="Consolas" w:eastAsia="Consolas" w:hAnsi="Consolas" w:cs="Consolas"/>
                <w:sz w:val="22"/>
                <w:szCs w:val="22"/>
                <w:shd w:val="clear" w:color="auto" w:fill="EAEEF3"/>
              </w:rPr>
              <w:t>E39_Actant</w:t>
            </w:r>
          </w:p>
        </w:tc>
      </w:tr>
      <w:tr w:rsidR="00BF18CF" w14:paraId="7D31267F" w14:textId="77777777" w:rsidTr="00BF18CF">
        <w:tc>
          <w:tcPr>
            <w:tcW w:w="1878" w:type="dxa"/>
          </w:tcPr>
          <w:p w14:paraId="1FB170A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2" w:type="dxa"/>
          </w:tcPr>
          <w:p w14:paraId="753B40C8" w14:textId="77777777" w:rsidR="00BF18CF" w:rsidRDefault="00BF18CF">
            <w:pPr>
              <w:pBdr>
                <w:top w:val="nil"/>
                <w:left w:val="nil"/>
                <w:bottom w:val="nil"/>
                <w:right w:val="nil"/>
                <w:between w:val="nil"/>
              </w:pBdr>
              <w:spacing w:before="36" w:after="36"/>
              <w:rPr>
                <w:color w:val="000000"/>
              </w:rPr>
            </w:pPr>
          </w:p>
        </w:tc>
      </w:tr>
      <w:tr w:rsidR="00BF18CF" w14:paraId="1E6A29E0" w14:textId="77777777" w:rsidTr="00BF18CF">
        <w:tc>
          <w:tcPr>
            <w:tcW w:w="1878" w:type="dxa"/>
          </w:tcPr>
          <w:p w14:paraId="619EE16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2" w:type="dxa"/>
          </w:tcPr>
          <w:p w14:paraId="273B0637" w14:textId="77777777" w:rsidR="00BF18CF" w:rsidRDefault="00E51347">
            <w:proofErr w:type="gramStart"/>
            <w:r>
              <w:t>plusieurs</w:t>
            </w:r>
            <w:proofErr w:type="gramEnd"/>
            <w:r>
              <w:t xml:space="preserve"> à plusieurs (0,n:0,n)</w:t>
            </w:r>
          </w:p>
        </w:tc>
      </w:tr>
      <w:tr w:rsidR="00BF18CF" w14:paraId="62150082" w14:textId="77777777" w:rsidTr="00BF18CF">
        <w:tc>
          <w:tcPr>
            <w:tcW w:w="1878" w:type="dxa"/>
          </w:tcPr>
          <w:p w14:paraId="69D52B3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2" w:type="dxa"/>
          </w:tcPr>
          <w:p w14:paraId="31E71F8A" w14:textId="77777777" w:rsidR="00BF18CF" w:rsidRDefault="00E51347">
            <w:r>
              <w:t xml:space="preserve">Cette propriété identifie une instance de </w:t>
            </w:r>
            <w:r>
              <w:rPr>
                <w:rFonts w:ascii="Consolas" w:eastAsia="Consolas" w:hAnsi="Consolas" w:cs="Consolas"/>
                <w:sz w:val="22"/>
                <w:szCs w:val="22"/>
                <w:shd w:val="clear" w:color="auto" w:fill="EAEEF3"/>
              </w:rPr>
              <w:t>E39_Actant</w:t>
            </w:r>
            <w:r>
              <w:t xml:space="preserve"> ayant eu la garde d’une instance de </w:t>
            </w:r>
            <w:r>
              <w:rPr>
                <w:rFonts w:ascii="Consolas" w:eastAsia="Consolas" w:hAnsi="Consolas" w:cs="Consolas"/>
                <w:sz w:val="22"/>
                <w:szCs w:val="22"/>
                <w:shd w:val="clear" w:color="auto" w:fill="EAEEF3"/>
              </w:rPr>
              <w:t>E18_Chose_matérielle</w:t>
            </w:r>
            <w:r>
              <w:t xml:space="preserve"> au moment où l'information dans l'enregistrement ou la base de données contenant l'énoncé décrit par cette propriété était considérée valide.</w:t>
            </w:r>
          </w:p>
          <w:p w14:paraId="0AB1CD13"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P30i_a_été_l’objet_d’un_transfert_de_garde_par</w:t>
            </w:r>
            <w:r>
              <w:t xml:space="preserve">, </w:t>
            </w:r>
            <w:r>
              <w:rPr>
                <w:rFonts w:ascii="Consolas" w:eastAsia="Consolas" w:hAnsi="Consolas" w:cs="Consolas"/>
                <w:sz w:val="22"/>
                <w:szCs w:val="22"/>
                <w:shd w:val="clear" w:color="auto" w:fill="EAEEF3"/>
              </w:rPr>
              <w:t>E10_Transfert_de_la_garde</w:t>
            </w:r>
            <w:r>
              <w:t xml:space="preserve">, </w:t>
            </w:r>
            <w:r>
              <w:rPr>
                <w:rFonts w:ascii="Consolas" w:eastAsia="Consolas" w:hAnsi="Consolas" w:cs="Consolas"/>
                <w:sz w:val="22"/>
                <w:szCs w:val="22"/>
                <w:shd w:val="clear" w:color="auto" w:fill="EAEEF3"/>
              </w:rPr>
              <w:t>P29_a_confié_la_garde_par</w:t>
            </w:r>
            <w:r>
              <w:t xml:space="preserve">, </w:t>
            </w:r>
            <w:r>
              <w:rPr>
                <w:rFonts w:ascii="Consolas" w:eastAsia="Consolas" w:hAnsi="Consolas" w:cs="Consolas"/>
                <w:sz w:val="22"/>
                <w:szCs w:val="22"/>
                <w:shd w:val="clear" w:color="auto" w:fill="EAEEF3"/>
              </w:rPr>
              <w:t>E39_Actant</w:t>
            </w:r>
            <w:r>
              <w:t>.</w:t>
            </w:r>
          </w:p>
        </w:tc>
      </w:tr>
      <w:tr w:rsidR="00BF18CF" w14:paraId="515CC150" w14:textId="77777777" w:rsidTr="00BF18CF">
        <w:tc>
          <w:tcPr>
            <w:tcW w:w="1878" w:type="dxa"/>
          </w:tcPr>
          <w:p w14:paraId="5AC15451"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2" w:type="dxa"/>
          </w:tcPr>
          <w:p w14:paraId="45CC8024" w14:textId="77777777" w:rsidR="00BF18CF" w:rsidRDefault="00E51347">
            <w:pPr>
              <w:numPr>
                <w:ilvl w:val="0"/>
                <w:numId w:val="19"/>
              </w:numPr>
            </w:pPr>
            <w:r>
              <w:t>Les œuvres peintes de la collection Iveagh Bequest (</w:t>
            </w:r>
            <w:r>
              <w:rPr>
                <w:rFonts w:ascii="Consolas" w:eastAsia="Consolas" w:hAnsi="Consolas" w:cs="Consolas"/>
                <w:sz w:val="22"/>
                <w:szCs w:val="22"/>
                <w:shd w:val="clear" w:color="auto" w:fill="EAEEF3"/>
              </w:rPr>
              <w:t>E18_Chose_matérielle</w:t>
            </w:r>
            <w:r>
              <w:t>) ont pour actant détenteur actuel (</w:t>
            </w:r>
            <w:r>
              <w:rPr>
                <w:rFonts w:ascii="Consolas" w:eastAsia="Consolas" w:hAnsi="Consolas" w:cs="Consolas"/>
                <w:sz w:val="22"/>
                <w:szCs w:val="22"/>
                <w:shd w:val="clear" w:color="auto" w:fill="EAEEF3"/>
              </w:rPr>
              <w:t>P50_a_pour_actant_détenteur_actuel</w:t>
            </w:r>
            <w:r>
              <w:t>) la National Gallery (</w:t>
            </w:r>
            <w:r>
              <w:rPr>
                <w:rFonts w:ascii="Consolas" w:eastAsia="Consolas" w:hAnsi="Consolas" w:cs="Consolas"/>
                <w:sz w:val="22"/>
                <w:szCs w:val="22"/>
                <w:shd w:val="clear" w:color="auto" w:fill="EAEEF3"/>
              </w:rPr>
              <w:t>E74_Groupe</w:t>
            </w:r>
            <w:r>
              <w:t>) (Bequest, 1975)</w:t>
            </w:r>
          </w:p>
        </w:tc>
      </w:tr>
      <w:tr w:rsidR="00BF18CF" w14:paraId="566E6AA3" w14:textId="77777777" w:rsidTr="00BF18CF">
        <w:tc>
          <w:tcPr>
            <w:tcW w:w="1878" w:type="dxa"/>
          </w:tcPr>
          <w:p w14:paraId="6E710AE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2" w:type="dxa"/>
          </w:tcPr>
          <w:p w14:paraId="01BC2EE4" w14:textId="77777777" w:rsidR="00BF18CF" w:rsidRDefault="00E51347">
            <w:r>
              <w:t>P50(</w:t>
            </w:r>
            <w:proofErr w:type="gramStart"/>
            <w:r>
              <w:t>x,y</w:t>
            </w:r>
            <w:proofErr w:type="gramEnd"/>
            <w:r>
              <w:t>) ⇒ E18(x)</w:t>
            </w:r>
          </w:p>
          <w:p w14:paraId="2B5F94C1" w14:textId="77777777" w:rsidR="00BF18CF" w:rsidRDefault="00E51347">
            <w:r>
              <w:t>P50(</w:t>
            </w:r>
            <w:proofErr w:type="gramStart"/>
            <w:r>
              <w:t>x,y</w:t>
            </w:r>
            <w:proofErr w:type="gramEnd"/>
            <w:r>
              <w:t>) ⇒ E39(y)</w:t>
            </w:r>
          </w:p>
          <w:p w14:paraId="0CDA853D" w14:textId="77777777" w:rsidR="00BF18CF" w:rsidRDefault="00E51347">
            <w:r>
              <w:t>P50(</w:t>
            </w:r>
            <w:proofErr w:type="gramStart"/>
            <w:r>
              <w:t>x,y</w:t>
            </w:r>
            <w:proofErr w:type="gramEnd"/>
            <w:r>
              <w:t>) ⇒ P49(x,y)</w:t>
            </w:r>
          </w:p>
          <w:p w14:paraId="36362677" w14:textId="77777777" w:rsidR="00BF18CF" w:rsidRDefault="00E51347">
            <w:r>
              <w:t>P50(</w:t>
            </w:r>
            <w:proofErr w:type="gramStart"/>
            <w:r>
              <w:t>x,y</w:t>
            </w:r>
            <w:proofErr w:type="gramEnd"/>
            <w:r>
              <w:t>) ⇐ (∃z) [E10(z) ˄ P30i(x,z) ˄ P29(z,y)]</w:t>
            </w:r>
          </w:p>
        </w:tc>
      </w:tr>
      <w:tr w:rsidR="00BF18CF" w14:paraId="1A8CAB13" w14:textId="77777777" w:rsidTr="00BF18CF">
        <w:tc>
          <w:tcPr>
            <w:tcW w:w="1878" w:type="dxa"/>
          </w:tcPr>
          <w:p w14:paraId="64FDCD0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2" w:type="dxa"/>
          </w:tcPr>
          <w:p w14:paraId="77AF48E7" w14:textId="77777777" w:rsidR="00BF18CF" w:rsidRDefault="00BF18CF">
            <w:pPr>
              <w:pBdr>
                <w:top w:val="nil"/>
                <w:left w:val="nil"/>
                <w:bottom w:val="nil"/>
                <w:right w:val="nil"/>
                <w:between w:val="nil"/>
              </w:pBdr>
              <w:spacing w:before="36" w:after="36"/>
              <w:rPr>
                <w:color w:val="000000"/>
              </w:rPr>
            </w:pPr>
          </w:p>
        </w:tc>
      </w:tr>
      <w:tr w:rsidR="00BF18CF" w14:paraId="4B320CCA" w14:textId="77777777" w:rsidTr="00BF18CF">
        <w:tc>
          <w:tcPr>
            <w:tcW w:w="1878" w:type="dxa"/>
          </w:tcPr>
          <w:p w14:paraId="218BB3C6" w14:textId="3E97590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2" w:type="dxa"/>
          </w:tcPr>
          <w:p w14:paraId="077C6B6E" w14:textId="77777777" w:rsidR="00BF18CF" w:rsidRDefault="00BF18CF">
            <w:pPr>
              <w:pBdr>
                <w:top w:val="nil"/>
                <w:left w:val="nil"/>
                <w:bottom w:val="nil"/>
                <w:right w:val="nil"/>
                <w:between w:val="nil"/>
              </w:pBdr>
              <w:spacing w:before="36" w:after="36"/>
              <w:rPr>
                <w:color w:val="000000"/>
              </w:rPr>
            </w:pPr>
          </w:p>
        </w:tc>
      </w:tr>
      <w:tr w:rsidR="00BF18CF" w14:paraId="47301F54" w14:textId="77777777" w:rsidTr="00BF18CF">
        <w:tc>
          <w:tcPr>
            <w:tcW w:w="1878" w:type="dxa"/>
          </w:tcPr>
          <w:p w14:paraId="5A21733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2" w:type="dxa"/>
          </w:tcPr>
          <w:p w14:paraId="504D7937" w14:textId="77777777" w:rsidR="00BF18CF" w:rsidRDefault="00BF18CF">
            <w:pPr>
              <w:pBdr>
                <w:top w:val="nil"/>
                <w:left w:val="nil"/>
                <w:bottom w:val="nil"/>
                <w:right w:val="nil"/>
                <w:between w:val="nil"/>
              </w:pBdr>
              <w:spacing w:before="36" w:after="36"/>
              <w:rPr>
                <w:color w:val="000000"/>
              </w:rPr>
            </w:pPr>
          </w:p>
        </w:tc>
      </w:tr>
    </w:tbl>
    <w:p w14:paraId="1C2EA605" w14:textId="77777777" w:rsidR="00BF18CF" w:rsidRDefault="00E51347">
      <w:pPr>
        <w:pStyle w:val="Heading3"/>
      </w:pPr>
      <w:bookmarkStart w:id="357" w:name="bookmark=id.46ad4c2" w:colFirst="0" w:colLast="0"/>
      <w:bookmarkStart w:id="358" w:name="_Toc144360922"/>
      <w:bookmarkEnd w:id="357"/>
      <w:r>
        <w:t>P51 a pour propriétaire actuel ou antérieur (est l’actant propriétaire actuel ou antérieur de)</w:t>
      </w:r>
      <w:bookmarkEnd w:id="358"/>
    </w:p>
    <w:tbl>
      <w:tblPr>
        <w:tblStyle w:val="aff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9"/>
        <w:gridCol w:w="8831"/>
      </w:tblGrid>
      <w:tr w:rsidR="00BF18CF" w14:paraId="2C271049" w14:textId="77777777" w:rsidTr="00BF18CF">
        <w:tc>
          <w:tcPr>
            <w:tcW w:w="1859" w:type="dxa"/>
          </w:tcPr>
          <w:p w14:paraId="44A3D2C0"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1" w:type="dxa"/>
          </w:tcPr>
          <w:p w14:paraId="5BD8EDC9" w14:textId="77777777" w:rsidR="00BF18CF" w:rsidRDefault="00E51347">
            <w:r>
              <w:rPr>
                <w:rFonts w:ascii="Consolas" w:eastAsia="Consolas" w:hAnsi="Consolas" w:cs="Consolas"/>
                <w:sz w:val="22"/>
                <w:szCs w:val="22"/>
                <w:shd w:val="clear" w:color="auto" w:fill="EAEEF3"/>
              </w:rPr>
              <w:t>E18_Chose_matérielle</w:t>
            </w:r>
          </w:p>
        </w:tc>
      </w:tr>
      <w:tr w:rsidR="00BF18CF" w14:paraId="7BF5E0A3" w14:textId="77777777" w:rsidTr="00BF18CF">
        <w:tc>
          <w:tcPr>
            <w:tcW w:w="1859" w:type="dxa"/>
          </w:tcPr>
          <w:p w14:paraId="71A8994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1" w:type="dxa"/>
          </w:tcPr>
          <w:p w14:paraId="6C0E4EE7" w14:textId="77777777" w:rsidR="00BF18CF" w:rsidRDefault="00E51347">
            <w:r>
              <w:rPr>
                <w:rFonts w:ascii="Consolas" w:eastAsia="Consolas" w:hAnsi="Consolas" w:cs="Consolas"/>
                <w:sz w:val="22"/>
                <w:szCs w:val="22"/>
                <w:shd w:val="clear" w:color="auto" w:fill="EAEEF3"/>
              </w:rPr>
              <w:t>E39_Actant</w:t>
            </w:r>
          </w:p>
        </w:tc>
      </w:tr>
      <w:tr w:rsidR="00BF18CF" w14:paraId="27080D40" w14:textId="77777777" w:rsidTr="00BF18CF">
        <w:tc>
          <w:tcPr>
            <w:tcW w:w="1859" w:type="dxa"/>
          </w:tcPr>
          <w:p w14:paraId="22B7BCA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1" w:type="dxa"/>
          </w:tcPr>
          <w:p w14:paraId="7DCC7095" w14:textId="77777777" w:rsidR="00BF18CF" w:rsidRDefault="00BF18CF">
            <w:pPr>
              <w:pBdr>
                <w:top w:val="nil"/>
                <w:left w:val="nil"/>
                <w:bottom w:val="nil"/>
                <w:right w:val="nil"/>
                <w:between w:val="nil"/>
              </w:pBdr>
              <w:spacing w:before="36" w:after="36"/>
              <w:rPr>
                <w:color w:val="000000"/>
              </w:rPr>
            </w:pPr>
          </w:p>
        </w:tc>
      </w:tr>
      <w:tr w:rsidR="00BF18CF" w14:paraId="4FCCD552" w14:textId="77777777" w:rsidTr="00BF18CF">
        <w:tc>
          <w:tcPr>
            <w:tcW w:w="1859" w:type="dxa"/>
          </w:tcPr>
          <w:p w14:paraId="7AF1134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1" w:type="dxa"/>
          </w:tcPr>
          <w:p w14:paraId="0D7EAD59"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P52_a_pour_propriétaire_actuel (est_l’actant_propriétaire_actuel_de)</w:t>
            </w:r>
            <w:r>
              <w:t xml:space="preserve"> : </w:t>
            </w:r>
            <w:r>
              <w:rPr>
                <w:rFonts w:ascii="Consolas" w:eastAsia="Consolas" w:hAnsi="Consolas" w:cs="Consolas"/>
                <w:sz w:val="22"/>
                <w:szCs w:val="22"/>
                <w:shd w:val="clear" w:color="auto" w:fill="EAEEF3"/>
              </w:rPr>
              <w:t>E39_Actant</w:t>
            </w:r>
          </w:p>
        </w:tc>
      </w:tr>
      <w:tr w:rsidR="00BF18CF" w14:paraId="4953FD25" w14:textId="77777777" w:rsidTr="00BF18CF">
        <w:tc>
          <w:tcPr>
            <w:tcW w:w="1859" w:type="dxa"/>
          </w:tcPr>
          <w:p w14:paraId="00208827"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1" w:type="dxa"/>
          </w:tcPr>
          <w:p w14:paraId="7B140014" w14:textId="77777777" w:rsidR="00BF18CF" w:rsidRDefault="00E51347">
            <w:proofErr w:type="gramStart"/>
            <w:r>
              <w:t>plusieurs</w:t>
            </w:r>
            <w:proofErr w:type="gramEnd"/>
            <w:r>
              <w:t xml:space="preserve"> à plusieurs (0,n:0,n)</w:t>
            </w:r>
          </w:p>
        </w:tc>
      </w:tr>
      <w:tr w:rsidR="00BF18CF" w14:paraId="531F6436" w14:textId="77777777" w:rsidTr="00BF18CF">
        <w:tc>
          <w:tcPr>
            <w:tcW w:w="1859" w:type="dxa"/>
          </w:tcPr>
          <w:p w14:paraId="362362A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1" w:type="dxa"/>
          </w:tcPr>
          <w:p w14:paraId="068CCEA8" w14:textId="77777777" w:rsidR="00BF18CF" w:rsidRDefault="00E51347">
            <w:r>
              <w:t xml:space="preserve">Cette propriété identifie l’instance de </w:t>
            </w:r>
            <w:r>
              <w:rPr>
                <w:rFonts w:ascii="Consolas" w:eastAsia="Consolas" w:hAnsi="Consolas" w:cs="Consolas"/>
                <w:sz w:val="22"/>
                <w:szCs w:val="22"/>
                <w:shd w:val="clear" w:color="auto" w:fill="EAEEF3"/>
              </w:rPr>
              <w:t>E39_Actant</w:t>
            </w:r>
            <w:r>
              <w:t xml:space="preserve"> qui est ou qui a été le propriétaire légal (c.-à-d. le détenteur du titre de propriété) d’une instance de </w:t>
            </w:r>
            <w:r>
              <w:rPr>
                <w:rFonts w:ascii="Consolas" w:eastAsia="Consolas" w:hAnsi="Consolas" w:cs="Consolas"/>
                <w:sz w:val="22"/>
                <w:szCs w:val="22"/>
                <w:shd w:val="clear" w:color="auto" w:fill="EAEEF3"/>
              </w:rPr>
              <w:t>E18_Chose_matérielle</w:t>
            </w:r>
            <w:r>
              <w:t xml:space="preserve"> à un moment donné.</w:t>
            </w:r>
          </w:p>
          <w:p w14:paraId="62E0ADAA" w14:textId="77777777" w:rsidR="00BF18CF" w:rsidRDefault="00E51347">
            <w:r>
              <w:lastRenderedPageBreak/>
              <w:t xml:space="preserve">La distinction avec </w:t>
            </w:r>
            <w:r>
              <w:rPr>
                <w:rFonts w:ascii="Consolas" w:eastAsia="Consolas" w:hAnsi="Consolas" w:cs="Consolas"/>
                <w:sz w:val="22"/>
                <w:szCs w:val="22"/>
                <w:shd w:val="clear" w:color="auto" w:fill="EAEEF3"/>
              </w:rPr>
              <w:t>P52_a_pour_propriétaire_actuel (est_l’actant_propriétaire_actuel_de)</w:t>
            </w:r>
            <w:r>
              <w:t xml:space="preserve"> est le fait que </w:t>
            </w:r>
            <w:r>
              <w:rPr>
                <w:rFonts w:ascii="Consolas" w:eastAsia="Consolas" w:hAnsi="Consolas" w:cs="Consolas"/>
                <w:sz w:val="22"/>
                <w:szCs w:val="22"/>
                <w:shd w:val="clear" w:color="auto" w:fill="EAEEF3"/>
              </w:rPr>
              <w:t>P51_a_pour_propriétaire_actuel_ou_antérieur (est_l’actant_propriétaire_actuel_ou_antérieur_de)</w:t>
            </w:r>
            <w:r>
              <w:t xml:space="preserve"> ne précise pas si le ou les propriétaires indiqués sont actuels.</w:t>
            </w:r>
          </w:p>
          <w:p w14:paraId="60733A28" w14:textId="77777777" w:rsidR="00BF18CF" w:rsidRDefault="00E51347">
            <w:r>
              <w:t>Cette propriété est un raccourci du chemin sémantique suivant :</w:t>
            </w:r>
          </w:p>
          <w:p w14:paraId="3F8B03D9"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P24i__changé_de_propriétaire_par</w:t>
            </w:r>
            <w:r>
              <w:t xml:space="preserve">, </w:t>
            </w:r>
            <w:r>
              <w:rPr>
                <w:rFonts w:ascii="Consolas" w:eastAsia="Consolas" w:hAnsi="Consolas" w:cs="Consolas"/>
                <w:sz w:val="22"/>
                <w:szCs w:val="22"/>
                <w:shd w:val="clear" w:color="auto" w:fill="EAEEF3"/>
              </w:rPr>
              <w:t>E8_Acquisition</w:t>
            </w:r>
            <w:r>
              <w:t xml:space="preserve">, </w:t>
            </w:r>
            <w:r>
              <w:rPr>
                <w:rFonts w:ascii="Consolas" w:eastAsia="Consolas" w:hAnsi="Consolas" w:cs="Consolas"/>
                <w:sz w:val="22"/>
                <w:szCs w:val="22"/>
                <w:shd w:val="clear" w:color="auto" w:fill="EAEEF3"/>
              </w:rPr>
              <w:t>P23_a_transféré_le_titre_de_propriété_de</w:t>
            </w:r>
            <w:r>
              <w:t xml:space="preserve"> (ou </w:t>
            </w:r>
            <w:r>
              <w:rPr>
                <w:rFonts w:ascii="Consolas" w:eastAsia="Consolas" w:hAnsi="Consolas" w:cs="Consolas"/>
                <w:sz w:val="22"/>
                <w:szCs w:val="22"/>
                <w:shd w:val="clear" w:color="auto" w:fill="EAEEF3"/>
              </w:rPr>
              <w:t>P22_a_transféré_le_titre_de_propriété_à</w:t>
            </w:r>
            <w:r>
              <w:t xml:space="preserve">), </w:t>
            </w:r>
            <w:r>
              <w:rPr>
                <w:rFonts w:ascii="Consolas" w:eastAsia="Consolas" w:hAnsi="Consolas" w:cs="Consolas"/>
                <w:sz w:val="22"/>
                <w:szCs w:val="22"/>
                <w:shd w:val="clear" w:color="auto" w:fill="EAEEF3"/>
              </w:rPr>
              <w:t>E39_Actant</w:t>
            </w:r>
            <w:r>
              <w:t>.</w:t>
            </w:r>
          </w:p>
        </w:tc>
      </w:tr>
      <w:tr w:rsidR="00BF18CF" w14:paraId="1607E8B8" w14:textId="77777777" w:rsidTr="00BF18CF">
        <w:tc>
          <w:tcPr>
            <w:tcW w:w="1859" w:type="dxa"/>
          </w:tcPr>
          <w:p w14:paraId="76545749"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31" w:type="dxa"/>
          </w:tcPr>
          <w:p w14:paraId="1CA58C66" w14:textId="77777777" w:rsidR="00BF18CF" w:rsidRDefault="00E51347">
            <w:pPr>
              <w:numPr>
                <w:ilvl w:val="0"/>
                <w:numId w:val="19"/>
              </w:numPr>
            </w:pPr>
            <w:r>
              <w:t>Les œuvres peintes de la collection Iveagh Bequest (</w:t>
            </w:r>
            <w:r>
              <w:rPr>
                <w:rFonts w:ascii="Consolas" w:eastAsia="Consolas" w:hAnsi="Consolas" w:cs="Consolas"/>
                <w:sz w:val="22"/>
                <w:szCs w:val="22"/>
                <w:shd w:val="clear" w:color="auto" w:fill="EAEEF3"/>
              </w:rPr>
              <w:t>E18_Chose_matérielle</w:t>
            </w:r>
            <w:r>
              <w:t>) ont pour propriétaire actuel ou antérieur (</w:t>
            </w:r>
            <w:r>
              <w:rPr>
                <w:rFonts w:ascii="Consolas" w:eastAsia="Consolas" w:hAnsi="Consolas" w:cs="Consolas"/>
                <w:sz w:val="22"/>
                <w:szCs w:val="22"/>
                <w:shd w:val="clear" w:color="auto" w:fill="EAEEF3"/>
              </w:rPr>
              <w:t>P51_a_pour_propriétaire_actuel_ou_antérieur</w:t>
            </w:r>
            <w:r>
              <w:t>) Lord Iveagh (</w:t>
            </w:r>
            <w:r>
              <w:rPr>
                <w:rFonts w:ascii="Consolas" w:eastAsia="Consolas" w:hAnsi="Consolas" w:cs="Consolas"/>
                <w:sz w:val="22"/>
                <w:szCs w:val="22"/>
                <w:shd w:val="clear" w:color="auto" w:fill="EAEEF3"/>
              </w:rPr>
              <w:t>E21_Personne</w:t>
            </w:r>
            <w:r>
              <w:t>) (Bequest, 1975)</w:t>
            </w:r>
          </w:p>
        </w:tc>
      </w:tr>
      <w:tr w:rsidR="00BF18CF" w14:paraId="505BBEB4" w14:textId="77777777" w:rsidTr="00BF18CF">
        <w:tc>
          <w:tcPr>
            <w:tcW w:w="1859" w:type="dxa"/>
          </w:tcPr>
          <w:p w14:paraId="48778F25"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1" w:type="dxa"/>
          </w:tcPr>
          <w:p w14:paraId="2DBB500A" w14:textId="77777777" w:rsidR="00BF18CF" w:rsidRDefault="00E51347">
            <w:r>
              <w:t>P51(</w:t>
            </w:r>
            <w:proofErr w:type="gramStart"/>
            <w:r>
              <w:t>x,y</w:t>
            </w:r>
            <w:proofErr w:type="gramEnd"/>
            <w:r>
              <w:t>) ⇒ E18(x)</w:t>
            </w:r>
          </w:p>
          <w:p w14:paraId="05FA620F" w14:textId="77777777" w:rsidR="00BF18CF" w:rsidRDefault="00E51347">
            <w:r>
              <w:t>P51(</w:t>
            </w:r>
            <w:proofErr w:type="gramStart"/>
            <w:r>
              <w:t>x,y</w:t>
            </w:r>
            <w:proofErr w:type="gramEnd"/>
            <w:r>
              <w:t>) ⇒ E39(y)</w:t>
            </w:r>
          </w:p>
          <w:p w14:paraId="7190856E" w14:textId="77777777" w:rsidR="00BF18CF" w:rsidRDefault="00E51347">
            <w:r>
              <w:t>P51(</w:t>
            </w:r>
            <w:proofErr w:type="gramStart"/>
            <w:r>
              <w:t>x,y</w:t>
            </w:r>
            <w:proofErr w:type="gramEnd"/>
            <w:r>
              <w:t>) ⇐ (∃z) [E8(z) ˄ P24i(x,z) ˄ [P23(z,y) ˅ P22(z,y) ]]</w:t>
            </w:r>
          </w:p>
        </w:tc>
      </w:tr>
      <w:tr w:rsidR="00BF18CF" w14:paraId="11E36A12" w14:textId="77777777" w:rsidTr="00BF18CF">
        <w:tc>
          <w:tcPr>
            <w:tcW w:w="1859" w:type="dxa"/>
          </w:tcPr>
          <w:p w14:paraId="6AAFCF0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1" w:type="dxa"/>
          </w:tcPr>
          <w:p w14:paraId="75A68FB1" w14:textId="77777777" w:rsidR="00BF18CF" w:rsidRDefault="00BF18CF">
            <w:pPr>
              <w:pBdr>
                <w:top w:val="nil"/>
                <w:left w:val="nil"/>
                <w:bottom w:val="nil"/>
                <w:right w:val="nil"/>
                <w:between w:val="nil"/>
              </w:pBdr>
              <w:spacing w:before="36" w:after="36"/>
              <w:rPr>
                <w:color w:val="000000"/>
              </w:rPr>
            </w:pPr>
          </w:p>
        </w:tc>
      </w:tr>
      <w:tr w:rsidR="00BF18CF" w14:paraId="5EBC433D" w14:textId="77777777" w:rsidTr="00BF18CF">
        <w:tc>
          <w:tcPr>
            <w:tcW w:w="1859" w:type="dxa"/>
          </w:tcPr>
          <w:p w14:paraId="5C68F640" w14:textId="6FCC440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1" w:type="dxa"/>
          </w:tcPr>
          <w:p w14:paraId="41BBDA8E" w14:textId="77777777" w:rsidR="00BF18CF" w:rsidRDefault="00BF18CF">
            <w:pPr>
              <w:pBdr>
                <w:top w:val="nil"/>
                <w:left w:val="nil"/>
                <w:bottom w:val="nil"/>
                <w:right w:val="nil"/>
                <w:between w:val="nil"/>
              </w:pBdr>
              <w:spacing w:before="36" w:after="36"/>
              <w:rPr>
                <w:color w:val="000000"/>
              </w:rPr>
            </w:pPr>
          </w:p>
        </w:tc>
      </w:tr>
      <w:tr w:rsidR="00BF18CF" w14:paraId="677B5901" w14:textId="77777777" w:rsidTr="00BF18CF">
        <w:tc>
          <w:tcPr>
            <w:tcW w:w="1859" w:type="dxa"/>
          </w:tcPr>
          <w:p w14:paraId="776C6A3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1" w:type="dxa"/>
          </w:tcPr>
          <w:p w14:paraId="15332E13" w14:textId="77777777" w:rsidR="00BF18CF" w:rsidRDefault="00BF18CF">
            <w:pPr>
              <w:pBdr>
                <w:top w:val="nil"/>
                <w:left w:val="nil"/>
                <w:bottom w:val="nil"/>
                <w:right w:val="nil"/>
                <w:between w:val="nil"/>
              </w:pBdr>
              <w:spacing w:before="36" w:after="36"/>
              <w:rPr>
                <w:color w:val="000000"/>
              </w:rPr>
            </w:pPr>
          </w:p>
        </w:tc>
      </w:tr>
    </w:tbl>
    <w:p w14:paraId="02126DDC" w14:textId="77777777" w:rsidR="00BF18CF" w:rsidRDefault="00E51347">
      <w:pPr>
        <w:pStyle w:val="Heading3"/>
      </w:pPr>
      <w:bookmarkStart w:id="359" w:name="bookmark=id.2lfnejv" w:colFirst="0" w:colLast="0"/>
      <w:bookmarkStart w:id="360" w:name="_Toc144360923"/>
      <w:bookmarkEnd w:id="359"/>
      <w:r>
        <w:t>P52 a pour propriétaire actuel (est l'actant propriétaire actuel de)</w:t>
      </w:r>
      <w:bookmarkEnd w:id="360"/>
    </w:p>
    <w:tbl>
      <w:tblPr>
        <w:tblStyle w:val="afffff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6"/>
        <w:gridCol w:w="8834"/>
      </w:tblGrid>
      <w:tr w:rsidR="00BF18CF" w14:paraId="1A08AF55" w14:textId="77777777" w:rsidTr="00BF18CF">
        <w:tc>
          <w:tcPr>
            <w:tcW w:w="1856" w:type="dxa"/>
          </w:tcPr>
          <w:p w14:paraId="180D3304"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4" w:type="dxa"/>
          </w:tcPr>
          <w:p w14:paraId="4D6AECBB" w14:textId="77777777" w:rsidR="00BF18CF" w:rsidRDefault="00E51347">
            <w:r>
              <w:rPr>
                <w:rFonts w:ascii="Consolas" w:eastAsia="Consolas" w:hAnsi="Consolas" w:cs="Consolas"/>
                <w:sz w:val="22"/>
                <w:szCs w:val="22"/>
                <w:shd w:val="clear" w:color="auto" w:fill="EAEEF3"/>
              </w:rPr>
              <w:t>E18_Chose_matérielle</w:t>
            </w:r>
          </w:p>
        </w:tc>
      </w:tr>
      <w:tr w:rsidR="00BF18CF" w14:paraId="1B0ABB64" w14:textId="77777777" w:rsidTr="00BF18CF">
        <w:tc>
          <w:tcPr>
            <w:tcW w:w="1856" w:type="dxa"/>
          </w:tcPr>
          <w:p w14:paraId="5A3B0AD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4" w:type="dxa"/>
          </w:tcPr>
          <w:p w14:paraId="261BFECD" w14:textId="77777777" w:rsidR="00BF18CF" w:rsidRDefault="00E51347">
            <w:r>
              <w:rPr>
                <w:rFonts w:ascii="Consolas" w:eastAsia="Consolas" w:hAnsi="Consolas" w:cs="Consolas"/>
                <w:sz w:val="22"/>
                <w:szCs w:val="22"/>
                <w:shd w:val="clear" w:color="auto" w:fill="EAEEF3"/>
              </w:rPr>
              <w:t>E39_Actant</w:t>
            </w:r>
          </w:p>
        </w:tc>
      </w:tr>
      <w:tr w:rsidR="00BF18CF" w14:paraId="44B25B94" w14:textId="77777777" w:rsidTr="00BF18CF">
        <w:tc>
          <w:tcPr>
            <w:tcW w:w="1856" w:type="dxa"/>
          </w:tcPr>
          <w:p w14:paraId="05C3B8A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4" w:type="dxa"/>
          </w:tcPr>
          <w:p w14:paraId="408FC9E4"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P51_a_pour_propriétaire_actuel_ou_antérieur (est_l’actant_propriétaire_actuel_ou_antérieur_de)</w:t>
            </w:r>
            <w:r>
              <w:t xml:space="preserve"> : </w:t>
            </w:r>
            <w:r>
              <w:rPr>
                <w:rFonts w:ascii="Consolas" w:eastAsia="Consolas" w:hAnsi="Consolas" w:cs="Consolas"/>
                <w:sz w:val="22"/>
                <w:szCs w:val="22"/>
                <w:shd w:val="clear" w:color="auto" w:fill="EAEEF3"/>
              </w:rPr>
              <w:t>E39_Actant</w:t>
            </w:r>
          </w:p>
          <w:p w14:paraId="674106E5" w14:textId="77777777" w:rsidR="00BF18CF" w:rsidRDefault="00E51347">
            <w:r>
              <w:rPr>
                <w:rFonts w:ascii="Consolas" w:eastAsia="Consolas" w:hAnsi="Consolas" w:cs="Consolas"/>
                <w:sz w:val="22"/>
                <w:szCs w:val="22"/>
                <w:shd w:val="clear" w:color="auto" w:fill="EAEEF3"/>
              </w:rPr>
              <w:t>E72_Objet_juridique</w:t>
            </w:r>
            <w:r>
              <w:t xml:space="preserve">. </w:t>
            </w:r>
            <w:r>
              <w:rPr>
                <w:rFonts w:ascii="Consolas" w:eastAsia="Consolas" w:hAnsi="Consolas" w:cs="Consolas"/>
                <w:sz w:val="22"/>
                <w:szCs w:val="22"/>
                <w:shd w:val="clear" w:color="auto" w:fill="EAEEF3"/>
              </w:rPr>
              <w:t>P105_droit_détenu_par (détient_le_droit_sur)</w:t>
            </w:r>
            <w:r>
              <w:t xml:space="preserve"> : </w:t>
            </w:r>
            <w:r>
              <w:rPr>
                <w:rFonts w:ascii="Consolas" w:eastAsia="Consolas" w:hAnsi="Consolas" w:cs="Consolas"/>
                <w:sz w:val="22"/>
                <w:szCs w:val="22"/>
                <w:shd w:val="clear" w:color="auto" w:fill="EAEEF3"/>
              </w:rPr>
              <w:t>E39_Actant</w:t>
            </w:r>
          </w:p>
        </w:tc>
      </w:tr>
      <w:tr w:rsidR="00BF18CF" w14:paraId="34F1DFA7" w14:textId="77777777" w:rsidTr="00BF18CF">
        <w:tc>
          <w:tcPr>
            <w:tcW w:w="1856" w:type="dxa"/>
          </w:tcPr>
          <w:p w14:paraId="0970152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4" w:type="dxa"/>
          </w:tcPr>
          <w:p w14:paraId="2BE96C70" w14:textId="77777777" w:rsidR="00BF18CF" w:rsidRDefault="00BF18CF">
            <w:pPr>
              <w:pBdr>
                <w:top w:val="nil"/>
                <w:left w:val="nil"/>
                <w:bottom w:val="nil"/>
                <w:right w:val="nil"/>
                <w:between w:val="nil"/>
              </w:pBdr>
              <w:spacing w:before="36" w:after="36"/>
              <w:rPr>
                <w:color w:val="000000"/>
              </w:rPr>
            </w:pPr>
          </w:p>
        </w:tc>
      </w:tr>
      <w:tr w:rsidR="00BF18CF" w14:paraId="437DBF47" w14:textId="77777777" w:rsidTr="00BF18CF">
        <w:tc>
          <w:tcPr>
            <w:tcW w:w="1856" w:type="dxa"/>
          </w:tcPr>
          <w:p w14:paraId="3E1DD0C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4" w:type="dxa"/>
          </w:tcPr>
          <w:p w14:paraId="18DF243C" w14:textId="77777777" w:rsidR="00BF18CF" w:rsidRDefault="00E51347">
            <w:proofErr w:type="gramStart"/>
            <w:r>
              <w:t>plusieurs</w:t>
            </w:r>
            <w:proofErr w:type="gramEnd"/>
            <w:r>
              <w:t xml:space="preserve"> à plusieurs (0,n:0,n)</w:t>
            </w:r>
          </w:p>
        </w:tc>
      </w:tr>
      <w:tr w:rsidR="00BF18CF" w14:paraId="1DDE3954" w14:textId="77777777" w:rsidTr="00BF18CF">
        <w:tc>
          <w:tcPr>
            <w:tcW w:w="1856" w:type="dxa"/>
          </w:tcPr>
          <w:p w14:paraId="4A1FEA7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4" w:type="dxa"/>
          </w:tcPr>
          <w:p w14:paraId="45720795" w14:textId="77777777" w:rsidR="00BF18CF" w:rsidRDefault="00E51347">
            <w:r>
              <w:t xml:space="preserve">Cette propriété identifie l'instance de </w:t>
            </w:r>
            <w:r>
              <w:rPr>
                <w:rFonts w:ascii="Consolas" w:eastAsia="Consolas" w:hAnsi="Consolas" w:cs="Consolas"/>
                <w:sz w:val="22"/>
                <w:szCs w:val="22"/>
                <w:shd w:val="clear" w:color="auto" w:fill="EAEEF3"/>
              </w:rPr>
              <w:t>E21_Personne</w:t>
            </w:r>
            <w:r>
              <w:t xml:space="preserve"> ou de </w:t>
            </w:r>
            <w:r>
              <w:rPr>
                <w:rFonts w:ascii="Consolas" w:eastAsia="Consolas" w:hAnsi="Consolas" w:cs="Consolas"/>
                <w:sz w:val="22"/>
                <w:szCs w:val="22"/>
                <w:shd w:val="clear" w:color="auto" w:fill="EAEEF3"/>
              </w:rPr>
              <w:t>E74_Groupe</w:t>
            </w:r>
            <w:r>
              <w:t xml:space="preserve"> qui était propriétaire d'une instance de </w:t>
            </w:r>
            <w:r>
              <w:rPr>
                <w:rFonts w:ascii="Consolas" w:eastAsia="Consolas" w:hAnsi="Consolas" w:cs="Consolas"/>
                <w:sz w:val="22"/>
                <w:szCs w:val="22"/>
                <w:shd w:val="clear" w:color="auto" w:fill="EAEEF3"/>
              </w:rPr>
              <w:t>E18_Chose_matérielle</w:t>
            </w:r>
            <w:r>
              <w:t xml:space="preserve"> au moment où l'information dans l'enregistrement ou la base de données contenant l'énoncé décrit par cette propriété était considérée valide.</w:t>
            </w:r>
          </w:p>
          <w:p w14:paraId="4299B5BF"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P24i_a_changé_de_propriétaire_par</w:t>
            </w:r>
            <w:r>
              <w:t xml:space="preserve">, </w:t>
            </w:r>
            <w:r>
              <w:rPr>
                <w:rFonts w:ascii="Consolas" w:eastAsia="Consolas" w:hAnsi="Consolas" w:cs="Consolas"/>
                <w:sz w:val="22"/>
                <w:szCs w:val="22"/>
                <w:shd w:val="clear" w:color="auto" w:fill="EAEEF3"/>
              </w:rPr>
              <w:t>E8_Acquisition</w:t>
            </w:r>
            <w:r>
              <w:t xml:space="preserve">, </w:t>
            </w:r>
            <w:r>
              <w:rPr>
                <w:rFonts w:ascii="Consolas" w:eastAsia="Consolas" w:hAnsi="Consolas" w:cs="Consolas"/>
                <w:sz w:val="22"/>
                <w:szCs w:val="22"/>
                <w:shd w:val="clear" w:color="auto" w:fill="EAEEF3"/>
              </w:rPr>
              <w:lastRenderedPageBreak/>
              <w:t>P22_a_transféré_le_titre_de_propriété_à</w:t>
            </w:r>
            <w:r>
              <w:t xml:space="preserve">, </w:t>
            </w:r>
            <w:r>
              <w:rPr>
                <w:rFonts w:ascii="Consolas" w:eastAsia="Consolas" w:hAnsi="Consolas" w:cs="Consolas"/>
                <w:sz w:val="22"/>
                <w:szCs w:val="22"/>
                <w:shd w:val="clear" w:color="auto" w:fill="EAEEF3"/>
              </w:rPr>
              <w:t>E39_Actant</w:t>
            </w:r>
            <w:r>
              <w:t>, si et seulement si l'évènement d'acquisition est le plus récent.</w:t>
            </w:r>
          </w:p>
        </w:tc>
      </w:tr>
      <w:tr w:rsidR="00BF18CF" w14:paraId="173BEC61" w14:textId="77777777" w:rsidTr="00BF18CF">
        <w:tc>
          <w:tcPr>
            <w:tcW w:w="1856" w:type="dxa"/>
          </w:tcPr>
          <w:p w14:paraId="714A164B"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34" w:type="dxa"/>
          </w:tcPr>
          <w:p w14:paraId="42461FBA" w14:textId="77777777" w:rsidR="00BF18CF" w:rsidRDefault="00E51347">
            <w:pPr>
              <w:numPr>
                <w:ilvl w:val="0"/>
                <w:numId w:val="19"/>
              </w:numPr>
            </w:pPr>
            <w:r>
              <w:t>Les œuvres peintes de la collection Iveagh Bequest (</w:t>
            </w:r>
            <w:r>
              <w:rPr>
                <w:rFonts w:ascii="Consolas" w:eastAsia="Consolas" w:hAnsi="Consolas" w:cs="Consolas"/>
                <w:sz w:val="22"/>
                <w:szCs w:val="22"/>
                <w:shd w:val="clear" w:color="auto" w:fill="EAEEF3"/>
              </w:rPr>
              <w:t>E18_Chose_matérielle</w:t>
            </w:r>
            <w:r>
              <w:t>) ont pour propriétaire actuel (</w:t>
            </w:r>
            <w:r>
              <w:rPr>
                <w:rFonts w:ascii="Consolas" w:eastAsia="Consolas" w:hAnsi="Consolas" w:cs="Consolas"/>
                <w:sz w:val="22"/>
                <w:szCs w:val="22"/>
                <w:shd w:val="clear" w:color="auto" w:fill="EAEEF3"/>
              </w:rPr>
              <w:t>P52_a_pour_propriétaire_actuel</w:t>
            </w:r>
            <w:r>
              <w:t>) Historic England (</w:t>
            </w:r>
            <w:r>
              <w:rPr>
                <w:rFonts w:ascii="Consolas" w:eastAsia="Consolas" w:hAnsi="Consolas" w:cs="Consolas"/>
                <w:sz w:val="22"/>
                <w:szCs w:val="22"/>
                <w:shd w:val="clear" w:color="auto" w:fill="EAEEF3"/>
              </w:rPr>
              <w:t>E74_Groupe</w:t>
            </w:r>
            <w:r>
              <w:t>) (Bequest, 1975) [toujours valide en 2021. L'importante collection des maîtres anciens et des portraits de Britanniques a été léguée à Kenwood par Edward Cecil Guinness, 1</w:t>
            </w:r>
            <w:r>
              <w:rPr>
                <w:vertAlign w:val="superscript"/>
              </w:rPr>
              <w:t>er</w:t>
            </w:r>
            <w:r>
              <w:t xml:space="preserve"> comte d'Iveagh en 1927] (Bryant, 1990)</w:t>
            </w:r>
          </w:p>
        </w:tc>
      </w:tr>
      <w:tr w:rsidR="00BF18CF" w14:paraId="11C692D9" w14:textId="77777777" w:rsidTr="00BF18CF">
        <w:tc>
          <w:tcPr>
            <w:tcW w:w="1856" w:type="dxa"/>
          </w:tcPr>
          <w:p w14:paraId="70E7F57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4" w:type="dxa"/>
          </w:tcPr>
          <w:p w14:paraId="0DC1BBB7" w14:textId="77777777" w:rsidR="00BF18CF" w:rsidRDefault="00E51347">
            <w:r>
              <w:t>P52(</w:t>
            </w:r>
            <w:proofErr w:type="gramStart"/>
            <w:r>
              <w:t>x,y</w:t>
            </w:r>
            <w:proofErr w:type="gramEnd"/>
            <w:r>
              <w:t>) ⇒ E18(x)</w:t>
            </w:r>
          </w:p>
          <w:p w14:paraId="5C4B2655" w14:textId="77777777" w:rsidR="00BF18CF" w:rsidRDefault="00E51347">
            <w:r>
              <w:t>P52(</w:t>
            </w:r>
            <w:proofErr w:type="gramStart"/>
            <w:r>
              <w:t>x,y</w:t>
            </w:r>
            <w:proofErr w:type="gramEnd"/>
            <w:r>
              <w:t>) ⇒ E39(y)</w:t>
            </w:r>
          </w:p>
          <w:p w14:paraId="4A0A7653" w14:textId="77777777" w:rsidR="00BF18CF" w:rsidRDefault="00E51347">
            <w:r>
              <w:t>P52(</w:t>
            </w:r>
            <w:proofErr w:type="gramStart"/>
            <w:r>
              <w:t>x,y</w:t>
            </w:r>
            <w:proofErr w:type="gramEnd"/>
            <w:r>
              <w:t>) ⇒ P51(x,y)</w:t>
            </w:r>
          </w:p>
          <w:p w14:paraId="0E6A3A21" w14:textId="77777777" w:rsidR="00BF18CF" w:rsidRDefault="00E51347">
            <w:r>
              <w:t>P52(</w:t>
            </w:r>
            <w:proofErr w:type="gramStart"/>
            <w:r>
              <w:t>x,y</w:t>
            </w:r>
            <w:proofErr w:type="gramEnd"/>
            <w:r>
              <w:t>) ⇒ P105(x,y)</w:t>
            </w:r>
          </w:p>
          <w:p w14:paraId="1C44ADA7" w14:textId="77777777" w:rsidR="00BF18CF" w:rsidRDefault="00E51347">
            <w:r>
              <w:t>P52(</w:t>
            </w:r>
            <w:proofErr w:type="gramStart"/>
            <w:r>
              <w:t>x,y</w:t>
            </w:r>
            <w:proofErr w:type="gramEnd"/>
            <w:r>
              <w:t>) ⇐ (∃z) [E(8) ˄ P24i(x,z) ˄ P22(z,y)]</w:t>
            </w:r>
          </w:p>
        </w:tc>
      </w:tr>
      <w:tr w:rsidR="00BF18CF" w14:paraId="4850C283" w14:textId="77777777" w:rsidTr="00BF18CF">
        <w:tc>
          <w:tcPr>
            <w:tcW w:w="1856" w:type="dxa"/>
          </w:tcPr>
          <w:p w14:paraId="09FC44A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4" w:type="dxa"/>
          </w:tcPr>
          <w:p w14:paraId="2DE1BE5D" w14:textId="77777777" w:rsidR="00BF18CF" w:rsidRDefault="00BF18CF">
            <w:pPr>
              <w:pBdr>
                <w:top w:val="nil"/>
                <w:left w:val="nil"/>
                <w:bottom w:val="nil"/>
                <w:right w:val="nil"/>
                <w:between w:val="nil"/>
              </w:pBdr>
              <w:spacing w:before="36" w:after="36"/>
              <w:rPr>
                <w:color w:val="000000"/>
              </w:rPr>
            </w:pPr>
          </w:p>
        </w:tc>
      </w:tr>
      <w:tr w:rsidR="00BF18CF" w14:paraId="41AB763E" w14:textId="77777777" w:rsidTr="00BF18CF">
        <w:tc>
          <w:tcPr>
            <w:tcW w:w="1856" w:type="dxa"/>
          </w:tcPr>
          <w:p w14:paraId="5D42F56D" w14:textId="2C82F62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4" w:type="dxa"/>
          </w:tcPr>
          <w:p w14:paraId="6CCE4EA1" w14:textId="77777777" w:rsidR="00BF18CF" w:rsidRDefault="00BF18CF">
            <w:pPr>
              <w:pBdr>
                <w:top w:val="nil"/>
                <w:left w:val="nil"/>
                <w:bottom w:val="nil"/>
                <w:right w:val="nil"/>
                <w:between w:val="nil"/>
              </w:pBdr>
              <w:spacing w:before="36" w:after="36"/>
              <w:rPr>
                <w:color w:val="000000"/>
              </w:rPr>
            </w:pPr>
          </w:p>
        </w:tc>
      </w:tr>
      <w:tr w:rsidR="00BF18CF" w14:paraId="0DA05DBC" w14:textId="77777777" w:rsidTr="00BF18CF">
        <w:tc>
          <w:tcPr>
            <w:tcW w:w="1856" w:type="dxa"/>
          </w:tcPr>
          <w:p w14:paraId="69E3F6D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4" w:type="dxa"/>
          </w:tcPr>
          <w:p w14:paraId="6980CF5F" w14:textId="77777777" w:rsidR="00BF18CF" w:rsidRDefault="00BF18CF">
            <w:pPr>
              <w:pBdr>
                <w:top w:val="nil"/>
                <w:left w:val="nil"/>
                <w:bottom w:val="nil"/>
                <w:right w:val="nil"/>
                <w:between w:val="nil"/>
              </w:pBdr>
              <w:spacing w:before="36" w:after="36"/>
              <w:rPr>
                <w:color w:val="000000"/>
              </w:rPr>
            </w:pPr>
          </w:p>
        </w:tc>
      </w:tr>
    </w:tbl>
    <w:p w14:paraId="5C38B030" w14:textId="77777777" w:rsidR="00BF18CF" w:rsidRDefault="00E51347">
      <w:pPr>
        <w:pStyle w:val="Heading3"/>
      </w:pPr>
      <w:bookmarkStart w:id="361" w:name="bookmark=id.10kxoro" w:colFirst="0" w:colLast="0"/>
      <w:bookmarkStart w:id="362" w:name="_Toc144360924"/>
      <w:bookmarkEnd w:id="361"/>
      <w:r>
        <w:t>P53 a pour localisation actuelle ou antérieure (est la localisation actuelle ou antérieure de)</w:t>
      </w:r>
      <w:bookmarkEnd w:id="362"/>
    </w:p>
    <w:tbl>
      <w:tblPr>
        <w:tblStyle w:val="afff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4"/>
        <w:gridCol w:w="8826"/>
      </w:tblGrid>
      <w:tr w:rsidR="00BF18CF" w14:paraId="10D83B8B" w14:textId="77777777" w:rsidTr="00BF18CF">
        <w:tc>
          <w:tcPr>
            <w:tcW w:w="1864" w:type="dxa"/>
          </w:tcPr>
          <w:p w14:paraId="05CC18C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6" w:type="dxa"/>
          </w:tcPr>
          <w:p w14:paraId="01E03184" w14:textId="77777777" w:rsidR="00BF18CF" w:rsidRDefault="00E51347">
            <w:r>
              <w:rPr>
                <w:rFonts w:ascii="Consolas" w:eastAsia="Consolas" w:hAnsi="Consolas" w:cs="Consolas"/>
                <w:sz w:val="22"/>
                <w:szCs w:val="22"/>
                <w:shd w:val="clear" w:color="auto" w:fill="EAEEF3"/>
              </w:rPr>
              <w:t>E18_Chose_matérielle</w:t>
            </w:r>
          </w:p>
        </w:tc>
      </w:tr>
      <w:tr w:rsidR="00BF18CF" w14:paraId="49D32B2B" w14:textId="77777777" w:rsidTr="00BF18CF">
        <w:tc>
          <w:tcPr>
            <w:tcW w:w="1864" w:type="dxa"/>
          </w:tcPr>
          <w:p w14:paraId="52710BE1"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6" w:type="dxa"/>
          </w:tcPr>
          <w:p w14:paraId="55E1930D" w14:textId="77777777" w:rsidR="00BF18CF" w:rsidRDefault="00E51347">
            <w:r>
              <w:rPr>
                <w:rFonts w:ascii="Consolas" w:eastAsia="Consolas" w:hAnsi="Consolas" w:cs="Consolas"/>
                <w:sz w:val="22"/>
                <w:szCs w:val="22"/>
                <w:shd w:val="clear" w:color="auto" w:fill="EAEEF3"/>
              </w:rPr>
              <w:t>E53_Lieu</w:t>
            </w:r>
          </w:p>
        </w:tc>
      </w:tr>
      <w:tr w:rsidR="00BF18CF" w14:paraId="33221DEF" w14:textId="77777777" w:rsidTr="00BF18CF">
        <w:tc>
          <w:tcPr>
            <w:tcW w:w="1864" w:type="dxa"/>
          </w:tcPr>
          <w:p w14:paraId="452BFB7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26" w:type="dxa"/>
          </w:tcPr>
          <w:p w14:paraId="435B052F" w14:textId="77777777" w:rsidR="00BF18CF" w:rsidRDefault="00E51347">
            <w:r>
              <w:rPr>
                <w:rFonts w:ascii="Consolas" w:eastAsia="Consolas" w:hAnsi="Consolas" w:cs="Consolas"/>
                <w:sz w:val="22"/>
                <w:szCs w:val="22"/>
                <w:shd w:val="clear" w:color="auto" w:fill="EAEEF3"/>
              </w:rPr>
              <w:t>E19_Objet_matériel</w:t>
            </w:r>
            <w:r>
              <w:t xml:space="preserve">. </w:t>
            </w:r>
            <w:r>
              <w:rPr>
                <w:rFonts w:ascii="Consolas" w:eastAsia="Consolas" w:hAnsi="Consolas" w:cs="Consolas"/>
                <w:sz w:val="22"/>
                <w:szCs w:val="22"/>
                <w:shd w:val="clear" w:color="auto" w:fill="EAEEF3"/>
              </w:rPr>
              <w:t>P55_a_actuellement_pour_localisation (est_actuellement_la_localisation_de)</w:t>
            </w:r>
            <w:r>
              <w:t xml:space="preserve"> : </w:t>
            </w:r>
            <w:r>
              <w:rPr>
                <w:rFonts w:ascii="Consolas" w:eastAsia="Consolas" w:hAnsi="Consolas" w:cs="Consolas"/>
                <w:sz w:val="22"/>
                <w:szCs w:val="22"/>
                <w:shd w:val="clear" w:color="auto" w:fill="EAEEF3"/>
              </w:rPr>
              <w:t>E53_Lieu</w:t>
            </w:r>
          </w:p>
          <w:p w14:paraId="15E2A6B5"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P156_occupe (est_occupé_par)</w:t>
            </w:r>
            <w:r>
              <w:t xml:space="preserve"> : </w:t>
            </w:r>
            <w:r>
              <w:rPr>
                <w:rFonts w:ascii="Consolas" w:eastAsia="Consolas" w:hAnsi="Consolas" w:cs="Consolas"/>
                <w:sz w:val="22"/>
                <w:szCs w:val="22"/>
                <w:shd w:val="clear" w:color="auto" w:fill="EAEEF3"/>
              </w:rPr>
              <w:t>E53_Lieu</w:t>
            </w:r>
          </w:p>
        </w:tc>
      </w:tr>
      <w:tr w:rsidR="00BF18CF" w14:paraId="165130D5" w14:textId="77777777" w:rsidTr="00BF18CF">
        <w:tc>
          <w:tcPr>
            <w:tcW w:w="1864" w:type="dxa"/>
          </w:tcPr>
          <w:p w14:paraId="3EE32BCC"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6" w:type="dxa"/>
          </w:tcPr>
          <w:p w14:paraId="2C140003" w14:textId="77777777" w:rsidR="00BF18CF" w:rsidRDefault="00BF18CF">
            <w:pPr>
              <w:pBdr>
                <w:top w:val="nil"/>
                <w:left w:val="nil"/>
                <w:bottom w:val="nil"/>
                <w:right w:val="nil"/>
                <w:between w:val="nil"/>
              </w:pBdr>
              <w:spacing w:before="36" w:after="36"/>
              <w:rPr>
                <w:color w:val="000000"/>
              </w:rPr>
            </w:pPr>
          </w:p>
        </w:tc>
      </w:tr>
      <w:tr w:rsidR="00BF18CF" w14:paraId="053E3037" w14:textId="77777777" w:rsidTr="00BF18CF">
        <w:tc>
          <w:tcPr>
            <w:tcW w:w="1864" w:type="dxa"/>
          </w:tcPr>
          <w:p w14:paraId="43CB28A1"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6" w:type="dxa"/>
          </w:tcPr>
          <w:p w14:paraId="63E28CBE" w14:textId="77777777" w:rsidR="00BF18CF" w:rsidRDefault="00E51347">
            <w:proofErr w:type="gramStart"/>
            <w:r>
              <w:t>plusieurs</w:t>
            </w:r>
            <w:proofErr w:type="gramEnd"/>
            <w:r>
              <w:t xml:space="preserve"> à plusieurs, nécessaire (1,n:0,n)</w:t>
            </w:r>
          </w:p>
        </w:tc>
      </w:tr>
      <w:tr w:rsidR="00BF18CF" w14:paraId="513FAE9B" w14:textId="77777777" w:rsidTr="00BF18CF">
        <w:tc>
          <w:tcPr>
            <w:tcW w:w="1864" w:type="dxa"/>
          </w:tcPr>
          <w:p w14:paraId="3DCC63A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26" w:type="dxa"/>
          </w:tcPr>
          <w:p w14:paraId="6516F36C" w14:textId="77777777" w:rsidR="00BF18CF" w:rsidRDefault="00E51347">
            <w:r>
              <w:t xml:space="preserve">Cette propriété identifie une instance de </w:t>
            </w:r>
            <w:r>
              <w:rPr>
                <w:rFonts w:ascii="Consolas" w:eastAsia="Consolas" w:hAnsi="Consolas" w:cs="Consolas"/>
                <w:sz w:val="22"/>
                <w:szCs w:val="22"/>
                <w:shd w:val="clear" w:color="auto" w:fill="EAEEF3"/>
              </w:rPr>
              <w:t>E53_Lieu</w:t>
            </w:r>
            <w:r>
              <w:t xml:space="preserve"> comme localisation antérieure ou actuelle d'une instance de </w:t>
            </w:r>
            <w:r>
              <w:rPr>
                <w:rFonts w:ascii="Consolas" w:eastAsia="Consolas" w:hAnsi="Consolas" w:cs="Consolas"/>
                <w:sz w:val="22"/>
                <w:szCs w:val="22"/>
                <w:shd w:val="clear" w:color="auto" w:fill="EAEEF3"/>
              </w:rPr>
              <w:t>E18_Chose_matérielle</w:t>
            </w:r>
            <w:r>
              <w:t>.</w:t>
            </w:r>
          </w:p>
          <w:p w14:paraId="3C857191" w14:textId="77777777" w:rsidR="00BF18CF" w:rsidRDefault="00E51347">
            <w:r>
              <w:t xml:space="preserve">Dans le cas d'instances de </w:t>
            </w:r>
            <w:r>
              <w:rPr>
                <w:rFonts w:ascii="Consolas" w:eastAsia="Consolas" w:hAnsi="Consolas" w:cs="Consolas"/>
                <w:sz w:val="22"/>
                <w:szCs w:val="22"/>
                <w:shd w:val="clear" w:color="auto" w:fill="EAEEF3"/>
              </w:rPr>
              <w:t>E19_Objet_matériel</w:t>
            </w:r>
            <w:r>
              <w:t xml:space="preserve">, la propriété ne permet aucune indication de l'intervalle temporel pendant lequel l'instance de </w:t>
            </w:r>
            <w:r>
              <w:rPr>
                <w:rFonts w:ascii="Consolas" w:eastAsia="Consolas" w:hAnsi="Consolas" w:cs="Consolas"/>
                <w:sz w:val="22"/>
                <w:szCs w:val="22"/>
                <w:shd w:val="clear" w:color="auto" w:fill="EAEEF3"/>
              </w:rPr>
              <w:t>E19_Objet_matériel</w:t>
            </w:r>
            <w:r>
              <w:t xml:space="preserve"> était située à cette instance de </w:t>
            </w:r>
            <w:r>
              <w:rPr>
                <w:rFonts w:ascii="Consolas" w:eastAsia="Consolas" w:hAnsi="Consolas" w:cs="Consolas"/>
                <w:sz w:val="22"/>
                <w:szCs w:val="22"/>
                <w:shd w:val="clear" w:color="auto" w:fill="EAEEF3"/>
              </w:rPr>
              <w:t>E53_Lieu</w:t>
            </w:r>
            <w:r>
              <w:t>, ni s'il s'agit de la localisation actuelle.</w:t>
            </w:r>
          </w:p>
          <w:p w14:paraId="6662A0C3" w14:textId="77777777" w:rsidR="00BF18CF" w:rsidRDefault="00E51347">
            <w:r>
              <w:t xml:space="preserve">Dans le cas d'objets immobiles, l'instance de </w:t>
            </w:r>
            <w:r>
              <w:rPr>
                <w:rFonts w:ascii="Consolas" w:eastAsia="Consolas" w:hAnsi="Consolas" w:cs="Consolas"/>
                <w:sz w:val="22"/>
                <w:szCs w:val="22"/>
                <w:shd w:val="clear" w:color="auto" w:fill="EAEEF3"/>
              </w:rPr>
              <w:t>E53_Lieu</w:t>
            </w:r>
            <w:r>
              <w:t xml:space="preserve"> correspondrait normalement au lieu de création.</w:t>
            </w:r>
          </w:p>
          <w:p w14:paraId="70BE57EA" w14:textId="77777777" w:rsidR="00BF18CF" w:rsidRDefault="00E51347">
            <w:r>
              <w:lastRenderedPageBreak/>
              <w:t xml:space="preserve">Cette propriété est un raccourci du chemin sémantique suivant : </w:t>
            </w:r>
            <w:r>
              <w:rPr>
                <w:rFonts w:ascii="Consolas" w:eastAsia="Consolas" w:hAnsi="Consolas" w:cs="Consolas"/>
                <w:sz w:val="22"/>
                <w:szCs w:val="22"/>
                <w:shd w:val="clear" w:color="auto" w:fill="EAEEF3"/>
              </w:rPr>
              <w:t>E19_Objet_matériel</w:t>
            </w:r>
            <w:r>
              <w:t xml:space="preserve">, </w:t>
            </w:r>
            <w:r>
              <w:rPr>
                <w:rFonts w:ascii="Consolas" w:eastAsia="Consolas" w:hAnsi="Consolas" w:cs="Consolas"/>
                <w:sz w:val="22"/>
                <w:szCs w:val="22"/>
                <w:shd w:val="clear" w:color="auto" w:fill="EAEEF3"/>
              </w:rPr>
              <w:t>P25i_a_été_déplacé_par</w:t>
            </w:r>
            <w:r>
              <w:t xml:space="preserve">, </w:t>
            </w:r>
            <w:r>
              <w:rPr>
                <w:rFonts w:ascii="Consolas" w:eastAsia="Consolas" w:hAnsi="Consolas" w:cs="Consolas"/>
                <w:sz w:val="22"/>
                <w:szCs w:val="22"/>
                <w:shd w:val="clear" w:color="auto" w:fill="EAEEF3"/>
              </w:rPr>
              <w:t>E9_Déplacement</w:t>
            </w:r>
            <w:r>
              <w:t xml:space="preserve">, </w:t>
            </w:r>
            <w:r>
              <w:rPr>
                <w:rFonts w:ascii="Consolas" w:eastAsia="Consolas" w:hAnsi="Consolas" w:cs="Consolas"/>
                <w:sz w:val="22"/>
                <w:szCs w:val="22"/>
                <w:shd w:val="clear" w:color="auto" w:fill="EAEEF3"/>
              </w:rPr>
              <w:t>P26_a_déplacé_vers</w:t>
            </w:r>
            <w:r>
              <w:t xml:space="preserve"> (ou </w:t>
            </w:r>
            <w:r>
              <w:rPr>
                <w:rFonts w:ascii="Consolas" w:eastAsia="Consolas" w:hAnsi="Consolas" w:cs="Consolas"/>
                <w:sz w:val="22"/>
                <w:szCs w:val="22"/>
                <w:shd w:val="clear" w:color="auto" w:fill="EAEEF3"/>
              </w:rPr>
              <w:t>P27_a_déplacé_depuis</w:t>
            </w:r>
            <w:r>
              <w:t xml:space="preserve">), </w:t>
            </w:r>
            <w:r>
              <w:rPr>
                <w:rFonts w:ascii="Consolas" w:eastAsia="Consolas" w:hAnsi="Consolas" w:cs="Consolas"/>
                <w:sz w:val="22"/>
                <w:szCs w:val="22"/>
                <w:shd w:val="clear" w:color="auto" w:fill="EAEEF3"/>
              </w:rPr>
              <w:t>E53_Lieu</w:t>
            </w:r>
            <w:r>
              <w:t>.</w:t>
            </w:r>
          </w:p>
        </w:tc>
      </w:tr>
      <w:tr w:rsidR="00BF18CF" w14:paraId="7B483908" w14:textId="77777777" w:rsidTr="00BF18CF">
        <w:tc>
          <w:tcPr>
            <w:tcW w:w="1864" w:type="dxa"/>
          </w:tcPr>
          <w:p w14:paraId="131A613B"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26" w:type="dxa"/>
          </w:tcPr>
          <w:p w14:paraId="7610BDA4" w14:textId="77777777" w:rsidR="00BF18CF" w:rsidRDefault="00E51347">
            <w:pPr>
              <w:numPr>
                <w:ilvl w:val="0"/>
                <w:numId w:val="19"/>
              </w:numPr>
            </w:pPr>
            <w:r>
              <w:t>La coupe en argent « 232 » (</w:t>
            </w:r>
            <w:r>
              <w:rPr>
                <w:rFonts w:ascii="Consolas" w:eastAsia="Consolas" w:hAnsi="Consolas" w:cs="Consolas"/>
                <w:sz w:val="22"/>
                <w:szCs w:val="22"/>
                <w:shd w:val="clear" w:color="auto" w:fill="EAEEF3"/>
              </w:rPr>
              <w:t>E22_Objet_élaboré_par_l’humain</w:t>
            </w:r>
            <w:r>
              <w:t>) a pour localisation actuelle ou antérieure (</w:t>
            </w:r>
            <w:r>
              <w:rPr>
                <w:rFonts w:ascii="Consolas" w:eastAsia="Consolas" w:hAnsi="Consolas" w:cs="Consolas"/>
                <w:sz w:val="22"/>
                <w:szCs w:val="22"/>
                <w:shd w:val="clear" w:color="auto" w:fill="EAEEF3"/>
              </w:rPr>
              <w:t>P53_a_pour_localisation_actuelle_ou_antérieure</w:t>
            </w:r>
            <w:r>
              <w:t>) la Vitrine n</w:t>
            </w:r>
            <w:r>
              <w:rPr>
                <w:vertAlign w:val="superscript"/>
              </w:rPr>
              <w:t>o</w:t>
            </w:r>
            <w:r>
              <w:t xml:space="preserve"> 4 dans la salle n</w:t>
            </w:r>
            <w:r>
              <w:rPr>
                <w:vertAlign w:val="superscript"/>
              </w:rPr>
              <w:t>o</w:t>
            </w:r>
            <w:r>
              <w:t xml:space="preserve"> 23 du Museum of Oxford (</w:t>
            </w:r>
            <w:r>
              <w:rPr>
                <w:rFonts w:ascii="Consolas" w:eastAsia="Consolas" w:hAnsi="Consolas" w:cs="Consolas"/>
                <w:sz w:val="22"/>
                <w:szCs w:val="22"/>
                <w:shd w:val="clear" w:color="auto" w:fill="EAEEF3"/>
              </w:rPr>
              <w:t>E53_Lieu</w:t>
            </w:r>
            <w:r>
              <w:t>) (fictif)</w:t>
            </w:r>
          </w:p>
        </w:tc>
      </w:tr>
      <w:tr w:rsidR="00BF18CF" w14:paraId="09C3307D" w14:textId="77777777" w:rsidTr="00BF18CF">
        <w:tc>
          <w:tcPr>
            <w:tcW w:w="1864" w:type="dxa"/>
          </w:tcPr>
          <w:p w14:paraId="1CC0DCD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6" w:type="dxa"/>
          </w:tcPr>
          <w:p w14:paraId="2DE61F52" w14:textId="77777777" w:rsidR="00BF18CF" w:rsidRDefault="00E51347">
            <w:r>
              <w:t>P53(</w:t>
            </w:r>
            <w:proofErr w:type="gramStart"/>
            <w:r>
              <w:t>x,y</w:t>
            </w:r>
            <w:proofErr w:type="gramEnd"/>
            <w:r>
              <w:t>) ⇒ E18(x)</w:t>
            </w:r>
          </w:p>
          <w:p w14:paraId="704C4B20" w14:textId="77777777" w:rsidR="00BF18CF" w:rsidRDefault="00E51347">
            <w:r>
              <w:t>P53(</w:t>
            </w:r>
            <w:proofErr w:type="gramStart"/>
            <w:r>
              <w:t>x,y</w:t>
            </w:r>
            <w:proofErr w:type="gramEnd"/>
            <w:r>
              <w:t>) ⇒ E53(y)</w:t>
            </w:r>
          </w:p>
          <w:p w14:paraId="39EB0FA0" w14:textId="77777777" w:rsidR="00BF18CF" w:rsidRDefault="00E51347">
            <w:r>
              <w:t>P53(</w:t>
            </w:r>
            <w:proofErr w:type="gramStart"/>
            <w:r>
              <w:t>x,y</w:t>
            </w:r>
            <w:proofErr w:type="gramEnd"/>
            <w:r>
              <w:t>) ⇐ (∃z) [E9(z) ˄ P25i(x,z) ˄ [P26(z,y) ˅ P27(z,y)]]</w:t>
            </w:r>
          </w:p>
        </w:tc>
      </w:tr>
      <w:tr w:rsidR="00BF18CF" w14:paraId="4A959998" w14:textId="77777777" w:rsidTr="00BF18CF">
        <w:tc>
          <w:tcPr>
            <w:tcW w:w="1864" w:type="dxa"/>
          </w:tcPr>
          <w:p w14:paraId="2027EA3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26" w:type="dxa"/>
          </w:tcPr>
          <w:p w14:paraId="3650889C" w14:textId="77777777" w:rsidR="00BF18CF" w:rsidRDefault="00BF18CF">
            <w:pPr>
              <w:pBdr>
                <w:top w:val="nil"/>
                <w:left w:val="nil"/>
                <w:bottom w:val="nil"/>
                <w:right w:val="nil"/>
                <w:between w:val="nil"/>
              </w:pBdr>
              <w:spacing w:before="36" w:after="36"/>
              <w:rPr>
                <w:color w:val="000000"/>
              </w:rPr>
            </w:pPr>
          </w:p>
        </w:tc>
      </w:tr>
      <w:tr w:rsidR="00BF18CF" w14:paraId="3F8F7808" w14:textId="77777777" w:rsidTr="00BF18CF">
        <w:tc>
          <w:tcPr>
            <w:tcW w:w="1864" w:type="dxa"/>
          </w:tcPr>
          <w:p w14:paraId="68323CA6" w14:textId="6ECA0EC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6" w:type="dxa"/>
          </w:tcPr>
          <w:p w14:paraId="6A4DA3BD" w14:textId="77777777" w:rsidR="00BF18CF" w:rsidRDefault="00BF18CF">
            <w:pPr>
              <w:pBdr>
                <w:top w:val="nil"/>
                <w:left w:val="nil"/>
                <w:bottom w:val="nil"/>
                <w:right w:val="nil"/>
                <w:between w:val="nil"/>
              </w:pBdr>
              <w:spacing w:before="36" w:after="36"/>
              <w:rPr>
                <w:color w:val="000000"/>
              </w:rPr>
            </w:pPr>
          </w:p>
        </w:tc>
      </w:tr>
      <w:tr w:rsidR="00BF18CF" w14:paraId="23E404BC" w14:textId="77777777" w:rsidTr="00BF18CF">
        <w:tc>
          <w:tcPr>
            <w:tcW w:w="1864" w:type="dxa"/>
          </w:tcPr>
          <w:p w14:paraId="7DFC93B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6" w:type="dxa"/>
          </w:tcPr>
          <w:p w14:paraId="5DBC826A" w14:textId="77777777" w:rsidR="00BF18CF" w:rsidRDefault="00BF18CF">
            <w:pPr>
              <w:pBdr>
                <w:top w:val="nil"/>
                <w:left w:val="nil"/>
                <w:bottom w:val="nil"/>
                <w:right w:val="nil"/>
                <w:between w:val="nil"/>
              </w:pBdr>
              <w:spacing w:before="36" w:after="36"/>
              <w:rPr>
                <w:color w:val="000000"/>
              </w:rPr>
            </w:pPr>
          </w:p>
        </w:tc>
      </w:tr>
    </w:tbl>
    <w:p w14:paraId="7D966D2B" w14:textId="77777777" w:rsidR="00BF18CF" w:rsidRDefault="00E51347">
      <w:pPr>
        <w:pStyle w:val="Heading3"/>
      </w:pPr>
      <w:bookmarkStart w:id="363" w:name="bookmark=id.3kkl7fh" w:colFirst="0" w:colLast="0"/>
      <w:bookmarkStart w:id="364" w:name="_Toc144360925"/>
      <w:bookmarkEnd w:id="363"/>
      <w:r>
        <w:t>P54 a actuellement pour localisation fixe (est actuellement la location fixe de)</w:t>
      </w:r>
      <w:bookmarkEnd w:id="364"/>
    </w:p>
    <w:tbl>
      <w:tblPr>
        <w:tblStyle w:val="aff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9"/>
        <w:gridCol w:w="8831"/>
      </w:tblGrid>
      <w:tr w:rsidR="00BF18CF" w14:paraId="6DD2A313" w14:textId="77777777" w:rsidTr="00BF18CF">
        <w:tc>
          <w:tcPr>
            <w:tcW w:w="1859" w:type="dxa"/>
          </w:tcPr>
          <w:p w14:paraId="0EE718C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1" w:type="dxa"/>
          </w:tcPr>
          <w:p w14:paraId="52ADBA58" w14:textId="77777777" w:rsidR="00BF18CF" w:rsidRDefault="00E51347">
            <w:r>
              <w:rPr>
                <w:rFonts w:ascii="Consolas" w:eastAsia="Consolas" w:hAnsi="Consolas" w:cs="Consolas"/>
                <w:sz w:val="22"/>
                <w:szCs w:val="22"/>
                <w:shd w:val="clear" w:color="auto" w:fill="EAEEF3"/>
              </w:rPr>
              <w:t>E19_Objet_matériel</w:t>
            </w:r>
          </w:p>
        </w:tc>
      </w:tr>
      <w:tr w:rsidR="00BF18CF" w14:paraId="648E422E" w14:textId="77777777" w:rsidTr="00BF18CF">
        <w:tc>
          <w:tcPr>
            <w:tcW w:w="1859" w:type="dxa"/>
          </w:tcPr>
          <w:p w14:paraId="44C6F95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1" w:type="dxa"/>
          </w:tcPr>
          <w:p w14:paraId="2057D4DF" w14:textId="77777777" w:rsidR="00BF18CF" w:rsidRDefault="00E51347">
            <w:r>
              <w:rPr>
                <w:rFonts w:ascii="Consolas" w:eastAsia="Consolas" w:hAnsi="Consolas" w:cs="Consolas"/>
                <w:sz w:val="22"/>
                <w:szCs w:val="22"/>
                <w:shd w:val="clear" w:color="auto" w:fill="EAEEF3"/>
              </w:rPr>
              <w:t>E53_Lieu</w:t>
            </w:r>
          </w:p>
        </w:tc>
      </w:tr>
      <w:tr w:rsidR="00BF18CF" w14:paraId="140515D1" w14:textId="77777777" w:rsidTr="00BF18CF">
        <w:tc>
          <w:tcPr>
            <w:tcW w:w="1859" w:type="dxa"/>
          </w:tcPr>
          <w:p w14:paraId="408DD061"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1" w:type="dxa"/>
          </w:tcPr>
          <w:p w14:paraId="1B7FE1C5" w14:textId="77777777" w:rsidR="00BF18CF" w:rsidRDefault="00BF18CF">
            <w:pPr>
              <w:pBdr>
                <w:top w:val="nil"/>
                <w:left w:val="nil"/>
                <w:bottom w:val="nil"/>
                <w:right w:val="nil"/>
                <w:between w:val="nil"/>
              </w:pBdr>
              <w:spacing w:before="36" w:after="36"/>
              <w:rPr>
                <w:color w:val="000000"/>
              </w:rPr>
            </w:pPr>
          </w:p>
        </w:tc>
      </w:tr>
      <w:tr w:rsidR="00BF18CF" w14:paraId="5FF477C9" w14:textId="77777777" w:rsidTr="00BF18CF">
        <w:tc>
          <w:tcPr>
            <w:tcW w:w="1859" w:type="dxa"/>
          </w:tcPr>
          <w:p w14:paraId="22229ED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1" w:type="dxa"/>
          </w:tcPr>
          <w:p w14:paraId="25343C27" w14:textId="77777777" w:rsidR="00BF18CF" w:rsidRDefault="00BF18CF">
            <w:pPr>
              <w:pBdr>
                <w:top w:val="nil"/>
                <w:left w:val="nil"/>
                <w:bottom w:val="nil"/>
                <w:right w:val="nil"/>
                <w:between w:val="nil"/>
              </w:pBdr>
              <w:spacing w:before="36" w:after="36"/>
              <w:rPr>
                <w:color w:val="000000"/>
              </w:rPr>
            </w:pPr>
          </w:p>
        </w:tc>
      </w:tr>
      <w:tr w:rsidR="00BF18CF" w14:paraId="1A4D40D0" w14:textId="77777777" w:rsidTr="00BF18CF">
        <w:tc>
          <w:tcPr>
            <w:tcW w:w="1859" w:type="dxa"/>
          </w:tcPr>
          <w:p w14:paraId="40A44F2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1" w:type="dxa"/>
          </w:tcPr>
          <w:p w14:paraId="7A7CA184" w14:textId="77777777" w:rsidR="00BF18CF" w:rsidRDefault="00E51347">
            <w:proofErr w:type="gramStart"/>
            <w:r>
              <w:t>plusieurs</w:t>
            </w:r>
            <w:proofErr w:type="gramEnd"/>
            <w:r>
              <w:t xml:space="preserve"> à un (0,1:0,n)</w:t>
            </w:r>
          </w:p>
        </w:tc>
      </w:tr>
      <w:tr w:rsidR="00BF18CF" w14:paraId="2C18613B" w14:textId="77777777" w:rsidTr="00BF18CF">
        <w:tc>
          <w:tcPr>
            <w:tcW w:w="1859" w:type="dxa"/>
          </w:tcPr>
          <w:p w14:paraId="20BC28C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1" w:type="dxa"/>
          </w:tcPr>
          <w:p w14:paraId="6D75437D" w14:textId="77777777" w:rsidR="00BF18CF" w:rsidRDefault="00E51347">
            <w:r>
              <w:t xml:space="preserve">Cette propriété enregistre la localisation fixe prévue d’une instance de </w:t>
            </w:r>
            <w:r>
              <w:rPr>
                <w:rFonts w:ascii="Consolas" w:eastAsia="Consolas" w:hAnsi="Consolas" w:cs="Consolas"/>
                <w:sz w:val="22"/>
                <w:szCs w:val="22"/>
                <w:shd w:val="clear" w:color="auto" w:fill="EAEEF3"/>
              </w:rPr>
              <w:t>E19_Objet_matériel</w:t>
            </w:r>
            <w:r>
              <w:t xml:space="preserve"> au moment où l'information dans l'enregistrement ou la base de données contenant l'énoncé décrit par cette propriété était considérée valide.</w:t>
            </w:r>
          </w:p>
          <w:p w14:paraId="46AB1383" w14:textId="77777777" w:rsidR="00BF18CF" w:rsidRDefault="00E51347">
            <w:r>
              <w:rPr>
                <w:rFonts w:ascii="Consolas" w:eastAsia="Consolas" w:hAnsi="Consolas" w:cs="Consolas"/>
                <w:sz w:val="22"/>
                <w:szCs w:val="22"/>
                <w:shd w:val="clear" w:color="auto" w:fill="EAEEF3"/>
              </w:rPr>
              <w:t>P54_a_actuellement_pour_localisation_fixe (est_actuellement_la_localisation_fixe_de)</w:t>
            </w:r>
            <w:r>
              <w:t xml:space="preserve"> est semblable à </w:t>
            </w:r>
            <w:r>
              <w:rPr>
                <w:rFonts w:ascii="Consolas" w:eastAsia="Consolas" w:hAnsi="Consolas" w:cs="Consolas"/>
                <w:sz w:val="22"/>
                <w:szCs w:val="22"/>
                <w:shd w:val="clear" w:color="auto" w:fill="EAEEF3"/>
              </w:rPr>
              <w:t>P55_a_actuellement_pour_localisation (est_actuellement_la_localisation_de)</w:t>
            </w:r>
            <w:r>
              <w:t xml:space="preserve">. Cependant, cette propriété indique l’instance de </w:t>
            </w:r>
            <w:r>
              <w:rPr>
                <w:rFonts w:ascii="Consolas" w:eastAsia="Consolas" w:hAnsi="Consolas" w:cs="Consolas"/>
                <w:sz w:val="22"/>
                <w:szCs w:val="22"/>
                <w:shd w:val="clear" w:color="auto" w:fill="EAEEF3"/>
              </w:rPr>
              <w:t>E53_Lieu</w:t>
            </w:r>
            <w:r>
              <w:t xml:space="preserve"> actuellement réservée à un objet, tel que le lieu d’entreposage ou une localisation d’exposition </w:t>
            </w:r>
            <w:proofErr w:type="gramStart"/>
            <w:r>
              <w:t>fixe..</w:t>
            </w:r>
            <w:proofErr w:type="gramEnd"/>
            <w:r>
              <w:t xml:space="preserve"> L’objet peut être temporairement retiré de la localisation fixe, par exemple lorsqu’il est utilisé dans des expositions temporaires ou prêté à une autre institution. L’objet pourrait, en réalité, ne jamais être localisé à sa localisation fixe.</w:t>
            </w:r>
          </w:p>
        </w:tc>
      </w:tr>
      <w:tr w:rsidR="00BF18CF" w14:paraId="53721481" w14:textId="77777777" w:rsidTr="00BF18CF">
        <w:tc>
          <w:tcPr>
            <w:tcW w:w="1859" w:type="dxa"/>
          </w:tcPr>
          <w:p w14:paraId="3E56E9B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31" w:type="dxa"/>
          </w:tcPr>
          <w:p w14:paraId="27506CFE" w14:textId="77777777" w:rsidR="00BF18CF" w:rsidRDefault="00E51347">
            <w:pPr>
              <w:numPr>
                <w:ilvl w:val="0"/>
                <w:numId w:val="19"/>
              </w:numPr>
            </w:pPr>
            <w:r>
              <w:t>La coupe en argent « 232 » (</w:t>
            </w:r>
            <w:r>
              <w:rPr>
                <w:rFonts w:ascii="Consolas" w:eastAsia="Consolas" w:hAnsi="Consolas" w:cs="Consolas"/>
                <w:sz w:val="22"/>
                <w:szCs w:val="22"/>
                <w:shd w:val="clear" w:color="auto" w:fill="EAEEF3"/>
              </w:rPr>
              <w:t>E22_Objet_élaboré_par_l’humain</w:t>
            </w:r>
            <w:r>
              <w:t>) a actuellement pour localisation fixe (</w:t>
            </w:r>
            <w:r>
              <w:rPr>
                <w:rFonts w:ascii="Consolas" w:eastAsia="Consolas" w:hAnsi="Consolas" w:cs="Consolas"/>
                <w:sz w:val="22"/>
                <w:szCs w:val="22"/>
                <w:shd w:val="clear" w:color="auto" w:fill="EAEEF3"/>
              </w:rPr>
              <w:t>P54_a_actuellement_pour_localisation_fixe</w:t>
            </w:r>
            <w:r>
              <w:t>) Tablette 3.1, Réserve 2, Musée d’Oxford (</w:t>
            </w:r>
            <w:r>
              <w:rPr>
                <w:rFonts w:ascii="Consolas" w:eastAsia="Consolas" w:hAnsi="Consolas" w:cs="Consolas"/>
                <w:sz w:val="22"/>
                <w:szCs w:val="22"/>
                <w:shd w:val="clear" w:color="auto" w:fill="EAEEF3"/>
              </w:rPr>
              <w:t>E53_Lieu</w:t>
            </w:r>
            <w:r>
              <w:t>) (fictif)</w:t>
            </w:r>
          </w:p>
        </w:tc>
      </w:tr>
      <w:tr w:rsidR="00BF18CF" w14:paraId="225563A9" w14:textId="77777777" w:rsidTr="00BF18CF">
        <w:tc>
          <w:tcPr>
            <w:tcW w:w="1859" w:type="dxa"/>
          </w:tcPr>
          <w:p w14:paraId="5A897699"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31" w:type="dxa"/>
          </w:tcPr>
          <w:p w14:paraId="6697AE56" w14:textId="77777777" w:rsidR="00BF18CF" w:rsidRDefault="00E51347">
            <w:r>
              <w:t>P54(</w:t>
            </w:r>
            <w:proofErr w:type="gramStart"/>
            <w:r>
              <w:t>x,y</w:t>
            </w:r>
            <w:proofErr w:type="gramEnd"/>
            <w:r>
              <w:t>) ⇒ E19(x)</w:t>
            </w:r>
          </w:p>
          <w:p w14:paraId="64080284" w14:textId="77777777" w:rsidR="00BF18CF" w:rsidRDefault="00E51347">
            <w:r>
              <w:t>P54(</w:t>
            </w:r>
            <w:proofErr w:type="gramStart"/>
            <w:r>
              <w:t>x,y</w:t>
            </w:r>
            <w:proofErr w:type="gramEnd"/>
            <w:r>
              <w:t>) ⇒ E53(y)</w:t>
            </w:r>
          </w:p>
        </w:tc>
      </w:tr>
      <w:tr w:rsidR="00BF18CF" w14:paraId="382C83DB" w14:textId="77777777" w:rsidTr="00BF18CF">
        <w:tc>
          <w:tcPr>
            <w:tcW w:w="1859" w:type="dxa"/>
          </w:tcPr>
          <w:p w14:paraId="40DD1ED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1" w:type="dxa"/>
          </w:tcPr>
          <w:p w14:paraId="7DF4ECC7" w14:textId="77777777" w:rsidR="00BF18CF" w:rsidRDefault="00BF18CF">
            <w:pPr>
              <w:pBdr>
                <w:top w:val="nil"/>
                <w:left w:val="nil"/>
                <w:bottom w:val="nil"/>
                <w:right w:val="nil"/>
                <w:between w:val="nil"/>
              </w:pBdr>
              <w:spacing w:before="36" w:after="36"/>
              <w:rPr>
                <w:color w:val="000000"/>
              </w:rPr>
            </w:pPr>
          </w:p>
        </w:tc>
      </w:tr>
      <w:tr w:rsidR="00BF18CF" w14:paraId="3EFE292E" w14:textId="77777777" w:rsidTr="00BF18CF">
        <w:tc>
          <w:tcPr>
            <w:tcW w:w="1859" w:type="dxa"/>
          </w:tcPr>
          <w:p w14:paraId="1ECB4240" w14:textId="476053C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1" w:type="dxa"/>
          </w:tcPr>
          <w:p w14:paraId="76B954FB" w14:textId="77777777" w:rsidR="00BF18CF" w:rsidRDefault="00E51347">
            <w:r>
              <w:t>Lorsqu'il s'agit d'une adresse/d'un emplacement, l'usage de « fixe » plutôt que « permanent » est recommandé, car il fait référence à l'état durable de l'emplacement plutôt qu'à son caractère durable.</w:t>
            </w:r>
          </w:p>
        </w:tc>
      </w:tr>
      <w:tr w:rsidR="00BF18CF" w14:paraId="09193984" w14:textId="77777777" w:rsidTr="00BF18CF">
        <w:tc>
          <w:tcPr>
            <w:tcW w:w="1859" w:type="dxa"/>
          </w:tcPr>
          <w:p w14:paraId="377E974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1" w:type="dxa"/>
          </w:tcPr>
          <w:p w14:paraId="0E7DBF1B" w14:textId="77777777" w:rsidR="00BF18CF" w:rsidRDefault="00BF18CF">
            <w:pPr>
              <w:pBdr>
                <w:top w:val="nil"/>
                <w:left w:val="nil"/>
                <w:bottom w:val="nil"/>
                <w:right w:val="nil"/>
                <w:between w:val="nil"/>
              </w:pBdr>
              <w:spacing w:before="36" w:after="36"/>
              <w:rPr>
                <w:color w:val="000000"/>
              </w:rPr>
            </w:pPr>
          </w:p>
        </w:tc>
      </w:tr>
    </w:tbl>
    <w:p w14:paraId="27C0341A" w14:textId="77777777" w:rsidR="00BF18CF" w:rsidRDefault="00E51347">
      <w:pPr>
        <w:pStyle w:val="Heading3"/>
      </w:pPr>
      <w:bookmarkStart w:id="365" w:name="bookmark=id.1zpvhna" w:colFirst="0" w:colLast="0"/>
      <w:bookmarkStart w:id="366" w:name="_Toc144360926"/>
      <w:bookmarkEnd w:id="365"/>
      <w:r>
        <w:t>P55 a actuellement pour localisation (est actuellement la localisation de)</w:t>
      </w:r>
      <w:bookmarkEnd w:id="366"/>
    </w:p>
    <w:tbl>
      <w:tblPr>
        <w:tblStyle w:val="affff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1"/>
        <w:gridCol w:w="8829"/>
      </w:tblGrid>
      <w:tr w:rsidR="00BF18CF" w14:paraId="770977AE" w14:textId="77777777" w:rsidTr="00BF18CF">
        <w:tc>
          <w:tcPr>
            <w:tcW w:w="1861" w:type="dxa"/>
          </w:tcPr>
          <w:p w14:paraId="139B974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9" w:type="dxa"/>
          </w:tcPr>
          <w:p w14:paraId="53080DE2" w14:textId="77777777" w:rsidR="00BF18CF" w:rsidRDefault="00E51347">
            <w:r>
              <w:rPr>
                <w:rFonts w:ascii="Consolas" w:eastAsia="Consolas" w:hAnsi="Consolas" w:cs="Consolas"/>
                <w:sz w:val="22"/>
                <w:szCs w:val="22"/>
                <w:shd w:val="clear" w:color="auto" w:fill="EAEEF3"/>
              </w:rPr>
              <w:t>E19_Objet_matériel</w:t>
            </w:r>
          </w:p>
        </w:tc>
      </w:tr>
      <w:tr w:rsidR="00BF18CF" w14:paraId="150FEA8F" w14:textId="77777777" w:rsidTr="00BF18CF">
        <w:tc>
          <w:tcPr>
            <w:tcW w:w="1861" w:type="dxa"/>
          </w:tcPr>
          <w:p w14:paraId="4141539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9" w:type="dxa"/>
          </w:tcPr>
          <w:p w14:paraId="02306143" w14:textId="77777777" w:rsidR="00BF18CF" w:rsidRDefault="00E51347">
            <w:r>
              <w:rPr>
                <w:rFonts w:ascii="Consolas" w:eastAsia="Consolas" w:hAnsi="Consolas" w:cs="Consolas"/>
                <w:sz w:val="22"/>
                <w:szCs w:val="22"/>
                <w:shd w:val="clear" w:color="auto" w:fill="EAEEF3"/>
              </w:rPr>
              <w:t>E53_Lieu</w:t>
            </w:r>
          </w:p>
        </w:tc>
      </w:tr>
      <w:tr w:rsidR="00BF18CF" w14:paraId="3B0497B0" w14:textId="77777777" w:rsidTr="00BF18CF">
        <w:tc>
          <w:tcPr>
            <w:tcW w:w="1861" w:type="dxa"/>
          </w:tcPr>
          <w:p w14:paraId="1EA631A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29" w:type="dxa"/>
          </w:tcPr>
          <w:p w14:paraId="68CC1CB3" w14:textId="77777777" w:rsidR="00BF18CF" w:rsidRDefault="00E51347">
            <w:r>
              <w:rPr>
                <w:rFonts w:ascii="Consolas" w:eastAsia="Consolas" w:hAnsi="Consolas" w:cs="Consolas"/>
                <w:sz w:val="22"/>
                <w:szCs w:val="22"/>
                <w:shd w:val="clear" w:color="auto" w:fill="EAEEF3"/>
              </w:rPr>
              <w:t>E18_Chose_matérielle</w:t>
            </w:r>
            <w:r>
              <w:t>.</w:t>
            </w:r>
          </w:p>
          <w:p w14:paraId="7975E5FA" w14:textId="77777777" w:rsidR="00BF18CF" w:rsidRDefault="00E51347">
            <w:r>
              <w:rPr>
                <w:rFonts w:ascii="Consolas" w:eastAsia="Consolas" w:hAnsi="Consolas" w:cs="Consolas"/>
                <w:sz w:val="22"/>
                <w:szCs w:val="22"/>
                <w:shd w:val="clear" w:color="auto" w:fill="EAEEF3"/>
              </w:rPr>
              <w:t>P53_a_pour_localisation_actuelle_ou_antérieure (est_la_localisation_actuelle_ou_antérieure_de)</w:t>
            </w:r>
            <w:r>
              <w:t xml:space="preserve"> :</w:t>
            </w:r>
            <w:r>
              <w:rPr>
                <w:rFonts w:ascii="Consolas" w:eastAsia="Consolas" w:hAnsi="Consolas" w:cs="Consolas"/>
                <w:sz w:val="22"/>
                <w:szCs w:val="22"/>
                <w:shd w:val="clear" w:color="auto" w:fill="EAEEF3"/>
              </w:rPr>
              <w:t xml:space="preserve"> E53_Lieu</w:t>
            </w:r>
          </w:p>
        </w:tc>
      </w:tr>
      <w:tr w:rsidR="00BF18CF" w14:paraId="04C55169" w14:textId="77777777" w:rsidTr="00BF18CF">
        <w:tc>
          <w:tcPr>
            <w:tcW w:w="1861" w:type="dxa"/>
          </w:tcPr>
          <w:p w14:paraId="3A3C1C1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9" w:type="dxa"/>
          </w:tcPr>
          <w:p w14:paraId="2F0F9B4B" w14:textId="77777777" w:rsidR="00BF18CF" w:rsidRDefault="00BF18CF">
            <w:pPr>
              <w:pBdr>
                <w:top w:val="nil"/>
                <w:left w:val="nil"/>
                <w:bottom w:val="nil"/>
                <w:right w:val="nil"/>
                <w:between w:val="nil"/>
              </w:pBdr>
              <w:spacing w:before="36" w:after="36"/>
              <w:rPr>
                <w:color w:val="000000"/>
              </w:rPr>
            </w:pPr>
          </w:p>
        </w:tc>
      </w:tr>
      <w:tr w:rsidR="00BF18CF" w14:paraId="43A4F211" w14:textId="77777777" w:rsidTr="00BF18CF">
        <w:tc>
          <w:tcPr>
            <w:tcW w:w="1861" w:type="dxa"/>
          </w:tcPr>
          <w:p w14:paraId="20D0CF5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9" w:type="dxa"/>
          </w:tcPr>
          <w:p w14:paraId="05AFC854" w14:textId="77777777" w:rsidR="00BF18CF" w:rsidRDefault="00E51347">
            <w:proofErr w:type="gramStart"/>
            <w:r>
              <w:t>plusieurs</w:t>
            </w:r>
            <w:proofErr w:type="gramEnd"/>
            <w:r>
              <w:t xml:space="preserve"> à plusieurs (0,n:0,n)</w:t>
            </w:r>
          </w:p>
        </w:tc>
      </w:tr>
      <w:tr w:rsidR="00BF18CF" w14:paraId="6797CA34" w14:textId="77777777" w:rsidTr="00BF18CF">
        <w:tc>
          <w:tcPr>
            <w:tcW w:w="1861" w:type="dxa"/>
          </w:tcPr>
          <w:p w14:paraId="29E74ED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29" w:type="dxa"/>
          </w:tcPr>
          <w:p w14:paraId="29C77D32" w14:textId="77777777" w:rsidR="00BF18CF" w:rsidRDefault="00E51347">
            <w:r>
              <w:t xml:space="preserve">Cette propriété enregistre la localisation d’une instance de </w:t>
            </w:r>
            <w:r>
              <w:rPr>
                <w:rFonts w:ascii="Consolas" w:eastAsia="Consolas" w:hAnsi="Consolas" w:cs="Consolas"/>
                <w:sz w:val="22"/>
                <w:szCs w:val="22"/>
                <w:shd w:val="clear" w:color="auto" w:fill="EAEEF3"/>
              </w:rPr>
              <w:t>E19_Objet_matériel</w:t>
            </w:r>
            <w:r>
              <w:t xml:space="preserve"> au moment où l'information dans l'enregistrement ou la base de données contenant l'énoncé décrit par cette propriété était considérée valide.</w:t>
            </w:r>
          </w:p>
          <w:p w14:paraId="651AB5C3" w14:textId="77777777" w:rsidR="00BF18CF" w:rsidRDefault="00E51347">
            <w:r>
              <w:t xml:space="preserve">Cette propriété est une sous-propriété de </w:t>
            </w:r>
            <w:r>
              <w:rPr>
                <w:rFonts w:ascii="Consolas" w:eastAsia="Consolas" w:hAnsi="Consolas" w:cs="Consolas"/>
                <w:sz w:val="22"/>
                <w:szCs w:val="22"/>
                <w:shd w:val="clear" w:color="auto" w:fill="EAEEF3"/>
              </w:rPr>
              <w:t>P53_a_pour localisation actuelle ou antérieure (est_la_localisation_actuelle_ou_antérieure_de)</w:t>
            </w:r>
            <w:r>
              <w:t xml:space="preserve">. La propriété indique que l’instance de </w:t>
            </w:r>
            <w:r>
              <w:rPr>
                <w:rFonts w:ascii="Consolas" w:eastAsia="Consolas" w:hAnsi="Consolas" w:cs="Consolas"/>
                <w:sz w:val="22"/>
                <w:szCs w:val="22"/>
                <w:shd w:val="clear" w:color="auto" w:fill="EAEEF3"/>
              </w:rPr>
              <w:t>E53_Lieu</w:t>
            </w:r>
            <w:r>
              <w:t xml:space="preserve"> associée à l’instance de </w:t>
            </w:r>
            <w:r>
              <w:rPr>
                <w:rFonts w:ascii="Consolas" w:eastAsia="Consolas" w:hAnsi="Consolas" w:cs="Consolas"/>
                <w:sz w:val="22"/>
                <w:szCs w:val="22"/>
                <w:shd w:val="clear" w:color="auto" w:fill="EAEEF3"/>
              </w:rPr>
              <w:t>E19_Objet_matériel</w:t>
            </w:r>
            <w:r>
              <w:t xml:space="preserve"> est la localisation de l’objet. La propriété ne permet pas d’indiquer depuis combien de temps l’objet se trouve à la localisation actuelle.</w:t>
            </w:r>
          </w:p>
          <w:p w14:paraId="4CBBE86F" w14:textId="77777777" w:rsidR="00BF18CF" w:rsidRDefault="00E51347">
            <w:r>
              <w:t>Cette propriété est un raccourci du chemin sémantique suivant :</w:t>
            </w:r>
          </w:p>
          <w:p w14:paraId="5FD0C80F" w14:textId="77777777" w:rsidR="00BF18CF" w:rsidRDefault="00E51347">
            <w:r>
              <w:rPr>
                <w:rFonts w:ascii="Consolas" w:eastAsia="Consolas" w:hAnsi="Consolas" w:cs="Consolas"/>
                <w:sz w:val="22"/>
                <w:szCs w:val="22"/>
                <w:shd w:val="clear" w:color="auto" w:fill="EAEEF3"/>
              </w:rPr>
              <w:t>E19_Objet_matériel</w:t>
            </w:r>
            <w:r>
              <w:t xml:space="preserve">, </w:t>
            </w:r>
            <w:r>
              <w:rPr>
                <w:rFonts w:ascii="Consolas" w:eastAsia="Consolas" w:hAnsi="Consolas" w:cs="Consolas"/>
                <w:sz w:val="22"/>
                <w:szCs w:val="22"/>
                <w:shd w:val="clear" w:color="auto" w:fill="EAEEF3"/>
              </w:rPr>
              <w:t>P25i_a_été_déplacé_par</w:t>
            </w:r>
            <w:r>
              <w:t xml:space="preserve">, </w:t>
            </w:r>
            <w:r>
              <w:rPr>
                <w:rFonts w:ascii="Consolas" w:eastAsia="Consolas" w:hAnsi="Consolas" w:cs="Consolas"/>
                <w:sz w:val="22"/>
                <w:szCs w:val="22"/>
                <w:shd w:val="clear" w:color="auto" w:fill="EAEEF3"/>
              </w:rPr>
              <w:t>E9_Déplacement</w:t>
            </w:r>
            <w:r>
              <w:t xml:space="preserve">, </w:t>
            </w:r>
            <w:r>
              <w:rPr>
                <w:rFonts w:ascii="Consolas" w:eastAsia="Consolas" w:hAnsi="Consolas" w:cs="Consolas"/>
                <w:sz w:val="22"/>
                <w:szCs w:val="22"/>
                <w:shd w:val="clear" w:color="auto" w:fill="EAEEF3"/>
              </w:rPr>
              <w:t>P26_Move_to</w:t>
            </w:r>
            <w:r>
              <w:t xml:space="preserve">, </w:t>
            </w:r>
            <w:r>
              <w:rPr>
                <w:rFonts w:ascii="Consolas" w:eastAsia="Consolas" w:hAnsi="Consolas" w:cs="Consolas"/>
                <w:sz w:val="22"/>
                <w:szCs w:val="22"/>
                <w:shd w:val="clear" w:color="auto" w:fill="EAEEF3"/>
              </w:rPr>
              <w:t>P26_a_déplacé_vers</w:t>
            </w:r>
            <w:r>
              <w:t>,</w:t>
            </w:r>
            <w:r>
              <w:rPr>
                <w:rFonts w:ascii="Consolas" w:eastAsia="Consolas" w:hAnsi="Consolas" w:cs="Consolas"/>
                <w:sz w:val="22"/>
                <w:szCs w:val="22"/>
                <w:shd w:val="clear" w:color="auto" w:fill="EAEEF3"/>
              </w:rPr>
              <w:t xml:space="preserve"> E53_Lieu</w:t>
            </w:r>
            <w:r>
              <w:t>, si et seulement si ce déplacement est le plus récent.</w:t>
            </w:r>
          </w:p>
        </w:tc>
      </w:tr>
      <w:tr w:rsidR="00BF18CF" w14:paraId="3B9D1A2D" w14:textId="77777777" w:rsidTr="00BF18CF">
        <w:tc>
          <w:tcPr>
            <w:tcW w:w="1861" w:type="dxa"/>
          </w:tcPr>
          <w:p w14:paraId="4535162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29" w:type="dxa"/>
          </w:tcPr>
          <w:p w14:paraId="20A02AF7" w14:textId="77777777" w:rsidR="00BF18CF" w:rsidRDefault="00E51347">
            <w:pPr>
              <w:numPr>
                <w:ilvl w:val="0"/>
                <w:numId w:val="19"/>
              </w:numPr>
            </w:pPr>
            <w:r>
              <w:t>La coupe en argent « 232 » (</w:t>
            </w:r>
            <w:r>
              <w:rPr>
                <w:rFonts w:ascii="Consolas" w:eastAsia="Consolas" w:hAnsi="Consolas" w:cs="Consolas"/>
                <w:sz w:val="22"/>
                <w:szCs w:val="22"/>
                <w:shd w:val="clear" w:color="auto" w:fill="EAEEF3"/>
              </w:rPr>
              <w:t>E22_Objet_élaboré_par_l’humain</w:t>
            </w:r>
            <w:r>
              <w:t>) a actuellement pour localisation (</w:t>
            </w:r>
            <w:r>
              <w:rPr>
                <w:rFonts w:ascii="Consolas" w:eastAsia="Consolas" w:hAnsi="Consolas" w:cs="Consolas"/>
                <w:sz w:val="22"/>
                <w:szCs w:val="22"/>
                <w:shd w:val="clear" w:color="auto" w:fill="EAEEF3"/>
              </w:rPr>
              <w:t>P55_a_actuellement_pour_localisation</w:t>
            </w:r>
            <w:r>
              <w:t>) la Vitrine n</w:t>
            </w:r>
            <w:r>
              <w:rPr>
                <w:vertAlign w:val="superscript"/>
              </w:rPr>
              <w:t>o</w:t>
            </w:r>
            <w:r>
              <w:t xml:space="preserve"> 23 dans la salle n</w:t>
            </w:r>
            <w:r>
              <w:rPr>
                <w:vertAlign w:val="superscript"/>
              </w:rPr>
              <w:t>o</w:t>
            </w:r>
            <w:r>
              <w:t xml:space="preserve"> 4 du British Museum (</w:t>
            </w:r>
            <w:r>
              <w:rPr>
                <w:rFonts w:ascii="Consolas" w:eastAsia="Consolas" w:hAnsi="Consolas" w:cs="Consolas"/>
                <w:sz w:val="22"/>
                <w:szCs w:val="22"/>
                <w:shd w:val="clear" w:color="auto" w:fill="EAEEF3"/>
              </w:rPr>
              <w:t>E53_Lieu</w:t>
            </w:r>
            <w:r>
              <w:t>) (fictif)</w:t>
            </w:r>
          </w:p>
        </w:tc>
      </w:tr>
      <w:tr w:rsidR="00BF18CF" w14:paraId="48D5B262" w14:textId="77777777" w:rsidTr="00BF18CF">
        <w:tc>
          <w:tcPr>
            <w:tcW w:w="1861" w:type="dxa"/>
          </w:tcPr>
          <w:p w14:paraId="1501FF06"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9" w:type="dxa"/>
          </w:tcPr>
          <w:p w14:paraId="08A15862" w14:textId="77777777" w:rsidR="00BF18CF" w:rsidRDefault="00E51347">
            <w:r>
              <w:t>P55(</w:t>
            </w:r>
            <w:proofErr w:type="gramStart"/>
            <w:r>
              <w:t>x,y</w:t>
            </w:r>
            <w:proofErr w:type="gramEnd"/>
            <w:r>
              <w:t>) ⇒ E19(x)</w:t>
            </w:r>
          </w:p>
          <w:p w14:paraId="30C85ADB" w14:textId="77777777" w:rsidR="00BF18CF" w:rsidRDefault="00E51347">
            <w:r>
              <w:t>P55(</w:t>
            </w:r>
            <w:proofErr w:type="gramStart"/>
            <w:r>
              <w:t>x,y</w:t>
            </w:r>
            <w:proofErr w:type="gramEnd"/>
            <w:r>
              <w:t>) ⇒ E53(y)</w:t>
            </w:r>
          </w:p>
          <w:p w14:paraId="11524054" w14:textId="77777777" w:rsidR="00BF18CF" w:rsidRDefault="00E51347">
            <w:r>
              <w:t>P55(</w:t>
            </w:r>
            <w:proofErr w:type="gramStart"/>
            <w:r>
              <w:t>x,y</w:t>
            </w:r>
            <w:proofErr w:type="gramEnd"/>
            <w:r>
              <w:t>) ⇒ P53(x,y)</w:t>
            </w:r>
          </w:p>
          <w:p w14:paraId="1B7A95E8" w14:textId="77777777" w:rsidR="00BF18CF" w:rsidRDefault="00E51347">
            <w:r>
              <w:t>P55(</w:t>
            </w:r>
            <w:proofErr w:type="gramStart"/>
            <w:r>
              <w:t>x,y</w:t>
            </w:r>
            <w:proofErr w:type="gramEnd"/>
            <w:r>
              <w:t>) ⇐ (∃z) [E9(z) ˄ P25i(z,x) ˄ P26(z,y)]</w:t>
            </w:r>
          </w:p>
        </w:tc>
      </w:tr>
      <w:tr w:rsidR="00BF18CF" w14:paraId="0989ECBD" w14:textId="77777777" w:rsidTr="00BF18CF">
        <w:tc>
          <w:tcPr>
            <w:tcW w:w="1861" w:type="dxa"/>
          </w:tcPr>
          <w:p w14:paraId="49292FEB"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829" w:type="dxa"/>
          </w:tcPr>
          <w:p w14:paraId="4C202DCD" w14:textId="77777777" w:rsidR="00BF18CF" w:rsidRDefault="00BF18CF">
            <w:pPr>
              <w:pBdr>
                <w:top w:val="nil"/>
                <w:left w:val="nil"/>
                <w:bottom w:val="nil"/>
                <w:right w:val="nil"/>
                <w:between w:val="nil"/>
              </w:pBdr>
              <w:spacing w:before="36" w:after="36"/>
              <w:rPr>
                <w:color w:val="000000"/>
              </w:rPr>
            </w:pPr>
          </w:p>
        </w:tc>
      </w:tr>
      <w:tr w:rsidR="00BF18CF" w14:paraId="374F4804" w14:textId="77777777" w:rsidTr="00BF18CF">
        <w:tc>
          <w:tcPr>
            <w:tcW w:w="1861" w:type="dxa"/>
          </w:tcPr>
          <w:p w14:paraId="0B4BCB48" w14:textId="58AE338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9" w:type="dxa"/>
          </w:tcPr>
          <w:p w14:paraId="75C23A9B" w14:textId="77777777" w:rsidR="00BF18CF" w:rsidRDefault="00BF18CF">
            <w:pPr>
              <w:pBdr>
                <w:top w:val="nil"/>
                <w:left w:val="nil"/>
                <w:bottom w:val="nil"/>
                <w:right w:val="nil"/>
                <w:between w:val="nil"/>
              </w:pBdr>
              <w:spacing w:before="36" w:after="36"/>
              <w:rPr>
                <w:color w:val="000000"/>
              </w:rPr>
            </w:pPr>
          </w:p>
        </w:tc>
      </w:tr>
      <w:tr w:rsidR="00BF18CF" w14:paraId="3ADCB009" w14:textId="77777777" w:rsidTr="00BF18CF">
        <w:tc>
          <w:tcPr>
            <w:tcW w:w="1861" w:type="dxa"/>
          </w:tcPr>
          <w:p w14:paraId="778A971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9" w:type="dxa"/>
          </w:tcPr>
          <w:p w14:paraId="1AD3652A" w14:textId="77777777" w:rsidR="00BF18CF" w:rsidRDefault="00BF18CF">
            <w:pPr>
              <w:pBdr>
                <w:top w:val="nil"/>
                <w:left w:val="nil"/>
                <w:bottom w:val="nil"/>
                <w:right w:val="nil"/>
                <w:between w:val="nil"/>
              </w:pBdr>
              <w:spacing w:before="36" w:after="36"/>
              <w:rPr>
                <w:color w:val="000000"/>
              </w:rPr>
            </w:pPr>
          </w:p>
        </w:tc>
      </w:tr>
    </w:tbl>
    <w:p w14:paraId="3F5A1074" w14:textId="77777777" w:rsidR="00BF18CF" w:rsidRDefault="00E51347">
      <w:pPr>
        <w:pStyle w:val="Heading3"/>
      </w:pPr>
      <w:bookmarkStart w:id="367" w:name="bookmark=id.4jpj0b3" w:colFirst="0" w:colLast="0"/>
      <w:bookmarkStart w:id="368" w:name="_Toc144360927"/>
      <w:bookmarkEnd w:id="367"/>
      <w:r>
        <w:t>P56 a pour caractéristique (se trouve sur)</w:t>
      </w:r>
      <w:bookmarkEnd w:id="368"/>
    </w:p>
    <w:tbl>
      <w:tblPr>
        <w:tblStyle w:val="afff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5"/>
        <w:gridCol w:w="8835"/>
      </w:tblGrid>
      <w:tr w:rsidR="00BF18CF" w14:paraId="0937C8A9" w14:textId="77777777" w:rsidTr="00BF18CF">
        <w:tc>
          <w:tcPr>
            <w:tcW w:w="1855" w:type="dxa"/>
          </w:tcPr>
          <w:p w14:paraId="7D35FB0B"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5" w:type="dxa"/>
          </w:tcPr>
          <w:p w14:paraId="1AECCB16" w14:textId="77777777" w:rsidR="00BF18CF" w:rsidRDefault="00E51347">
            <w:r>
              <w:rPr>
                <w:rFonts w:ascii="Consolas" w:eastAsia="Consolas" w:hAnsi="Consolas" w:cs="Consolas"/>
                <w:sz w:val="22"/>
                <w:szCs w:val="22"/>
                <w:shd w:val="clear" w:color="auto" w:fill="EAEEF3"/>
              </w:rPr>
              <w:t>E19_Objet_matériel</w:t>
            </w:r>
          </w:p>
        </w:tc>
      </w:tr>
      <w:tr w:rsidR="00BF18CF" w14:paraId="6E844F85" w14:textId="77777777" w:rsidTr="00BF18CF">
        <w:tc>
          <w:tcPr>
            <w:tcW w:w="1855" w:type="dxa"/>
          </w:tcPr>
          <w:p w14:paraId="3C19C1AE"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5" w:type="dxa"/>
          </w:tcPr>
          <w:p w14:paraId="4327F239" w14:textId="77777777" w:rsidR="00BF18CF" w:rsidRDefault="00E51347">
            <w:r>
              <w:rPr>
                <w:rFonts w:ascii="Consolas" w:eastAsia="Consolas" w:hAnsi="Consolas" w:cs="Consolas"/>
                <w:sz w:val="22"/>
                <w:szCs w:val="22"/>
                <w:shd w:val="clear" w:color="auto" w:fill="EAEEF3"/>
              </w:rPr>
              <w:t>E26_Caractéristique_physique</w:t>
            </w:r>
          </w:p>
        </w:tc>
      </w:tr>
      <w:tr w:rsidR="00BF18CF" w14:paraId="11E41CAF" w14:textId="77777777" w:rsidTr="00BF18CF">
        <w:tc>
          <w:tcPr>
            <w:tcW w:w="1855" w:type="dxa"/>
          </w:tcPr>
          <w:p w14:paraId="64EB80D9"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5" w:type="dxa"/>
          </w:tcPr>
          <w:p w14:paraId="39BAF573"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P46_est_composé_de (fait_partie_de)</w:t>
            </w:r>
          </w:p>
          <w:p w14:paraId="546716D7" w14:textId="77777777" w:rsidR="00BF18CF" w:rsidRDefault="00E51347">
            <w:r>
              <w:t xml:space="preserve">: </w:t>
            </w:r>
            <w:r>
              <w:rPr>
                <w:rFonts w:ascii="Consolas" w:eastAsia="Consolas" w:hAnsi="Consolas" w:cs="Consolas"/>
                <w:sz w:val="22"/>
                <w:szCs w:val="22"/>
                <w:shd w:val="clear" w:color="auto" w:fill="EAEEF3"/>
              </w:rPr>
              <w:t>E18_Chose_matérielle</w:t>
            </w:r>
          </w:p>
        </w:tc>
      </w:tr>
      <w:tr w:rsidR="00BF18CF" w14:paraId="0939DDE0" w14:textId="77777777" w:rsidTr="00BF18CF">
        <w:tc>
          <w:tcPr>
            <w:tcW w:w="1855" w:type="dxa"/>
          </w:tcPr>
          <w:p w14:paraId="772D3299"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5" w:type="dxa"/>
          </w:tcPr>
          <w:p w14:paraId="1BFB0D4C" w14:textId="77777777" w:rsidR="00BF18CF" w:rsidRDefault="00BF18CF">
            <w:pPr>
              <w:pBdr>
                <w:top w:val="nil"/>
                <w:left w:val="nil"/>
                <w:bottom w:val="nil"/>
                <w:right w:val="nil"/>
                <w:between w:val="nil"/>
              </w:pBdr>
              <w:spacing w:before="36" w:after="36"/>
              <w:rPr>
                <w:color w:val="000000"/>
              </w:rPr>
            </w:pPr>
          </w:p>
        </w:tc>
      </w:tr>
      <w:tr w:rsidR="00BF18CF" w14:paraId="17DB2157" w14:textId="77777777" w:rsidTr="00BF18CF">
        <w:tc>
          <w:tcPr>
            <w:tcW w:w="1855" w:type="dxa"/>
          </w:tcPr>
          <w:p w14:paraId="0C0195D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5" w:type="dxa"/>
          </w:tcPr>
          <w:p w14:paraId="33DF4808" w14:textId="77777777" w:rsidR="00BF18CF" w:rsidRDefault="00E51347">
            <w:proofErr w:type="gramStart"/>
            <w:r>
              <w:t>un</w:t>
            </w:r>
            <w:proofErr w:type="gramEnd"/>
            <w:r>
              <w:t xml:space="preserve"> à plusieurs, dépendant (0,n:1,1)</w:t>
            </w:r>
          </w:p>
        </w:tc>
      </w:tr>
      <w:tr w:rsidR="00BF18CF" w14:paraId="7D22CF30" w14:textId="77777777" w:rsidTr="00BF18CF">
        <w:tc>
          <w:tcPr>
            <w:tcW w:w="1855" w:type="dxa"/>
          </w:tcPr>
          <w:p w14:paraId="4C9AD68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5" w:type="dxa"/>
          </w:tcPr>
          <w:p w14:paraId="6B25D828" w14:textId="77777777" w:rsidR="00BF18CF" w:rsidRDefault="00E51347">
            <w:r>
              <w:t xml:space="preserve">Cette propriété lie une instance de </w:t>
            </w:r>
            <w:r>
              <w:rPr>
                <w:rFonts w:ascii="Consolas" w:eastAsia="Consolas" w:hAnsi="Consolas" w:cs="Consolas"/>
                <w:sz w:val="22"/>
                <w:szCs w:val="22"/>
                <w:shd w:val="clear" w:color="auto" w:fill="EAEEF3"/>
              </w:rPr>
              <w:t>E19_Objet_matériel</w:t>
            </w:r>
            <w:r>
              <w:t xml:space="preserve"> à une instance de </w:t>
            </w:r>
            <w:r>
              <w:rPr>
                <w:rFonts w:ascii="Consolas" w:eastAsia="Consolas" w:hAnsi="Consolas" w:cs="Consolas"/>
                <w:sz w:val="22"/>
                <w:szCs w:val="22"/>
                <w:shd w:val="clear" w:color="auto" w:fill="EAEEF3"/>
              </w:rPr>
              <w:t>E26_Caractéristique_physique</w:t>
            </w:r>
            <w:r>
              <w:t xml:space="preserve"> qu’elle porte.</w:t>
            </w:r>
          </w:p>
          <w:p w14:paraId="25E256D1" w14:textId="77777777" w:rsidR="00BF18CF" w:rsidRDefault="00E51347">
            <w:r>
              <w:t xml:space="preserve">Une instance de </w:t>
            </w:r>
            <w:r>
              <w:rPr>
                <w:rFonts w:ascii="Consolas" w:eastAsia="Consolas" w:hAnsi="Consolas" w:cs="Consolas"/>
                <w:sz w:val="22"/>
                <w:szCs w:val="22"/>
                <w:shd w:val="clear" w:color="auto" w:fill="EAEEF3"/>
              </w:rPr>
              <w:t>E26_Caractéristique_physique</w:t>
            </w:r>
          </w:p>
          <w:p w14:paraId="77295322" w14:textId="77777777" w:rsidR="00BF18CF" w:rsidRDefault="00E51347">
            <w:proofErr w:type="gramStart"/>
            <w:r>
              <w:t>peut</w:t>
            </w:r>
            <w:proofErr w:type="gramEnd"/>
            <w:r>
              <w:t xml:space="preserve"> seulement caractériser un objet. Un objet peut être porteur de plus d’une </w:t>
            </w:r>
            <w:r>
              <w:rPr>
                <w:rFonts w:ascii="Consolas" w:eastAsia="Consolas" w:hAnsi="Consolas" w:cs="Consolas"/>
                <w:sz w:val="22"/>
                <w:szCs w:val="22"/>
                <w:shd w:val="clear" w:color="auto" w:fill="EAEEF3"/>
              </w:rPr>
              <w:t>E26_Caractéristique_physique</w:t>
            </w:r>
            <w:r>
              <w:t xml:space="preserve">. Une instance de </w:t>
            </w:r>
            <w:r>
              <w:rPr>
                <w:rFonts w:ascii="Consolas" w:eastAsia="Consolas" w:hAnsi="Consolas" w:cs="Consolas"/>
                <w:sz w:val="22"/>
                <w:szCs w:val="22"/>
                <w:shd w:val="clear" w:color="auto" w:fill="EAEEF3"/>
              </w:rPr>
              <w:t>E27_Site</w:t>
            </w:r>
            <w:r>
              <w:t xml:space="preserve"> devrait être considérée comme une instance de </w:t>
            </w:r>
            <w:r>
              <w:rPr>
                <w:rFonts w:ascii="Consolas" w:eastAsia="Consolas" w:hAnsi="Consolas" w:cs="Consolas"/>
                <w:sz w:val="22"/>
                <w:szCs w:val="22"/>
                <w:shd w:val="clear" w:color="auto" w:fill="EAEEF3"/>
              </w:rPr>
              <w:t>E26_Caractéristique_physique</w:t>
            </w:r>
            <w:r>
              <w:t xml:space="preserve"> à la surface de la Terre.</w:t>
            </w:r>
          </w:p>
          <w:p w14:paraId="07673CEF" w14:textId="77777777" w:rsidR="00BF18CF" w:rsidRDefault="00E51347">
            <w:r>
              <w:t xml:space="preserve">Une instance B de </w:t>
            </w:r>
            <w:r>
              <w:rPr>
                <w:rFonts w:ascii="Consolas" w:eastAsia="Consolas" w:hAnsi="Consolas" w:cs="Consolas"/>
                <w:sz w:val="22"/>
                <w:szCs w:val="22"/>
                <w:shd w:val="clear" w:color="auto" w:fill="EAEEF3"/>
              </w:rPr>
              <w:t>E26_Caractéristique_physique</w:t>
            </w:r>
            <w:r>
              <w:t xml:space="preserve"> étant un détail structurel d’une instance A de </w:t>
            </w:r>
            <w:r>
              <w:rPr>
                <w:rFonts w:ascii="Consolas" w:eastAsia="Consolas" w:hAnsi="Consolas" w:cs="Consolas"/>
                <w:sz w:val="22"/>
                <w:szCs w:val="22"/>
                <w:shd w:val="clear" w:color="auto" w:fill="EAEEF3"/>
              </w:rPr>
              <w:t>E26_Caractéristique_physique</w:t>
            </w:r>
            <w:r>
              <w:t xml:space="preserve">, celle-ci peut être liée à l’instance B par l’utilisation de la propriété </w:t>
            </w:r>
            <w:r>
              <w:rPr>
                <w:rFonts w:ascii="Consolas" w:eastAsia="Consolas" w:hAnsi="Consolas" w:cs="Consolas"/>
                <w:sz w:val="22"/>
                <w:szCs w:val="22"/>
                <w:shd w:val="clear" w:color="auto" w:fill="EAEEF3"/>
              </w:rPr>
              <w:t>P46_est_composé_de (fait_partie_de)</w:t>
            </w:r>
            <w:r>
              <w:t>. Cela implique que la sous-caractéristique de l’instance B (</w:t>
            </w:r>
            <w:r>
              <w:rPr>
                <w:rFonts w:ascii="Consolas" w:eastAsia="Consolas" w:hAnsi="Consolas" w:cs="Consolas"/>
                <w:sz w:val="22"/>
                <w:szCs w:val="22"/>
                <w:shd w:val="clear" w:color="auto" w:fill="EAEEF3"/>
              </w:rPr>
              <w:t>P56i_se_trouve_sur</w:t>
            </w:r>
            <w:r>
              <w:t>) se trouve sur le même objet matériel (</w:t>
            </w:r>
            <w:r>
              <w:rPr>
                <w:rFonts w:ascii="Consolas" w:eastAsia="Consolas" w:hAnsi="Consolas" w:cs="Consolas"/>
                <w:sz w:val="22"/>
                <w:szCs w:val="22"/>
                <w:shd w:val="clear" w:color="auto" w:fill="EAEEF3"/>
              </w:rPr>
              <w:t>E19_Objet_matériel</w:t>
            </w:r>
            <w:r>
              <w:t>) que l’instance A.</w:t>
            </w:r>
          </w:p>
          <w:p w14:paraId="1E9960C9"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E19_Objet_matériel</w:t>
            </w:r>
            <w:r>
              <w:t xml:space="preserve">, </w:t>
            </w:r>
            <w:r>
              <w:rPr>
                <w:rFonts w:ascii="Consolas" w:eastAsia="Consolas" w:hAnsi="Consolas" w:cs="Consolas"/>
                <w:sz w:val="22"/>
                <w:szCs w:val="22"/>
                <w:shd w:val="clear" w:color="auto" w:fill="EAEEF3"/>
              </w:rPr>
              <w:t>P59_a_pour_section (se_situe_sur_ou_dans)</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P53i_est_la_localisation_actuelle_ou_antérieure_de</w:t>
            </w:r>
            <w:r>
              <w:t xml:space="preserve">, </w:t>
            </w:r>
            <w:r>
              <w:rPr>
                <w:rFonts w:ascii="Consolas" w:eastAsia="Consolas" w:hAnsi="Consolas" w:cs="Consolas"/>
                <w:sz w:val="22"/>
                <w:szCs w:val="22"/>
                <w:shd w:val="clear" w:color="auto" w:fill="EAEEF3"/>
              </w:rPr>
              <w:t>E26_Caractéristique_physique</w:t>
            </w:r>
            <w:r>
              <w:t>.</w:t>
            </w:r>
          </w:p>
        </w:tc>
      </w:tr>
      <w:tr w:rsidR="00BF18CF" w14:paraId="6529CD9C" w14:textId="77777777" w:rsidTr="00BF18CF">
        <w:tc>
          <w:tcPr>
            <w:tcW w:w="1855" w:type="dxa"/>
          </w:tcPr>
          <w:p w14:paraId="3B737247"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35" w:type="dxa"/>
          </w:tcPr>
          <w:p w14:paraId="56F3E1C9" w14:textId="77777777" w:rsidR="00BF18CF" w:rsidRDefault="00E51347">
            <w:pPr>
              <w:numPr>
                <w:ilvl w:val="0"/>
                <w:numId w:val="19"/>
              </w:numPr>
            </w:pPr>
            <w:r>
              <w:t>La coupe en argent « 232 » (</w:t>
            </w:r>
            <w:r>
              <w:rPr>
                <w:rFonts w:ascii="Consolas" w:eastAsia="Consolas" w:hAnsi="Consolas" w:cs="Consolas"/>
                <w:sz w:val="22"/>
                <w:szCs w:val="22"/>
                <w:shd w:val="clear" w:color="auto" w:fill="EAEEF3"/>
              </w:rPr>
              <w:t>E22_Objet_élaboré_par_l’humain</w:t>
            </w:r>
            <w:r>
              <w:t>) a pour caractéristique (</w:t>
            </w:r>
            <w:r>
              <w:rPr>
                <w:rFonts w:ascii="Consolas" w:eastAsia="Consolas" w:hAnsi="Consolas" w:cs="Consolas"/>
                <w:sz w:val="22"/>
                <w:szCs w:val="22"/>
                <w:shd w:val="clear" w:color="auto" w:fill="EAEEF3"/>
              </w:rPr>
              <w:t>P56_a_pour_caractéristique</w:t>
            </w:r>
            <w:r>
              <w:t>) une rayure se trouvant sur la coupe en argent « 232 » (</w:t>
            </w:r>
            <w:r>
              <w:rPr>
                <w:rFonts w:ascii="Consolas" w:eastAsia="Consolas" w:hAnsi="Consolas" w:cs="Consolas"/>
                <w:sz w:val="22"/>
                <w:szCs w:val="22"/>
                <w:shd w:val="clear" w:color="auto" w:fill="EAEEF3"/>
              </w:rPr>
              <w:t>E26_Caractéristique_physique</w:t>
            </w:r>
            <w:r>
              <w:t>) (fictif)</w:t>
            </w:r>
          </w:p>
        </w:tc>
      </w:tr>
      <w:tr w:rsidR="00BF18CF" w14:paraId="21E6FCF3" w14:textId="77777777" w:rsidTr="00BF18CF">
        <w:tc>
          <w:tcPr>
            <w:tcW w:w="1855" w:type="dxa"/>
          </w:tcPr>
          <w:p w14:paraId="0FC1C19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5" w:type="dxa"/>
          </w:tcPr>
          <w:p w14:paraId="172CE1F4" w14:textId="77777777" w:rsidR="00BF18CF" w:rsidRDefault="00E51347">
            <w:r>
              <w:t>P56(</w:t>
            </w:r>
            <w:proofErr w:type="gramStart"/>
            <w:r>
              <w:t>x,y</w:t>
            </w:r>
            <w:proofErr w:type="gramEnd"/>
            <w:r>
              <w:t>) ⇒E19(x)</w:t>
            </w:r>
          </w:p>
          <w:p w14:paraId="2FE4F92D" w14:textId="77777777" w:rsidR="00BF18CF" w:rsidRDefault="00E51347">
            <w:r>
              <w:t>P56(</w:t>
            </w:r>
            <w:proofErr w:type="gramStart"/>
            <w:r>
              <w:t>x,y</w:t>
            </w:r>
            <w:proofErr w:type="gramEnd"/>
            <w:r>
              <w:t>) ⇒ E26(y)</w:t>
            </w:r>
          </w:p>
          <w:p w14:paraId="7E37FB46" w14:textId="77777777" w:rsidR="00BF18CF" w:rsidRDefault="00E51347">
            <w:r>
              <w:t>P56(</w:t>
            </w:r>
            <w:proofErr w:type="gramStart"/>
            <w:r>
              <w:t>x,y</w:t>
            </w:r>
            <w:proofErr w:type="gramEnd"/>
            <w:r>
              <w:t>) ⇒ P46(x,y)</w:t>
            </w:r>
          </w:p>
          <w:p w14:paraId="44AFBB05" w14:textId="77777777" w:rsidR="00BF18CF" w:rsidRDefault="00E51347">
            <w:r>
              <w:t>P56(</w:t>
            </w:r>
            <w:proofErr w:type="gramStart"/>
            <w:r>
              <w:t>x,y</w:t>
            </w:r>
            <w:proofErr w:type="gramEnd"/>
            <w:r>
              <w:t>) ⇐ (∃z)</w:t>
            </w:r>
          </w:p>
          <w:p w14:paraId="24A67BC5" w14:textId="77777777" w:rsidR="00BF18CF" w:rsidRDefault="00E51347">
            <w:r>
              <w:t>[E53(z) ˄ P59(</w:t>
            </w:r>
            <w:proofErr w:type="gramStart"/>
            <w:r>
              <w:t>x,z</w:t>
            </w:r>
            <w:proofErr w:type="gramEnd"/>
            <w:r>
              <w:t>) ˄ P53i(z,y)]</w:t>
            </w:r>
          </w:p>
        </w:tc>
      </w:tr>
      <w:tr w:rsidR="00BF18CF" w14:paraId="4234C463" w14:textId="77777777" w:rsidTr="00BF18CF">
        <w:tc>
          <w:tcPr>
            <w:tcW w:w="1855" w:type="dxa"/>
          </w:tcPr>
          <w:p w14:paraId="3582BB96"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835" w:type="dxa"/>
          </w:tcPr>
          <w:p w14:paraId="73634401" w14:textId="77777777" w:rsidR="00BF18CF" w:rsidRDefault="00BF18CF">
            <w:pPr>
              <w:pBdr>
                <w:top w:val="nil"/>
                <w:left w:val="nil"/>
                <w:bottom w:val="nil"/>
                <w:right w:val="nil"/>
                <w:between w:val="nil"/>
              </w:pBdr>
              <w:spacing w:before="36" w:after="36"/>
              <w:rPr>
                <w:color w:val="000000"/>
              </w:rPr>
            </w:pPr>
          </w:p>
        </w:tc>
      </w:tr>
      <w:tr w:rsidR="00BF18CF" w14:paraId="7B837673" w14:textId="77777777" w:rsidTr="00BF18CF">
        <w:tc>
          <w:tcPr>
            <w:tcW w:w="1855" w:type="dxa"/>
          </w:tcPr>
          <w:p w14:paraId="7D5EE4B3" w14:textId="13C3CEA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5" w:type="dxa"/>
          </w:tcPr>
          <w:p w14:paraId="3C78A5F5" w14:textId="77777777" w:rsidR="00BF18CF" w:rsidRDefault="00BF18CF">
            <w:pPr>
              <w:pBdr>
                <w:top w:val="nil"/>
                <w:left w:val="nil"/>
                <w:bottom w:val="nil"/>
                <w:right w:val="nil"/>
                <w:between w:val="nil"/>
              </w:pBdr>
              <w:spacing w:before="36" w:after="36"/>
              <w:rPr>
                <w:color w:val="000000"/>
              </w:rPr>
            </w:pPr>
          </w:p>
        </w:tc>
      </w:tr>
      <w:tr w:rsidR="00BF18CF" w14:paraId="2CEDA5D1" w14:textId="77777777" w:rsidTr="00BF18CF">
        <w:tc>
          <w:tcPr>
            <w:tcW w:w="1855" w:type="dxa"/>
          </w:tcPr>
          <w:p w14:paraId="7D6420C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5" w:type="dxa"/>
          </w:tcPr>
          <w:p w14:paraId="054B183E" w14:textId="77777777" w:rsidR="00BF18CF" w:rsidRDefault="00BF18CF">
            <w:pPr>
              <w:pBdr>
                <w:top w:val="nil"/>
                <w:left w:val="nil"/>
                <w:bottom w:val="nil"/>
                <w:right w:val="nil"/>
                <w:between w:val="nil"/>
              </w:pBdr>
              <w:spacing w:before="36" w:after="36"/>
              <w:rPr>
                <w:color w:val="000000"/>
              </w:rPr>
            </w:pPr>
          </w:p>
        </w:tc>
      </w:tr>
    </w:tbl>
    <w:p w14:paraId="33FF0B9B" w14:textId="77777777" w:rsidR="00BF18CF" w:rsidRDefault="00E51347">
      <w:pPr>
        <w:pStyle w:val="Heading3"/>
      </w:pPr>
      <w:bookmarkStart w:id="369" w:name="bookmark=id.2yutaiw" w:colFirst="0" w:colLast="0"/>
      <w:bookmarkStart w:id="370" w:name="_Toc144360928"/>
      <w:bookmarkEnd w:id="369"/>
      <w:r>
        <w:t>P57 a pour nombre d’éléments</w:t>
      </w:r>
      <w:bookmarkEnd w:id="370"/>
    </w:p>
    <w:tbl>
      <w:tblPr>
        <w:tblStyle w:val="afff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6"/>
        <w:gridCol w:w="8804"/>
      </w:tblGrid>
      <w:tr w:rsidR="00BF18CF" w14:paraId="1AEA2CFF" w14:textId="77777777" w:rsidTr="00BF18CF">
        <w:tc>
          <w:tcPr>
            <w:tcW w:w="1886" w:type="dxa"/>
          </w:tcPr>
          <w:p w14:paraId="5A6D1A7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4" w:type="dxa"/>
          </w:tcPr>
          <w:p w14:paraId="269E1DCE" w14:textId="77777777" w:rsidR="00BF18CF" w:rsidRDefault="00E51347">
            <w:r>
              <w:rPr>
                <w:rFonts w:ascii="Consolas" w:eastAsia="Consolas" w:hAnsi="Consolas" w:cs="Consolas"/>
                <w:sz w:val="22"/>
                <w:szCs w:val="22"/>
                <w:shd w:val="clear" w:color="auto" w:fill="EAEEF3"/>
              </w:rPr>
              <w:t>E19_Objet_matériel</w:t>
            </w:r>
          </w:p>
        </w:tc>
      </w:tr>
      <w:tr w:rsidR="00BF18CF" w14:paraId="0F603405" w14:textId="77777777" w:rsidTr="00BF18CF">
        <w:tc>
          <w:tcPr>
            <w:tcW w:w="1886" w:type="dxa"/>
          </w:tcPr>
          <w:p w14:paraId="24CCFF3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4" w:type="dxa"/>
          </w:tcPr>
          <w:p w14:paraId="6767ACE1" w14:textId="77777777" w:rsidR="00BF18CF" w:rsidRDefault="00E51347">
            <w:r>
              <w:rPr>
                <w:rFonts w:ascii="Consolas" w:eastAsia="Consolas" w:hAnsi="Consolas" w:cs="Consolas"/>
                <w:sz w:val="22"/>
                <w:szCs w:val="22"/>
                <w:shd w:val="clear" w:color="auto" w:fill="EAEEF3"/>
              </w:rPr>
              <w:t>E60_Nombre</w:t>
            </w:r>
          </w:p>
        </w:tc>
      </w:tr>
      <w:tr w:rsidR="00BF18CF" w14:paraId="6A91D7A8" w14:textId="77777777" w:rsidTr="00BF18CF">
        <w:tc>
          <w:tcPr>
            <w:tcW w:w="1886" w:type="dxa"/>
          </w:tcPr>
          <w:p w14:paraId="78B85617"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4" w:type="dxa"/>
          </w:tcPr>
          <w:p w14:paraId="52CBABFD" w14:textId="77777777" w:rsidR="00BF18CF" w:rsidRDefault="00BF18CF">
            <w:pPr>
              <w:pBdr>
                <w:top w:val="nil"/>
                <w:left w:val="nil"/>
                <w:bottom w:val="nil"/>
                <w:right w:val="nil"/>
                <w:between w:val="nil"/>
              </w:pBdr>
              <w:spacing w:before="36" w:after="36"/>
              <w:rPr>
                <w:color w:val="000000"/>
              </w:rPr>
            </w:pPr>
          </w:p>
        </w:tc>
      </w:tr>
      <w:tr w:rsidR="00BF18CF" w14:paraId="604E4B6A" w14:textId="77777777" w:rsidTr="00BF18CF">
        <w:tc>
          <w:tcPr>
            <w:tcW w:w="1886" w:type="dxa"/>
          </w:tcPr>
          <w:p w14:paraId="780B448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4" w:type="dxa"/>
          </w:tcPr>
          <w:p w14:paraId="63521DCE" w14:textId="77777777" w:rsidR="00BF18CF" w:rsidRDefault="00BF18CF">
            <w:pPr>
              <w:pBdr>
                <w:top w:val="nil"/>
                <w:left w:val="nil"/>
                <w:bottom w:val="nil"/>
                <w:right w:val="nil"/>
                <w:between w:val="nil"/>
              </w:pBdr>
              <w:spacing w:before="36" w:after="36"/>
              <w:rPr>
                <w:color w:val="000000"/>
              </w:rPr>
            </w:pPr>
          </w:p>
        </w:tc>
      </w:tr>
      <w:tr w:rsidR="00BF18CF" w14:paraId="455B6657" w14:textId="77777777" w:rsidTr="00BF18CF">
        <w:tc>
          <w:tcPr>
            <w:tcW w:w="1886" w:type="dxa"/>
          </w:tcPr>
          <w:p w14:paraId="36B00AB5"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4" w:type="dxa"/>
          </w:tcPr>
          <w:p w14:paraId="1A979C7F" w14:textId="77777777" w:rsidR="00BF18CF" w:rsidRDefault="00E51347">
            <w:proofErr w:type="gramStart"/>
            <w:r>
              <w:t>plusieurs</w:t>
            </w:r>
            <w:proofErr w:type="gramEnd"/>
            <w:r>
              <w:t xml:space="preserve"> à un (0,1:0,n)</w:t>
            </w:r>
          </w:p>
        </w:tc>
      </w:tr>
      <w:tr w:rsidR="00BF18CF" w14:paraId="2DFDBBF2" w14:textId="77777777" w:rsidTr="00BF18CF">
        <w:tc>
          <w:tcPr>
            <w:tcW w:w="1886" w:type="dxa"/>
          </w:tcPr>
          <w:p w14:paraId="5E71E5E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4" w:type="dxa"/>
          </w:tcPr>
          <w:p w14:paraId="528DC800" w14:textId="77777777" w:rsidR="00BF18CF" w:rsidRDefault="00E51347">
            <w:r>
              <w:t xml:space="preserve">Cette propriété documente le nombre de parties, par une instance de </w:t>
            </w:r>
            <w:r>
              <w:rPr>
                <w:rFonts w:ascii="Consolas" w:eastAsia="Consolas" w:hAnsi="Consolas" w:cs="Consolas"/>
                <w:sz w:val="22"/>
                <w:szCs w:val="22"/>
                <w:shd w:val="clear" w:color="auto" w:fill="EAEEF3"/>
              </w:rPr>
              <w:t>E60_Nombre</w:t>
            </w:r>
            <w:r>
              <w:t xml:space="preserve">, qui composent une instance de </w:t>
            </w:r>
            <w:r>
              <w:rPr>
                <w:rFonts w:ascii="Consolas" w:eastAsia="Consolas" w:hAnsi="Consolas" w:cs="Consolas"/>
                <w:sz w:val="22"/>
                <w:szCs w:val="22"/>
                <w:shd w:val="clear" w:color="auto" w:fill="EAEEF3"/>
              </w:rPr>
              <w:t>E19_Objet_matériel</w:t>
            </w:r>
            <w:r>
              <w:t>.</w:t>
            </w:r>
          </w:p>
          <w:p w14:paraId="243E9639" w14:textId="77777777" w:rsidR="00BF18CF" w:rsidRDefault="00E51347">
            <w:r>
              <w:t>Cette méthode peut être utilisée afin de procéder à un contrôle des inventaires d'objets de nature collective ou agrégée. Ce qui constitue une partie ou un élément composant dépend du contexte et des exigences de la documentation. Normalement, les parties ainsi documentées ne devraient pas être considérées dignes qu'on leur porte individuellement attention.</w:t>
            </w:r>
          </w:p>
          <w:p w14:paraId="1015C39B" w14:textId="77777777" w:rsidR="00BF18CF" w:rsidRDefault="00E51347">
            <w:r>
              <w:t xml:space="preserve">Pour une description plus complète, les objets peuvent être divisés en éléments constitutifs ou composants à l'aide de </w:t>
            </w:r>
            <w:r>
              <w:rPr>
                <w:rFonts w:ascii="Consolas" w:eastAsia="Consolas" w:hAnsi="Consolas" w:cs="Consolas"/>
                <w:sz w:val="22"/>
                <w:szCs w:val="22"/>
                <w:shd w:val="clear" w:color="auto" w:fill="EAEEF3"/>
              </w:rPr>
              <w:t>P45_comprend (est_inclus_dans)</w:t>
            </w:r>
            <w:r>
              <w:t xml:space="preserve"> et de </w:t>
            </w:r>
            <w:r>
              <w:rPr>
                <w:rFonts w:ascii="Consolas" w:eastAsia="Consolas" w:hAnsi="Consolas" w:cs="Consolas"/>
                <w:sz w:val="22"/>
                <w:szCs w:val="22"/>
                <w:shd w:val="clear" w:color="auto" w:fill="EAEEF3"/>
              </w:rPr>
              <w:t>P46_est_composé_de (fait_partie_de)</w:t>
            </w:r>
            <w:r>
              <w:t>. Ceci permet de décrire individuellement chaque élément.</w:t>
            </w:r>
          </w:p>
        </w:tc>
      </w:tr>
      <w:tr w:rsidR="00BF18CF" w14:paraId="165D23AD" w14:textId="77777777" w:rsidTr="00BF18CF">
        <w:tc>
          <w:tcPr>
            <w:tcW w:w="1886" w:type="dxa"/>
          </w:tcPr>
          <w:p w14:paraId="7A1FF3F3"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4" w:type="dxa"/>
          </w:tcPr>
          <w:p w14:paraId="36DEA498" w14:textId="77777777" w:rsidR="00BF18CF" w:rsidRDefault="00E51347">
            <w:pPr>
              <w:numPr>
                <w:ilvl w:val="0"/>
                <w:numId w:val="19"/>
              </w:numPr>
            </w:pPr>
            <w:r>
              <w:t>Le jeu d'échecs « 233 » a pour nombre d'éléments (</w:t>
            </w:r>
            <w:r>
              <w:rPr>
                <w:rFonts w:ascii="Consolas" w:eastAsia="Consolas" w:hAnsi="Consolas" w:cs="Consolas"/>
                <w:sz w:val="22"/>
                <w:szCs w:val="22"/>
                <w:shd w:val="clear" w:color="auto" w:fill="EAEEF3"/>
              </w:rPr>
              <w:t>P57_a_pour_nombre_d’éléments</w:t>
            </w:r>
            <w:r>
              <w:t>) 33 (</w:t>
            </w:r>
            <w:r>
              <w:rPr>
                <w:rFonts w:ascii="Consolas" w:eastAsia="Consolas" w:hAnsi="Consolas" w:cs="Consolas"/>
                <w:sz w:val="22"/>
                <w:szCs w:val="22"/>
                <w:shd w:val="clear" w:color="auto" w:fill="EAEEF3"/>
              </w:rPr>
              <w:t>E60_Nombre</w:t>
            </w:r>
            <w:r>
              <w:t>) (fictif)</w:t>
            </w:r>
          </w:p>
        </w:tc>
      </w:tr>
      <w:tr w:rsidR="00BF18CF" w14:paraId="72627B56" w14:textId="77777777" w:rsidTr="00BF18CF">
        <w:tc>
          <w:tcPr>
            <w:tcW w:w="1886" w:type="dxa"/>
          </w:tcPr>
          <w:p w14:paraId="0E2E702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4" w:type="dxa"/>
          </w:tcPr>
          <w:p w14:paraId="26905205" w14:textId="77777777" w:rsidR="00BF18CF" w:rsidRDefault="00E51347">
            <w:r>
              <w:t>P57(</w:t>
            </w:r>
            <w:proofErr w:type="gramStart"/>
            <w:r>
              <w:t>x,y</w:t>
            </w:r>
            <w:proofErr w:type="gramEnd"/>
            <w:r>
              <w:t>) ⇒ E19(x)</w:t>
            </w:r>
          </w:p>
          <w:p w14:paraId="09A74DDB" w14:textId="77777777" w:rsidR="00BF18CF" w:rsidRDefault="00E51347">
            <w:r>
              <w:t>P57(</w:t>
            </w:r>
            <w:proofErr w:type="gramStart"/>
            <w:r>
              <w:t>x,y</w:t>
            </w:r>
            <w:proofErr w:type="gramEnd"/>
            <w:r>
              <w:t>) ⇒ E60(y)</w:t>
            </w:r>
          </w:p>
        </w:tc>
      </w:tr>
      <w:tr w:rsidR="00BF18CF" w14:paraId="5B463237" w14:textId="77777777" w:rsidTr="00BF18CF">
        <w:tc>
          <w:tcPr>
            <w:tcW w:w="1886" w:type="dxa"/>
          </w:tcPr>
          <w:p w14:paraId="4722759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4" w:type="dxa"/>
          </w:tcPr>
          <w:p w14:paraId="10064308" w14:textId="77777777" w:rsidR="00BF18CF" w:rsidRDefault="00BF18CF">
            <w:pPr>
              <w:pBdr>
                <w:top w:val="nil"/>
                <w:left w:val="nil"/>
                <w:bottom w:val="nil"/>
                <w:right w:val="nil"/>
                <w:between w:val="nil"/>
              </w:pBdr>
              <w:spacing w:before="36" w:after="36"/>
              <w:rPr>
                <w:color w:val="000000"/>
              </w:rPr>
            </w:pPr>
          </w:p>
        </w:tc>
      </w:tr>
      <w:tr w:rsidR="00BF18CF" w14:paraId="42DC504D" w14:textId="77777777" w:rsidTr="00BF18CF">
        <w:tc>
          <w:tcPr>
            <w:tcW w:w="1886" w:type="dxa"/>
          </w:tcPr>
          <w:p w14:paraId="2F015D8B" w14:textId="7B2CAEE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4" w:type="dxa"/>
          </w:tcPr>
          <w:p w14:paraId="626E771C" w14:textId="77777777" w:rsidR="00BF18CF" w:rsidRDefault="00BF18CF">
            <w:pPr>
              <w:pBdr>
                <w:top w:val="nil"/>
                <w:left w:val="nil"/>
                <w:bottom w:val="nil"/>
                <w:right w:val="nil"/>
                <w:between w:val="nil"/>
              </w:pBdr>
              <w:spacing w:before="36" w:after="36"/>
              <w:rPr>
                <w:color w:val="000000"/>
              </w:rPr>
            </w:pPr>
          </w:p>
        </w:tc>
      </w:tr>
      <w:tr w:rsidR="00BF18CF" w14:paraId="0064CFCE" w14:textId="77777777" w:rsidTr="00BF18CF">
        <w:tc>
          <w:tcPr>
            <w:tcW w:w="1886" w:type="dxa"/>
          </w:tcPr>
          <w:p w14:paraId="19017FB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4" w:type="dxa"/>
          </w:tcPr>
          <w:p w14:paraId="698DCFAB" w14:textId="77777777" w:rsidR="00BF18CF" w:rsidRDefault="00BF18CF">
            <w:pPr>
              <w:pBdr>
                <w:top w:val="nil"/>
                <w:left w:val="nil"/>
                <w:bottom w:val="nil"/>
                <w:right w:val="nil"/>
                <w:between w:val="nil"/>
              </w:pBdr>
              <w:spacing w:before="36" w:after="36"/>
              <w:rPr>
                <w:color w:val="000000"/>
              </w:rPr>
            </w:pPr>
          </w:p>
        </w:tc>
      </w:tr>
    </w:tbl>
    <w:p w14:paraId="3684CEE7" w14:textId="77777777" w:rsidR="00BF18CF" w:rsidRDefault="00E51347">
      <w:pPr>
        <w:pStyle w:val="Heading3"/>
      </w:pPr>
      <w:bookmarkStart w:id="371" w:name="bookmark=id.1e03kqp" w:colFirst="0" w:colLast="0"/>
      <w:bookmarkStart w:id="372" w:name="_Toc144360929"/>
      <w:bookmarkEnd w:id="371"/>
      <w:r>
        <w:t>P59 a pour section (se situe sur ou dans)</w:t>
      </w:r>
      <w:bookmarkEnd w:id="372"/>
    </w:p>
    <w:tbl>
      <w:tblPr>
        <w:tblStyle w:val="affff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7"/>
        <w:gridCol w:w="8813"/>
      </w:tblGrid>
      <w:tr w:rsidR="00BF18CF" w14:paraId="2A2B974A" w14:textId="77777777" w:rsidTr="00BF18CF">
        <w:tc>
          <w:tcPr>
            <w:tcW w:w="1877" w:type="dxa"/>
          </w:tcPr>
          <w:p w14:paraId="20024F2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3" w:type="dxa"/>
          </w:tcPr>
          <w:p w14:paraId="13A48915" w14:textId="77777777" w:rsidR="00BF18CF" w:rsidRDefault="00E51347">
            <w:r>
              <w:rPr>
                <w:rFonts w:ascii="Consolas" w:eastAsia="Consolas" w:hAnsi="Consolas" w:cs="Consolas"/>
                <w:sz w:val="22"/>
                <w:szCs w:val="22"/>
                <w:shd w:val="clear" w:color="auto" w:fill="EAEEF3"/>
              </w:rPr>
              <w:t>E18_Chose_matérielle</w:t>
            </w:r>
          </w:p>
        </w:tc>
      </w:tr>
      <w:tr w:rsidR="00BF18CF" w14:paraId="24ACE7AE" w14:textId="77777777" w:rsidTr="00BF18CF">
        <w:tc>
          <w:tcPr>
            <w:tcW w:w="1877" w:type="dxa"/>
          </w:tcPr>
          <w:p w14:paraId="6557AF3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3" w:type="dxa"/>
          </w:tcPr>
          <w:p w14:paraId="6FEAFB05" w14:textId="77777777" w:rsidR="00BF18CF" w:rsidRDefault="00E51347">
            <w:r>
              <w:rPr>
                <w:rFonts w:ascii="Consolas" w:eastAsia="Consolas" w:hAnsi="Consolas" w:cs="Consolas"/>
                <w:sz w:val="22"/>
                <w:szCs w:val="22"/>
                <w:shd w:val="clear" w:color="auto" w:fill="EAEEF3"/>
              </w:rPr>
              <w:t>E53_Lieu</w:t>
            </w:r>
          </w:p>
        </w:tc>
      </w:tr>
      <w:tr w:rsidR="00BF18CF" w14:paraId="107884B8" w14:textId="77777777" w:rsidTr="00BF18CF">
        <w:tc>
          <w:tcPr>
            <w:tcW w:w="1877" w:type="dxa"/>
          </w:tcPr>
          <w:p w14:paraId="1840B13D"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3" w:type="dxa"/>
          </w:tcPr>
          <w:p w14:paraId="04DC3F64"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P157i_procure_l’espace_de_référence_pour</w:t>
            </w:r>
            <w:r>
              <w:t xml:space="preserve"> : </w:t>
            </w:r>
            <w:r>
              <w:rPr>
                <w:rFonts w:ascii="Consolas" w:eastAsia="Consolas" w:hAnsi="Consolas" w:cs="Consolas"/>
                <w:sz w:val="22"/>
                <w:szCs w:val="22"/>
                <w:shd w:val="clear" w:color="auto" w:fill="EAEEF3"/>
              </w:rPr>
              <w:t>E53_Lieu</w:t>
            </w:r>
          </w:p>
        </w:tc>
      </w:tr>
      <w:tr w:rsidR="00BF18CF" w14:paraId="16F82395" w14:textId="77777777" w:rsidTr="00BF18CF">
        <w:tc>
          <w:tcPr>
            <w:tcW w:w="1877" w:type="dxa"/>
          </w:tcPr>
          <w:p w14:paraId="7A8852D1" w14:textId="77777777" w:rsidR="00BF18CF" w:rsidRDefault="00E51347">
            <w:pPr>
              <w:pBdr>
                <w:top w:val="nil"/>
                <w:left w:val="nil"/>
                <w:bottom w:val="nil"/>
                <w:right w:val="nil"/>
                <w:between w:val="nil"/>
              </w:pBdr>
              <w:spacing w:before="36" w:after="36"/>
              <w:rPr>
                <w:color w:val="000000"/>
              </w:rPr>
            </w:pPr>
            <w:r>
              <w:rPr>
                <w:b/>
                <w:color w:val="000000"/>
              </w:rPr>
              <w:lastRenderedPageBreak/>
              <w:t>Super-propriété de</w:t>
            </w:r>
          </w:p>
        </w:tc>
        <w:tc>
          <w:tcPr>
            <w:tcW w:w="8813" w:type="dxa"/>
          </w:tcPr>
          <w:p w14:paraId="5ADE232C" w14:textId="77777777" w:rsidR="00BF18CF" w:rsidRDefault="00BF18CF">
            <w:pPr>
              <w:pBdr>
                <w:top w:val="nil"/>
                <w:left w:val="nil"/>
                <w:bottom w:val="nil"/>
                <w:right w:val="nil"/>
                <w:between w:val="nil"/>
              </w:pBdr>
              <w:spacing w:before="36" w:after="36"/>
              <w:rPr>
                <w:color w:val="000000"/>
              </w:rPr>
            </w:pPr>
          </w:p>
        </w:tc>
      </w:tr>
      <w:tr w:rsidR="00BF18CF" w14:paraId="4BF5F187" w14:textId="77777777" w:rsidTr="00BF18CF">
        <w:tc>
          <w:tcPr>
            <w:tcW w:w="1877" w:type="dxa"/>
          </w:tcPr>
          <w:p w14:paraId="4879C16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3" w:type="dxa"/>
          </w:tcPr>
          <w:p w14:paraId="01FC6D33" w14:textId="77777777" w:rsidR="00BF18CF" w:rsidRDefault="00E51347">
            <w:proofErr w:type="gramStart"/>
            <w:r>
              <w:t>plusieurs</w:t>
            </w:r>
            <w:proofErr w:type="gramEnd"/>
            <w:r>
              <w:t xml:space="preserve"> à plusieurs (0,n:0,n)</w:t>
            </w:r>
          </w:p>
        </w:tc>
      </w:tr>
      <w:tr w:rsidR="00BF18CF" w14:paraId="409F6256" w14:textId="77777777" w:rsidTr="00BF18CF">
        <w:tc>
          <w:tcPr>
            <w:tcW w:w="1877" w:type="dxa"/>
          </w:tcPr>
          <w:p w14:paraId="353FA42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3" w:type="dxa"/>
          </w:tcPr>
          <w:p w14:paraId="65887FE5" w14:textId="77777777" w:rsidR="00BF18CF" w:rsidRDefault="00E51347">
            <w:r>
              <w:t xml:space="preserve">Cette propriété lie une zone géographique, c.-à-d. une instance de </w:t>
            </w:r>
            <w:r>
              <w:rPr>
                <w:rFonts w:ascii="Consolas" w:eastAsia="Consolas" w:hAnsi="Consolas" w:cs="Consolas"/>
                <w:sz w:val="22"/>
                <w:szCs w:val="22"/>
                <w:shd w:val="clear" w:color="auto" w:fill="EAEEF3"/>
              </w:rPr>
              <w:t>E53_Lieu</w:t>
            </w:r>
            <w:r>
              <w:t xml:space="preserve">, à une instance de </w:t>
            </w:r>
            <w:r>
              <w:rPr>
                <w:rFonts w:ascii="Consolas" w:eastAsia="Consolas" w:hAnsi="Consolas" w:cs="Consolas"/>
                <w:sz w:val="22"/>
                <w:szCs w:val="22"/>
                <w:shd w:val="clear" w:color="auto" w:fill="EAEEF3"/>
              </w:rPr>
              <w:t>E18_Chose_matérielle</w:t>
            </w:r>
            <w:r>
              <w:t xml:space="preserve"> sur laquelle elle se trouve. Cette zone peut être identifiée soit par un nom, soit par un système de coordonnées géométriques adapté à la forme de l’instance respective de </w:t>
            </w:r>
            <w:r>
              <w:rPr>
                <w:rFonts w:ascii="Consolas" w:eastAsia="Consolas" w:hAnsi="Consolas" w:cs="Consolas"/>
                <w:sz w:val="22"/>
                <w:szCs w:val="22"/>
                <w:shd w:val="clear" w:color="auto" w:fill="EAEEF3"/>
              </w:rPr>
              <w:t>E18_Chose_matérielle</w:t>
            </w:r>
            <w:r>
              <w:t>. Typiquement, les noms identifiant des sections d’objets physiques sont composés du nom d’un type de partie de l’objet et du nom de l’objet lui-même, par exemple « Le pont de dunette du HMS Victory », qui est composé de « pont de dunette » et de « HMS Victory ».</w:t>
            </w:r>
          </w:p>
        </w:tc>
      </w:tr>
      <w:tr w:rsidR="00BF18CF" w14:paraId="3CA0E8B5" w14:textId="77777777" w:rsidTr="00BF18CF">
        <w:tc>
          <w:tcPr>
            <w:tcW w:w="1877" w:type="dxa"/>
          </w:tcPr>
          <w:p w14:paraId="3D8C578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3" w:type="dxa"/>
          </w:tcPr>
          <w:p w14:paraId="4C06D186" w14:textId="77777777" w:rsidR="00BF18CF" w:rsidRDefault="00E51347">
            <w:pPr>
              <w:numPr>
                <w:ilvl w:val="0"/>
                <w:numId w:val="19"/>
              </w:numPr>
            </w:pPr>
            <w:r>
              <w:t>HMS Victory (</w:t>
            </w:r>
            <w:r>
              <w:rPr>
                <w:rFonts w:ascii="Consolas" w:eastAsia="Consolas" w:hAnsi="Consolas" w:cs="Consolas"/>
                <w:sz w:val="22"/>
                <w:szCs w:val="22"/>
                <w:shd w:val="clear" w:color="auto" w:fill="EAEEF3"/>
              </w:rPr>
              <w:t>E22_Objet_élaboré_par_l’humain</w:t>
            </w:r>
            <w:r>
              <w:t>) a pour section (</w:t>
            </w:r>
            <w:r>
              <w:rPr>
                <w:rFonts w:ascii="Consolas" w:eastAsia="Consolas" w:hAnsi="Consolas" w:cs="Consolas"/>
                <w:sz w:val="22"/>
                <w:szCs w:val="22"/>
                <w:shd w:val="clear" w:color="auto" w:fill="EAEEF3"/>
              </w:rPr>
              <w:t>P59_a_pour_section</w:t>
            </w:r>
            <w:r>
              <w:t>) la section B347.6 du HMS Victory (</w:t>
            </w:r>
            <w:r>
              <w:rPr>
                <w:rFonts w:ascii="Consolas" w:eastAsia="Consolas" w:hAnsi="Consolas" w:cs="Consolas"/>
                <w:sz w:val="22"/>
                <w:szCs w:val="22"/>
                <w:shd w:val="clear" w:color="auto" w:fill="EAEEF3"/>
              </w:rPr>
              <w:t>E53_Lieu</w:t>
            </w:r>
            <w:r>
              <w:t>) (Goodwin, 2015)</w:t>
            </w:r>
          </w:p>
        </w:tc>
      </w:tr>
      <w:tr w:rsidR="00BF18CF" w14:paraId="1FE790E3" w14:textId="77777777" w:rsidTr="00BF18CF">
        <w:tc>
          <w:tcPr>
            <w:tcW w:w="1877" w:type="dxa"/>
          </w:tcPr>
          <w:p w14:paraId="040C383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3" w:type="dxa"/>
          </w:tcPr>
          <w:p w14:paraId="63D5E60E" w14:textId="77777777" w:rsidR="00BF18CF" w:rsidRDefault="00E51347">
            <w:r>
              <w:t>P59(</w:t>
            </w:r>
            <w:proofErr w:type="gramStart"/>
            <w:r>
              <w:t>x,y</w:t>
            </w:r>
            <w:proofErr w:type="gramEnd"/>
            <w:r>
              <w:t>) ⇒ E18(x) P59(x,y) ⇒ E53(y)</w:t>
            </w:r>
          </w:p>
        </w:tc>
      </w:tr>
      <w:tr w:rsidR="00BF18CF" w14:paraId="7041A36A" w14:textId="77777777" w:rsidTr="00BF18CF">
        <w:tc>
          <w:tcPr>
            <w:tcW w:w="1877" w:type="dxa"/>
          </w:tcPr>
          <w:p w14:paraId="11AE1A3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3" w:type="dxa"/>
          </w:tcPr>
          <w:p w14:paraId="5F30DAAA" w14:textId="77777777" w:rsidR="00BF18CF" w:rsidRDefault="00BF18CF">
            <w:pPr>
              <w:pBdr>
                <w:top w:val="nil"/>
                <w:left w:val="nil"/>
                <w:bottom w:val="nil"/>
                <w:right w:val="nil"/>
                <w:between w:val="nil"/>
              </w:pBdr>
              <w:spacing w:before="36" w:after="36"/>
              <w:rPr>
                <w:color w:val="000000"/>
              </w:rPr>
            </w:pPr>
          </w:p>
        </w:tc>
      </w:tr>
      <w:tr w:rsidR="00BF18CF" w14:paraId="2194104B" w14:textId="77777777" w:rsidTr="00BF18CF">
        <w:tc>
          <w:tcPr>
            <w:tcW w:w="1877" w:type="dxa"/>
          </w:tcPr>
          <w:p w14:paraId="21271CC9" w14:textId="6E626DC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3" w:type="dxa"/>
          </w:tcPr>
          <w:p w14:paraId="7488077C" w14:textId="77777777" w:rsidR="00BF18CF" w:rsidRDefault="00BF18CF">
            <w:pPr>
              <w:pBdr>
                <w:top w:val="nil"/>
                <w:left w:val="nil"/>
                <w:bottom w:val="nil"/>
                <w:right w:val="nil"/>
                <w:between w:val="nil"/>
              </w:pBdr>
              <w:spacing w:before="36" w:after="36"/>
              <w:rPr>
                <w:color w:val="000000"/>
              </w:rPr>
            </w:pPr>
          </w:p>
        </w:tc>
      </w:tr>
      <w:tr w:rsidR="00BF18CF" w14:paraId="6A11F571" w14:textId="77777777" w:rsidTr="00BF18CF">
        <w:tc>
          <w:tcPr>
            <w:tcW w:w="1877" w:type="dxa"/>
          </w:tcPr>
          <w:p w14:paraId="4841C49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3" w:type="dxa"/>
          </w:tcPr>
          <w:p w14:paraId="1E20C428" w14:textId="77777777" w:rsidR="00BF18CF" w:rsidRDefault="00BF18CF">
            <w:pPr>
              <w:pBdr>
                <w:top w:val="nil"/>
                <w:left w:val="nil"/>
                <w:bottom w:val="nil"/>
                <w:right w:val="nil"/>
                <w:between w:val="nil"/>
              </w:pBdr>
              <w:spacing w:before="36" w:after="36"/>
              <w:rPr>
                <w:color w:val="000000"/>
              </w:rPr>
            </w:pPr>
          </w:p>
        </w:tc>
      </w:tr>
    </w:tbl>
    <w:p w14:paraId="4E01D1C2" w14:textId="77777777" w:rsidR="00BF18CF" w:rsidRDefault="00E51347">
      <w:pPr>
        <w:pStyle w:val="Heading3"/>
      </w:pPr>
      <w:bookmarkStart w:id="373" w:name="bookmark=id.3xzr3ei" w:colFirst="0" w:colLast="0"/>
      <w:bookmarkStart w:id="374" w:name="_Toc144360930"/>
      <w:bookmarkEnd w:id="373"/>
      <w:r>
        <w:t>P62 illustre (est illustré par)</w:t>
      </w:r>
      <w:bookmarkEnd w:id="374"/>
    </w:p>
    <w:tbl>
      <w:tblPr>
        <w:tblStyle w:val="aff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33293258" w14:textId="77777777" w:rsidTr="00BF18CF">
        <w:tc>
          <w:tcPr>
            <w:tcW w:w="2097" w:type="dxa"/>
          </w:tcPr>
          <w:p w14:paraId="36D8D3E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3746D369" w14:textId="77777777" w:rsidR="00BF18CF" w:rsidRDefault="00E51347">
            <w:r>
              <w:rPr>
                <w:rFonts w:ascii="Consolas" w:eastAsia="Consolas" w:hAnsi="Consolas" w:cs="Consolas"/>
                <w:sz w:val="22"/>
                <w:szCs w:val="22"/>
                <w:shd w:val="clear" w:color="auto" w:fill="EAEEF3"/>
              </w:rPr>
              <w:t>E24_Chose_matérielle_élaborée_par_l’humain</w:t>
            </w:r>
          </w:p>
        </w:tc>
      </w:tr>
      <w:tr w:rsidR="00BF18CF" w14:paraId="4CFFCFBB" w14:textId="77777777" w:rsidTr="00BF18CF">
        <w:tc>
          <w:tcPr>
            <w:tcW w:w="2097" w:type="dxa"/>
          </w:tcPr>
          <w:p w14:paraId="4E7D339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3430BE43" w14:textId="77777777" w:rsidR="00BF18CF" w:rsidRDefault="00E51347">
            <w:r>
              <w:rPr>
                <w:rFonts w:ascii="Consolas" w:eastAsia="Consolas" w:hAnsi="Consolas" w:cs="Consolas"/>
                <w:sz w:val="22"/>
                <w:szCs w:val="22"/>
                <w:shd w:val="clear" w:color="auto" w:fill="EAEEF3"/>
              </w:rPr>
              <w:t>E1_Entité_CRM</w:t>
            </w:r>
          </w:p>
        </w:tc>
      </w:tr>
      <w:tr w:rsidR="00BF18CF" w14:paraId="65D026EC" w14:textId="77777777" w:rsidTr="00BF18CF">
        <w:tc>
          <w:tcPr>
            <w:tcW w:w="2097" w:type="dxa"/>
          </w:tcPr>
          <w:p w14:paraId="0CD1060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49E15D96" w14:textId="77777777" w:rsidR="00BF18CF" w:rsidRDefault="00BF18CF">
            <w:pPr>
              <w:pBdr>
                <w:top w:val="nil"/>
                <w:left w:val="nil"/>
                <w:bottom w:val="nil"/>
                <w:right w:val="nil"/>
                <w:between w:val="nil"/>
              </w:pBdr>
              <w:spacing w:before="36" w:after="36"/>
              <w:rPr>
                <w:color w:val="000000"/>
              </w:rPr>
            </w:pPr>
          </w:p>
        </w:tc>
      </w:tr>
      <w:tr w:rsidR="00BF18CF" w14:paraId="395F504A" w14:textId="77777777" w:rsidTr="00BF18CF">
        <w:tc>
          <w:tcPr>
            <w:tcW w:w="2097" w:type="dxa"/>
          </w:tcPr>
          <w:p w14:paraId="7D7206F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1A83479F" w14:textId="77777777" w:rsidR="00BF18CF" w:rsidRDefault="00BF18CF">
            <w:pPr>
              <w:pBdr>
                <w:top w:val="nil"/>
                <w:left w:val="nil"/>
                <w:bottom w:val="nil"/>
                <w:right w:val="nil"/>
                <w:between w:val="nil"/>
              </w:pBdr>
              <w:spacing w:before="36" w:after="36"/>
              <w:rPr>
                <w:color w:val="000000"/>
              </w:rPr>
            </w:pPr>
          </w:p>
        </w:tc>
      </w:tr>
      <w:tr w:rsidR="00BF18CF" w14:paraId="3BD05985" w14:textId="77777777" w:rsidTr="00BF18CF">
        <w:tc>
          <w:tcPr>
            <w:tcW w:w="2097" w:type="dxa"/>
          </w:tcPr>
          <w:p w14:paraId="1898033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1ABF669D" w14:textId="77777777" w:rsidR="00BF18CF" w:rsidRDefault="00E51347">
            <w:proofErr w:type="gramStart"/>
            <w:r>
              <w:t>plusieurs</w:t>
            </w:r>
            <w:proofErr w:type="gramEnd"/>
            <w:r>
              <w:t xml:space="preserve"> à plusieurs (0,n:0,n)</w:t>
            </w:r>
          </w:p>
        </w:tc>
      </w:tr>
      <w:tr w:rsidR="00BF18CF" w14:paraId="3D0B2F69" w14:textId="77777777" w:rsidTr="00BF18CF">
        <w:tc>
          <w:tcPr>
            <w:tcW w:w="2097" w:type="dxa"/>
          </w:tcPr>
          <w:p w14:paraId="43071DE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031317EA" w14:textId="77777777" w:rsidR="00BF18CF" w:rsidRDefault="00E51347">
            <w:r>
              <w:t xml:space="preserve">Cette propriété identifie quelque chose qui est illustré par une instance de </w:t>
            </w:r>
            <w:r>
              <w:rPr>
                <w:rFonts w:ascii="Consolas" w:eastAsia="Consolas" w:hAnsi="Consolas" w:cs="Consolas"/>
                <w:sz w:val="22"/>
                <w:szCs w:val="22"/>
                <w:shd w:val="clear" w:color="auto" w:fill="EAEEF3"/>
              </w:rPr>
              <w:t>E24_Chose_matérielle_élaborée_par_l’humain</w:t>
            </w:r>
            <w:r>
              <w:t xml:space="preserve">. Le terme « illustré » signifie ici qu’une instance de </w:t>
            </w:r>
            <w:r>
              <w:rPr>
                <w:rFonts w:ascii="Consolas" w:eastAsia="Consolas" w:hAnsi="Consolas" w:cs="Consolas"/>
                <w:sz w:val="22"/>
                <w:szCs w:val="22"/>
                <w:shd w:val="clear" w:color="auto" w:fill="EAEEF3"/>
              </w:rPr>
              <w:t>E24_Chose_matérielle_élaborée_par_l’humain</w:t>
            </w:r>
            <w:r>
              <w:t>, à travers ses caractéristiques optiques ou sa forme, est une représentation intentionnelle de l’entité illustrée. Les photographies sont considérées par défaut comme des représentations intentionnelles. Tout ce qui est conçu pour changer les propriétés de l’illustration, comme un lecteur de livres électroniques, est spécifiquement exclu. Cette propriété ne s’applique pas aux inscriptions ou autres types d'informations encodées.</w:t>
            </w:r>
          </w:p>
          <w:p w14:paraId="0E891C31"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E24_Chose_matérielle_élaborée_par_l’humain</w:t>
            </w:r>
            <w:r>
              <w:t xml:space="preserve">, </w:t>
            </w:r>
            <w:r>
              <w:rPr>
                <w:rFonts w:ascii="Consolas" w:eastAsia="Consolas" w:hAnsi="Consolas" w:cs="Consolas"/>
                <w:sz w:val="22"/>
                <w:szCs w:val="22"/>
                <w:shd w:val="clear" w:color="auto" w:fill="EAEEF3"/>
              </w:rPr>
              <w:t>P65_représente_l’entité_visuelle</w:t>
            </w:r>
            <w:r>
              <w:t xml:space="preserve">, </w:t>
            </w:r>
            <w:r>
              <w:rPr>
                <w:rFonts w:ascii="Consolas" w:eastAsia="Consolas" w:hAnsi="Consolas" w:cs="Consolas"/>
                <w:sz w:val="22"/>
                <w:szCs w:val="22"/>
                <w:shd w:val="clear" w:color="auto" w:fill="EAEEF3"/>
              </w:rPr>
              <w:t>E36_Entité_visuelle</w:t>
            </w:r>
            <w:r>
              <w:t xml:space="preserve">, </w:t>
            </w:r>
            <w:r>
              <w:rPr>
                <w:rFonts w:ascii="Consolas" w:eastAsia="Consolas" w:hAnsi="Consolas" w:cs="Consolas"/>
                <w:sz w:val="22"/>
                <w:szCs w:val="22"/>
                <w:shd w:val="clear" w:color="auto" w:fill="EAEEF3"/>
              </w:rPr>
              <w:t>P138_représente</w:t>
            </w:r>
            <w:r>
              <w:t xml:space="preserve">, </w:t>
            </w:r>
            <w:r>
              <w:rPr>
                <w:rFonts w:ascii="Consolas" w:eastAsia="Consolas" w:hAnsi="Consolas" w:cs="Consolas"/>
                <w:sz w:val="22"/>
                <w:szCs w:val="22"/>
                <w:shd w:val="clear" w:color="auto" w:fill="EAEEF3"/>
              </w:rPr>
              <w:lastRenderedPageBreak/>
              <w:t>E1_Entité_CRM</w:t>
            </w:r>
            <w:r>
              <w:t xml:space="preserve">. La propriété </w:t>
            </w:r>
            <w:r>
              <w:rPr>
                <w:rFonts w:ascii="Consolas" w:eastAsia="Consolas" w:hAnsi="Consolas" w:cs="Consolas"/>
                <w:sz w:val="22"/>
                <w:szCs w:val="22"/>
                <w:shd w:val="clear" w:color="auto" w:fill="EAEEF3"/>
              </w:rPr>
              <w:t>P62.1_mode_d'illustration</w:t>
            </w:r>
            <w:r>
              <w:t xml:space="preserve"> permet de préciser la nature de l’illustration.</w:t>
            </w:r>
          </w:p>
        </w:tc>
      </w:tr>
      <w:tr w:rsidR="00BF18CF" w14:paraId="6AA8B91C" w14:textId="77777777" w:rsidTr="00BF18CF">
        <w:tc>
          <w:tcPr>
            <w:tcW w:w="2097" w:type="dxa"/>
          </w:tcPr>
          <w:p w14:paraId="7126B50B"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93" w:type="dxa"/>
          </w:tcPr>
          <w:p w14:paraId="74FC6865" w14:textId="77777777" w:rsidR="00BF18CF" w:rsidRDefault="00E51347">
            <w:pPr>
              <w:numPr>
                <w:ilvl w:val="0"/>
                <w:numId w:val="19"/>
              </w:numPr>
            </w:pPr>
            <w:r>
              <w:t xml:space="preserve">L’œuvre peinte </w:t>
            </w:r>
            <w:r>
              <w:rPr>
                <w:i/>
              </w:rPr>
              <w:t>La Liberté guidant le peuple</w:t>
            </w:r>
            <w:r>
              <w:t xml:space="preserve"> d’Eugène Delacroix (</w:t>
            </w:r>
            <w:r>
              <w:rPr>
                <w:rFonts w:ascii="Consolas" w:eastAsia="Consolas" w:hAnsi="Consolas" w:cs="Consolas"/>
                <w:sz w:val="22"/>
                <w:szCs w:val="22"/>
                <w:shd w:val="clear" w:color="auto" w:fill="EAEEF3"/>
              </w:rPr>
              <w:t>E22_Objet_élaboré_par_l’humain</w:t>
            </w:r>
            <w:r>
              <w:t>) illustre (</w:t>
            </w:r>
            <w:r>
              <w:rPr>
                <w:rFonts w:ascii="Consolas" w:eastAsia="Consolas" w:hAnsi="Consolas" w:cs="Consolas"/>
                <w:sz w:val="22"/>
                <w:szCs w:val="22"/>
                <w:shd w:val="clear" w:color="auto" w:fill="EAEEF3"/>
              </w:rPr>
              <w:t>P62_illustre</w:t>
            </w:r>
            <w:r>
              <w:t>) les « Trois Glorieuses » (</w:t>
            </w:r>
            <w:r>
              <w:rPr>
                <w:rFonts w:ascii="Consolas" w:eastAsia="Consolas" w:hAnsi="Consolas" w:cs="Consolas"/>
                <w:sz w:val="22"/>
                <w:szCs w:val="22"/>
                <w:shd w:val="clear" w:color="auto" w:fill="EAEEF3"/>
              </w:rPr>
              <w:t>E7_Activité</w:t>
            </w:r>
            <w:r>
              <w:t>) (Delacroix, 1982)</w:t>
            </w:r>
          </w:p>
          <w:p w14:paraId="123DDF35" w14:textId="77777777" w:rsidR="00BF18CF" w:rsidRDefault="00E51347">
            <w:pPr>
              <w:numPr>
                <w:ilvl w:val="0"/>
                <w:numId w:val="19"/>
              </w:numPr>
            </w:pPr>
            <w:r>
              <w:t>La pièce de monnaie de 20 pennys détenue par le département des pièces et médailles du British Museum sous le numéro d’enregistrement 2006,1101.126 (</w:t>
            </w:r>
            <w:r>
              <w:rPr>
                <w:rFonts w:ascii="Consolas" w:eastAsia="Consolas" w:hAnsi="Consolas" w:cs="Consolas"/>
                <w:sz w:val="22"/>
                <w:szCs w:val="22"/>
                <w:shd w:val="clear" w:color="auto" w:fill="EAEEF3"/>
              </w:rPr>
              <w:t>E24_Chose_matérielle_élaborée_par_l’humain</w:t>
            </w:r>
            <w:r>
              <w:t>) illustre (</w:t>
            </w:r>
            <w:r>
              <w:rPr>
                <w:rFonts w:ascii="Consolas" w:eastAsia="Consolas" w:hAnsi="Consolas" w:cs="Consolas"/>
                <w:sz w:val="22"/>
                <w:szCs w:val="22"/>
                <w:shd w:val="clear" w:color="auto" w:fill="EAEEF3"/>
              </w:rPr>
              <w:t>P62_illustre</w:t>
            </w:r>
            <w:r>
              <w:t>) la reine Elizabeth II (</w:t>
            </w:r>
            <w:r>
              <w:rPr>
                <w:rFonts w:ascii="Consolas" w:eastAsia="Consolas" w:hAnsi="Consolas" w:cs="Consolas"/>
                <w:sz w:val="22"/>
                <w:szCs w:val="22"/>
                <w:shd w:val="clear" w:color="auto" w:fill="EAEEF3"/>
              </w:rPr>
              <w:t>E21_Personne</w:t>
            </w:r>
            <w:r>
              <w:t>) avec pour mode d’illustration (</w:t>
            </w:r>
            <w:r>
              <w:rPr>
                <w:rFonts w:ascii="Consolas" w:eastAsia="Consolas" w:hAnsi="Consolas" w:cs="Consolas"/>
                <w:sz w:val="22"/>
                <w:szCs w:val="22"/>
                <w:shd w:val="clear" w:color="auto" w:fill="EAEEF3"/>
              </w:rPr>
              <w:t>P62.1_mode_d'illustration</w:t>
            </w:r>
            <w:r>
              <w:t>) « Profil » (</w:t>
            </w:r>
            <w:r>
              <w:rPr>
                <w:rFonts w:ascii="Consolas" w:eastAsia="Consolas" w:hAnsi="Consolas" w:cs="Consolas"/>
                <w:sz w:val="22"/>
                <w:szCs w:val="22"/>
                <w:shd w:val="clear" w:color="auto" w:fill="EAEEF3"/>
              </w:rPr>
              <w:t>E55_Type</w:t>
            </w:r>
            <w:r>
              <w:t>)</w:t>
            </w:r>
          </w:p>
        </w:tc>
      </w:tr>
      <w:tr w:rsidR="00BF18CF" w14:paraId="51887D7E" w14:textId="77777777" w:rsidTr="00BF18CF">
        <w:tc>
          <w:tcPr>
            <w:tcW w:w="2097" w:type="dxa"/>
          </w:tcPr>
          <w:p w14:paraId="65D2649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536A4455" w14:textId="77777777" w:rsidR="00BF18CF" w:rsidRDefault="00E51347">
            <w:r>
              <w:t>P62(</w:t>
            </w:r>
            <w:proofErr w:type="gramStart"/>
            <w:r>
              <w:t>x,y</w:t>
            </w:r>
            <w:proofErr w:type="gramEnd"/>
            <w:r>
              <w:t>) ⇒ E24(x)</w:t>
            </w:r>
          </w:p>
          <w:p w14:paraId="2ECC494C" w14:textId="77777777" w:rsidR="00BF18CF" w:rsidRDefault="00E51347">
            <w:r>
              <w:t>P62(</w:t>
            </w:r>
            <w:proofErr w:type="gramStart"/>
            <w:r>
              <w:t>x,y</w:t>
            </w:r>
            <w:proofErr w:type="gramEnd"/>
            <w:r>
              <w:t>) ⇒ E1(y)</w:t>
            </w:r>
          </w:p>
          <w:p w14:paraId="6E24A8F8" w14:textId="77777777" w:rsidR="00BF18CF" w:rsidRDefault="00E51347">
            <w:r>
              <w:t>P62(</w:t>
            </w:r>
            <w:proofErr w:type="gramStart"/>
            <w:r>
              <w:t>x,y</w:t>
            </w:r>
            <w:proofErr w:type="gramEnd"/>
            <w:r>
              <w:t>,z) ⇒ [P62(x,y) ˄ E55(z)]</w:t>
            </w:r>
          </w:p>
          <w:p w14:paraId="0F73336C" w14:textId="77777777" w:rsidR="00BF18CF" w:rsidRDefault="00E51347">
            <w:r>
              <w:t>P62(</w:t>
            </w:r>
            <w:proofErr w:type="gramStart"/>
            <w:r>
              <w:t>x,y</w:t>
            </w:r>
            <w:proofErr w:type="gramEnd"/>
            <w:r>
              <w:t>) ⇐ (∃z) [E36(z) ˄ P65(x,z) ˄ P138(z,y)]</w:t>
            </w:r>
          </w:p>
        </w:tc>
      </w:tr>
      <w:tr w:rsidR="00BF18CF" w14:paraId="102231C3" w14:textId="77777777" w:rsidTr="00BF18CF">
        <w:tc>
          <w:tcPr>
            <w:tcW w:w="2097" w:type="dxa"/>
          </w:tcPr>
          <w:p w14:paraId="7C431AA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35621DE9" w14:textId="77777777" w:rsidR="00BF18CF" w:rsidRDefault="00E51347">
            <w:r>
              <w:rPr>
                <w:rFonts w:ascii="Consolas" w:eastAsia="Consolas" w:hAnsi="Consolas" w:cs="Consolas"/>
                <w:sz w:val="22"/>
                <w:szCs w:val="22"/>
                <w:shd w:val="clear" w:color="auto" w:fill="EAEEF3"/>
              </w:rPr>
              <w:t>P62.1_mode_d’illustration</w:t>
            </w:r>
            <w:r>
              <w:t xml:space="preserve"> : </w:t>
            </w:r>
            <w:r>
              <w:rPr>
                <w:rFonts w:ascii="Consolas" w:eastAsia="Consolas" w:hAnsi="Consolas" w:cs="Consolas"/>
                <w:sz w:val="22"/>
                <w:szCs w:val="22"/>
                <w:shd w:val="clear" w:color="auto" w:fill="EAEEF3"/>
              </w:rPr>
              <w:t>E55_Type</w:t>
            </w:r>
          </w:p>
        </w:tc>
      </w:tr>
      <w:tr w:rsidR="00BF18CF" w14:paraId="128B2E68" w14:textId="77777777" w:rsidTr="00BF18CF">
        <w:tc>
          <w:tcPr>
            <w:tcW w:w="2097" w:type="dxa"/>
          </w:tcPr>
          <w:p w14:paraId="0ADBCF93" w14:textId="011B908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2DB6E3B0" w14:textId="77777777" w:rsidR="00BF18CF" w:rsidRDefault="00E51347">
            <w:r>
              <w:t>La révolution qui a eu lieu en France les 27, 28 et 29 juillet 1830 et qui a amené à l’instauration de la monarchie de Juillet est généralement appelée les « Trois Glorieuses » plutôt que la « Révolution de Juillet ».</w:t>
            </w:r>
          </w:p>
          <w:p w14:paraId="5C49B3FF" w14:textId="77777777" w:rsidR="00BF18CF" w:rsidRDefault="00E51347">
            <w:r>
              <w:t>Le terme « pence », pluriel de « penny », est traduit en français par « pennys ».</w:t>
            </w:r>
          </w:p>
        </w:tc>
      </w:tr>
      <w:tr w:rsidR="00BF18CF" w14:paraId="42D609AD" w14:textId="77777777" w:rsidTr="00BF18CF">
        <w:tc>
          <w:tcPr>
            <w:tcW w:w="2097" w:type="dxa"/>
          </w:tcPr>
          <w:p w14:paraId="00800D6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4B8FA035" w14:textId="77777777" w:rsidR="00BF18CF" w:rsidRDefault="00E51347">
            <w:r>
              <w:t xml:space="preserve">Wikipédia. « Penny ». Dans </w:t>
            </w:r>
            <w:r>
              <w:rPr>
                <w:i/>
              </w:rPr>
              <w:t>Wikipédia</w:t>
            </w:r>
            <w:r>
              <w:t>. San Francisco, US-CA: Wikipédia, 8 décembre 2022.</w:t>
            </w:r>
            <w:hyperlink r:id="rId414">
              <w:r>
                <w:rPr>
                  <w:color w:val="4F81BD"/>
                </w:rPr>
                <w:t xml:space="preserve"> https://fr.wikipedia.org/w/index.php?title=Penny&amp;oldid=199318252</w:t>
              </w:r>
            </w:hyperlink>
            <w:r>
              <w:t>.</w:t>
            </w:r>
          </w:p>
          <w:p w14:paraId="6001DF07" w14:textId="77777777" w:rsidR="00BF18CF" w:rsidRDefault="00E51347">
            <w:r>
              <w:t xml:space="preserve">———. « Trois Glorieuses ». Dans </w:t>
            </w:r>
            <w:r>
              <w:rPr>
                <w:i/>
              </w:rPr>
              <w:t>Wikipédia</w:t>
            </w:r>
            <w:r>
              <w:t>. San Francisco, US-CA: Wikipédia, 17 avril 2023.</w:t>
            </w:r>
            <w:hyperlink r:id="rId415">
              <w:r>
                <w:rPr>
                  <w:color w:val="4F81BD"/>
                </w:rPr>
                <w:t xml:space="preserve"> https://fr.wikipedia.org/w/index.php?title=Trois_Glorieuses&amp;oldid=203438591</w:t>
              </w:r>
            </w:hyperlink>
            <w:r>
              <w:t>.</w:t>
            </w:r>
          </w:p>
        </w:tc>
      </w:tr>
    </w:tbl>
    <w:p w14:paraId="283E0E89" w14:textId="77777777" w:rsidR="00BF18CF" w:rsidRDefault="00E51347">
      <w:pPr>
        <w:pStyle w:val="Heading3"/>
      </w:pPr>
      <w:bookmarkStart w:id="375" w:name="bookmark=id.2d51dmb" w:colFirst="0" w:colLast="0"/>
      <w:bookmarkStart w:id="376" w:name="_Toc144360931"/>
      <w:bookmarkEnd w:id="375"/>
      <w:r>
        <w:t>P65 représente l'entité visuelle (est représenté par)</w:t>
      </w:r>
      <w:bookmarkEnd w:id="376"/>
    </w:p>
    <w:tbl>
      <w:tblPr>
        <w:tblStyle w:val="aff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2"/>
        <w:gridCol w:w="8818"/>
      </w:tblGrid>
      <w:tr w:rsidR="00BF18CF" w14:paraId="77E8DDD1" w14:textId="77777777" w:rsidTr="00BF18CF">
        <w:tc>
          <w:tcPr>
            <w:tcW w:w="1872" w:type="dxa"/>
          </w:tcPr>
          <w:p w14:paraId="6FC06BB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8" w:type="dxa"/>
          </w:tcPr>
          <w:p w14:paraId="43F061E8" w14:textId="77777777" w:rsidR="00BF18CF" w:rsidRDefault="00E51347">
            <w:r>
              <w:rPr>
                <w:rFonts w:ascii="Consolas" w:eastAsia="Consolas" w:hAnsi="Consolas" w:cs="Consolas"/>
                <w:sz w:val="22"/>
                <w:szCs w:val="22"/>
                <w:shd w:val="clear" w:color="auto" w:fill="EAEEF3"/>
              </w:rPr>
              <w:t>E24_Chose_matérielle_élaborée_par_l’humain</w:t>
            </w:r>
          </w:p>
        </w:tc>
      </w:tr>
      <w:tr w:rsidR="00BF18CF" w14:paraId="1E37C240" w14:textId="77777777" w:rsidTr="00BF18CF">
        <w:tc>
          <w:tcPr>
            <w:tcW w:w="1872" w:type="dxa"/>
          </w:tcPr>
          <w:p w14:paraId="3B92814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8" w:type="dxa"/>
          </w:tcPr>
          <w:p w14:paraId="7E765F6D" w14:textId="77777777" w:rsidR="00BF18CF" w:rsidRDefault="00E51347">
            <w:r>
              <w:rPr>
                <w:rFonts w:ascii="Consolas" w:eastAsia="Consolas" w:hAnsi="Consolas" w:cs="Consolas"/>
                <w:sz w:val="22"/>
                <w:szCs w:val="22"/>
                <w:shd w:val="clear" w:color="auto" w:fill="EAEEF3"/>
              </w:rPr>
              <w:t>E36_Entité_visuelle</w:t>
            </w:r>
          </w:p>
        </w:tc>
      </w:tr>
      <w:tr w:rsidR="00BF18CF" w14:paraId="576E265A" w14:textId="77777777" w:rsidTr="00BF18CF">
        <w:tc>
          <w:tcPr>
            <w:tcW w:w="1872" w:type="dxa"/>
          </w:tcPr>
          <w:p w14:paraId="5C23C93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8" w:type="dxa"/>
          </w:tcPr>
          <w:p w14:paraId="63EB5D7B"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P128_est_le_support_de (a_pour_support)</w:t>
            </w:r>
            <w:r>
              <w:t xml:space="preserve"> : </w:t>
            </w:r>
            <w:r>
              <w:rPr>
                <w:rFonts w:ascii="Consolas" w:eastAsia="Consolas" w:hAnsi="Consolas" w:cs="Consolas"/>
                <w:sz w:val="22"/>
                <w:szCs w:val="22"/>
                <w:shd w:val="clear" w:color="auto" w:fill="EAEEF3"/>
              </w:rPr>
              <w:t>E90_Objet_symbolique</w:t>
            </w:r>
          </w:p>
        </w:tc>
      </w:tr>
      <w:tr w:rsidR="00BF18CF" w14:paraId="57555B96" w14:textId="77777777" w:rsidTr="00BF18CF">
        <w:tc>
          <w:tcPr>
            <w:tcW w:w="1872" w:type="dxa"/>
          </w:tcPr>
          <w:p w14:paraId="37C22F6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8" w:type="dxa"/>
          </w:tcPr>
          <w:p w14:paraId="2FA13AB1" w14:textId="77777777" w:rsidR="00BF18CF" w:rsidRDefault="00BF18CF">
            <w:pPr>
              <w:pBdr>
                <w:top w:val="nil"/>
                <w:left w:val="nil"/>
                <w:bottom w:val="nil"/>
                <w:right w:val="nil"/>
                <w:between w:val="nil"/>
              </w:pBdr>
              <w:spacing w:before="36" w:after="36"/>
              <w:rPr>
                <w:color w:val="000000"/>
              </w:rPr>
            </w:pPr>
          </w:p>
        </w:tc>
      </w:tr>
      <w:tr w:rsidR="00BF18CF" w14:paraId="2EF64946" w14:textId="77777777" w:rsidTr="00BF18CF">
        <w:tc>
          <w:tcPr>
            <w:tcW w:w="1872" w:type="dxa"/>
          </w:tcPr>
          <w:p w14:paraId="00A767AE"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8" w:type="dxa"/>
          </w:tcPr>
          <w:p w14:paraId="31413E0D" w14:textId="77777777" w:rsidR="00BF18CF" w:rsidRDefault="00E51347">
            <w:proofErr w:type="gramStart"/>
            <w:r>
              <w:t>plusieurs</w:t>
            </w:r>
            <w:proofErr w:type="gramEnd"/>
            <w:r>
              <w:t xml:space="preserve"> à plusieurs (0,n:0,n)</w:t>
            </w:r>
          </w:p>
        </w:tc>
      </w:tr>
      <w:tr w:rsidR="00BF18CF" w14:paraId="04494427" w14:textId="77777777" w:rsidTr="00BF18CF">
        <w:tc>
          <w:tcPr>
            <w:tcW w:w="1872" w:type="dxa"/>
          </w:tcPr>
          <w:p w14:paraId="3965CB8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8" w:type="dxa"/>
          </w:tcPr>
          <w:p w14:paraId="113DA1A5" w14:textId="77777777" w:rsidR="00BF18CF" w:rsidRDefault="00E51347">
            <w:r>
              <w:t xml:space="preserve">Cette propriété documente une instance de </w:t>
            </w:r>
            <w:r>
              <w:rPr>
                <w:rFonts w:ascii="Consolas" w:eastAsia="Consolas" w:hAnsi="Consolas" w:cs="Consolas"/>
                <w:sz w:val="22"/>
                <w:szCs w:val="22"/>
                <w:shd w:val="clear" w:color="auto" w:fill="EAEEF3"/>
              </w:rPr>
              <w:t>E36_Entité_visuelle</w:t>
            </w:r>
            <w:r>
              <w:t xml:space="preserve"> représentée par une instance de </w:t>
            </w:r>
            <w:r>
              <w:rPr>
                <w:rFonts w:ascii="Consolas" w:eastAsia="Consolas" w:hAnsi="Consolas" w:cs="Consolas"/>
                <w:sz w:val="22"/>
                <w:szCs w:val="22"/>
                <w:shd w:val="clear" w:color="auto" w:fill="EAEEF3"/>
              </w:rPr>
              <w:t>E24_Chose_matérielle_élaborée_par_l’humain</w:t>
            </w:r>
            <w:r>
              <w:t>.</w:t>
            </w:r>
          </w:p>
          <w:p w14:paraId="046EFD87" w14:textId="77777777" w:rsidR="00BF18CF" w:rsidRDefault="00E51347">
            <w:r>
              <w:lastRenderedPageBreak/>
              <w:t xml:space="preserve">Cette propriété est similaire à </w:t>
            </w:r>
            <w:r>
              <w:rPr>
                <w:rFonts w:ascii="Consolas" w:eastAsia="Consolas" w:hAnsi="Consolas" w:cs="Consolas"/>
                <w:sz w:val="22"/>
                <w:szCs w:val="22"/>
                <w:shd w:val="clear" w:color="auto" w:fill="EAEEF3"/>
              </w:rPr>
              <w:t>P62_illustre (est_illustré_par)</w:t>
            </w:r>
            <w:r>
              <w:t xml:space="preserve"> puisqu'elle associe une instance de </w:t>
            </w:r>
            <w:r>
              <w:rPr>
                <w:rFonts w:ascii="Consolas" w:eastAsia="Consolas" w:hAnsi="Consolas" w:cs="Consolas"/>
                <w:sz w:val="22"/>
                <w:szCs w:val="22"/>
                <w:shd w:val="clear" w:color="auto" w:fill="EAEEF3"/>
              </w:rPr>
              <w:t>E24_Chose_matérielle_élaborée_par_l’humain</w:t>
            </w:r>
            <w:r>
              <w:t xml:space="preserve"> à une représentation visuelle. Cependant, </w:t>
            </w:r>
            <w:r>
              <w:rPr>
                <w:rFonts w:ascii="Consolas" w:eastAsia="Consolas" w:hAnsi="Consolas" w:cs="Consolas"/>
                <w:sz w:val="22"/>
                <w:szCs w:val="22"/>
                <w:shd w:val="clear" w:color="auto" w:fill="EAEEF3"/>
              </w:rPr>
              <w:t>P65_représente_l’entité_visuelle (est_représenté_par)</w:t>
            </w:r>
            <w:r>
              <w:t xml:space="preserve"> diffère de la propriété </w:t>
            </w:r>
            <w:r>
              <w:rPr>
                <w:rFonts w:ascii="Consolas" w:eastAsia="Consolas" w:hAnsi="Consolas" w:cs="Consolas"/>
                <w:sz w:val="22"/>
                <w:szCs w:val="22"/>
                <w:shd w:val="clear" w:color="auto" w:fill="EAEEF3"/>
              </w:rPr>
              <w:t>P62_illustre (est_illustré_par)</w:t>
            </w:r>
            <w:r>
              <w:t xml:space="preserve"> puisqu'elle ne renseigne pas sur ce que l'instance de </w:t>
            </w:r>
            <w:r>
              <w:rPr>
                <w:rFonts w:ascii="Consolas" w:eastAsia="Consolas" w:hAnsi="Consolas" w:cs="Consolas"/>
                <w:sz w:val="22"/>
                <w:szCs w:val="22"/>
                <w:shd w:val="clear" w:color="auto" w:fill="EAEEF3"/>
              </w:rPr>
              <w:t>E36_Entité_visuelle</w:t>
            </w:r>
            <w:r>
              <w:t xml:space="preserve"> est censée représenter. Une instance de </w:t>
            </w:r>
            <w:r>
              <w:rPr>
                <w:rFonts w:ascii="Consolas" w:eastAsia="Consolas" w:hAnsi="Consolas" w:cs="Consolas"/>
                <w:sz w:val="22"/>
                <w:szCs w:val="22"/>
                <w:shd w:val="clear" w:color="auto" w:fill="EAEEF3"/>
              </w:rPr>
              <w:t>E36_Entité_visuelle</w:t>
            </w:r>
            <w:r>
              <w:t xml:space="preserve"> identifie une image ou </w:t>
            </w:r>
            <w:proofErr w:type="gramStart"/>
            <w:r>
              <w:t>un symbole reconnaissables</w:t>
            </w:r>
            <w:proofErr w:type="gramEnd"/>
            <w:r>
              <w:t>, indépendamment de ce que cette image peut représenter ou non.</w:t>
            </w:r>
          </w:p>
          <w:p w14:paraId="3100DB91" w14:textId="77777777" w:rsidR="00BF18CF" w:rsidRDefault="00E51347">
            <w:r>
              <w:t xml:space="preserve">Par exemple, toutes les pièces de monnaie britanniques récentes présentent un portrait de la reine Elizabeth II, un fait correctement documenté par l'utilisation de la propriété </w:t>
            </w:r>
            <w:r>
              <w:rPr>
                <w:rFonts w:ascii="Consolas" w:eastAsia="Consolas" w:hAnsi="Consolas" w:cs="Consolas"/>
                <w:sz w:val="22"/>
                <w:szCs w:val="22"/>
                <w:shd w:val="clear" w:color="auto" w:fill="EAEEF3"/>
              </w:rPr>
              <w:t>P62_illustre (est_illustré_par)</w:t>
            </w:r>
            <w:r>
              <w:t xml:space="preserve">. Cependant, différents portraits ont été utilisés au cours du temps. La propriété </w:t>
            </w:r>
            <w:r>
              <w:rPr>
                <w:rFonts w:ascii="Consolas" w:eastAsia="Consolas" w:hAnsi="Consolas" w:cs="Consolas"/>
                <w:sz w:val="22"/>
                <w:szCs w:val="22"/>
                <w:shd w:val="clear" w:color="auto" w:fill="EAEEF3"/>
              </w:rPr>
              <w:t>P65_représente_l’entité_visuelle (est_représenté_par)</w:t>
            </w:r>
            <w:r>
              <w:t xml:space="preserve"> peut être utilisée pour faire référence à un portrait particulier.</w:t>
            </w:r>
          </w:p>
          <w:p w14:paraId="08F41402" w14:textId="77777777" w:rsidR="00BF18CF" w:rsidRDefault="00E51347">
            <w:r>
              <w:t xml:space="preserve">La propriété </w:t>
            </w:r>
            <w:r>
              <w:rPr>
                <w:rFonts w:ascii="Consolas" w:eastAsia="Consolas" w:hAnsi="Consolas" w:cs="Consolas"/>
                <w:sz w:val="22"/>
                <w:szCs w:val="22"/>
                <w:shd w:val="clear" w:color="auto" w:fill="EAEEF3"/>
              </w:rPr>
              <w:t>P65_représente_l’entité_visuelle (est_représenté_par)</w:t>
            </w:r>
            <w:r>
              <w:t xml:space="preserve"> peut également être utilisée pour les entités visuelles telles que les signes, les marques et les symboles, par exemple la croix de Malte ou le symbole du droit d'auteur, qui n'ont pas de contenu de représentation particulier.</w:t>
            </w:r>
          </w:p>
          <w:p w14:paraId="16B04B66" w14:textId="77777777" w:rsidR="00BF18CF" w:rsidRDefault="00E51347">
            <w:r>
              <w:t xml:space="preserve">Cette propriété fait partie du chemin sémantique plus détaillé </w:t>
            </w:r>
            <w:r>
              <w:rPr>
                <w:rFonts w:ascii="Consolas" w:eastAsia="Consolas" w:hAnsi="Consolas" w:cs="Consolas"/>
                <w:sz w:val="22"/>
                <w:szCs w:val="22"/>
                <w:shd w:val="clear" w:color="auto" w:fill="EAEEF3"/>
              </w:rPr>
              <w:t>E24_Chose_matérielle_élaborée_par_l’humain</w:t>
            </w:r>
            <w:r>
              <w:t xml:space="preserve">, </w:t>
            </w:r>
            <w:r>
              <w:rPr>
                <w:rFonts w:ascii="Consolas" w:eastAsia="Consolas" w:hAnsi="Consolas" w:cs="Consolas"/>
                <w:sz w:val="22"/>
                <w:szCs w:val="22"/>
                <w:shd w:val="clear" w:color="auto" w:fill="EAEEF3"/>
              </w:rPr>
              <w:t>P65_représente_l’entité_visuelle (est_représenté_par)</w:t>
            </w:r>
            <w:r>
              <w:t xml:space="preserve">, </w:t>
            </w:r>
            <w:r>
              <w:rPr>
                <w:rFonts w:ascii="Consolas" w:eastAsia="Consolas" w:hAnsi="Consolas" w:cs="Consolas"/>
                <w:sz w:val="22"/>
                <w:szCs w:val="22"/>
                <w:shd w:val="clear" w:color="auto" w:fill="EAEEF3"/>
              </w:rPr>
              <w:t>E36_Entité_visuelle</w:t>
            </w:r>
            <w:r>
              <w:t xml:space="preserve">, </w:t>
            </w:r>
            <w:r>
              <w:rPr>
                <w:rFonts w:ascii="Consolas" w:eastAsia="Consolas" w:hAnsi="Consolas" w:cs="Consolas"/>
                <w:sz w:val="22"/>
                <w:szCs w:val="22"/>
                <w:shd w:val="clear" w:color="auto" w:fill="EAEEF3"/>
              </w:rPr>
              <w:t>P138_représente (est_représenté_par)</w:t>
            </w:r>
            <w:r>
              <w:t xml:space="preserve">, </w:t>
            </w:r>
            <w:r>
              <w:rPr>
                <w:rFonts w:ascii="Consolas" w:eastAsia="Consolas" w:hAnsi="Consolas" w:cs="Consolas"/>
                <w:sz w:val="22"/>
                <w:szCs w:val="22"/>
                <w:shd w:val="clear" w:color="auto" w:fill="EAEEF3"/>
              </w:rPr>
              <w:t>E1_Entité_CRM</w:t>
            </w:r>
            <w:r>
              <w:t xml:space="preserve">, qui peut être raccourci par l'utilisation de </w:t>
            </w:r>
            <w:r>
              <w:rPr>
                <w:rFonts w:ascii="Consolas" w:eastAsia="Consolas" w:hAnsi="Consolas" w:cs="Consolas"/>
                <w:sz w:val="22"/>
                <w:szCs w:val="22"/>
                <w:shd w:val="clear" w:color="auto" w:fill="EAEEF3"/>
              </w:rPr>
              <w:t>P62_illustre (est_illustré_par)</w:t>
            </w:r>
            <w:r>
              <w:t>.</w:t>
            </w:r>
          </w:p>
        </w:tc>
      </w:tr>
      <w:tr w:rsidR="00BF18CF" w14:paraId="0E7DAC94" w14:textId="77777777" w:rsidTr="00BF18CF">
        <w:tc>
          <w:tcPr>
            <w:tcW w:w="1872" w:type="dxa"/>
          </w:tcPr>
          <w:p w14:paraId="09C83336"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18" w:type="dxa"/>
          </w:tcPr>
          <w:p w14:paraId="60614414" w14:textId="77777777" w:rsidR="00BF18CF" w:rsidRDefault="00E51347">
            <w:pPr>
              <w:numPr>
                <w:ilvl w:val="0"/>
                <w:numId w:val="19"/>
              </w:numPr>
            </w:pPr>
            <w:r>
              <w:t>Mon T-Shirt (</w:t>
            </w:r>
            <w:r>
              <w:rPr>
                <w:rFonts w:ascii="Consolas" w:eastAsia="Consolas" w:hAnsi="Consolas" w:cs="Consolas"/>
                <w:sz w:val="22"/>
                <w:szCs w:val="22"/>
                <w:shd w:val="clear" w:color="auto" w:fill="EAEEF3"/>
              </w:rPr>
              <w:t>E22_Objet_élaboré_par_l’humain</w:t>
            </w:r>
            <w:r>
              <w:t>) représente l'entité visuelle (</w:t>
            </w:r>
            <w:r>
              <w:rPr>
                <w:rFonts w:ascii="Consolas" w:eastAsia="Consolas" w:hAnsi="Consolas" w:cs="Consolas"/>
                <w:sz w:val="22"/>
                <w:szCs w:val="22"/>
                <w:shd w:val="clear" w:color="auto" w:fill="EAEEF3"/>
              </w:rPr>
              <w:t>P65_représente_l’entité_visuelle</w:t>
            </w:r>
            <w:r>
              <w:t>) Monna Lisa (</w:t>
            </w:r>
            <w:r>
              <w:rPr>
                <w:rFonts w:ascii="Consolas" w:eastAsia="Consolas" w:hAnsi="Consolas" w:cs="Consolas"/>
                <w:sz w:val="22"/>
                <w:szCs w:val="22"/>
                <w:shd w:val="clear" w:color="auto" w:fill="EAEEF3"/>
              </w:rPr>
              <w:t>E36_Entité_visuelle</w:t>
            </w:r>
            <w:r>
              <w:t>) (fictif)</w:t>
            </w:r>
          </w:p>
        </w:tc>
      </w:tr>
      <w:tr w:rsidR="00BF18CF" w14:paraId="06572FB6" w14:textId="77777777" w:rsidTr="00BF18CF">
        <w:tc>
          <w:tcPr>
            <w:tcW w:w="1872" w:type="dxa"/>
          </w:tcPr>
          <w:p w14:paraId="0652602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8" w:type="dxa"/>
          </w:tcPr>
          <w:p w14:paraId="21400027" w14:textId="77777777" w:rsidR="00BF18CF" w:rsidRDefault="00E51347">
            <w:r>
              <w:t>P65(</w:t>
            </w:r>
            <w:proofErr w:type="gramStart"/>
            <w:r>
              <w:t>x,y</w:t>
            </w:r>
            <w:proofErr w:type="gramEnd"/>
            <w:r>
              <w:t>) ⇒ E24(x)</w:t>
            </w:r>
          </w:p>
          <w:p w14:paraId="2F52AA4A" w14:textId="77777777" w:rsidR="00BF18CF" w:rsidRDefault="00E51347">
            <w:r>
              <w:t>P65(</w:t>
            </w:r>
            <w:proofErr w:type="gramStart"/>
            <w:r>
              <w:t>x,y</w:t>
            </w:r>
            <w:proofErr w:type="gramEnd"/>
            <w:r>
              <w:t>) ⇒ E36(y)</w:t>
            </w:r>
          </w:p>
          <w:p w14:paraId="115BB5B9" w14:textId="77777777" w:rsidR="00BF18CF" w:rsidRDefault="00E51347">
            <w:r>
              <w:t>P65(</w:t>
            </w:r>
            <w:proofErr w:type="gramStart"/>
            <w:r>
              <w:t>x,y</w:t>
            </w:r>
            <w:proofErr w:type="gramEnd"/>
            <w:r>
              <w:t>) ⇒ P128(x,y)</w:t>
            </w:r>
          </w:p>
        </w:tc>
      </w:tr>
      <w:tr w:rsidR="00BF18CF" w14:paraId="45DB4D7E" w14:textId="77777777" w:rsidTr="00BF18CF">
        <w:tc>
          <w:tcPr>
            <w:tcW w:w="1872" w:type="dxa"/>
          </w:tcPr>
          <w:p w14:paraId="59CE00C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8" w:type="dxa"/>
          </w:tcPr>
          <w:p w14:paraId="4EFFC953" w14:textId="77777777" w:rsidR="00BF18CF" w:rsidRDefault="00BF18CF">
            <w:pPr>
              <w:pBdr>
                <w:top w:val="nil"/>
                <w:left w:val="nil"/>
                <w:bottom w:val="nil"/>
                <w:right w:val="nil"/>
                <w:between w:val="nil"/>
              </w:pBdr>
              <w:spacing w:before="36" w:after="36"/>
              <w:rPr>
                <w:color w:val="000000"/>
              </w:rPr>
            </w:pPr>
          </w:p>
        </w:tc>
      </w:tr>
      <w:tr w:rsidR="00BF18CF" w14:paraId="4A8FF281" w14:textId="77777777" w:rsidTr="00BF18CF">
        <w:tc>
          <w:tcPr>
            <w:tcW w:w="1872" w:type="dxa"/>
          </w:tcPr>
          <w:p w14:paraId="0938BA89" w14:textId="10A1B63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8" w:type="dxa"/>
          </w:tcPr>
          <w:p w14:paraId="6058D27D" w14:textId="77777777" w:rsidR="00BF18CF" w:rsidRDefault="00BF18CF">
            <w:pPr>
              <w:pBdr>
                <w:top w:val="nil"/>
                <w:left w:val="nil"/>
                <w:bottom w:val="nil"/>
                <w:right w:val="nil"/>
                <w:between w:val="nil"/>
              </w:pBdr>
              <w:spacing w:before="36" w:after="36"/>
              <w:rPr>
                <w:color w:val="000000"/>
              </w:rPr>
            </w:pPr>
          </w:p>
        </w:tc>
      </w:tr>
      <w:tr w:rsidR="00BF18CF" w14:paraId="02C31BF7" w14:textId="77777777" w:rsidTr="00BF18CF">
        <w:tc>
          <w:tcPr>
            <w:tcW w:w="1872" w:type="dxa"/>
          </w:tcPr>
          <w:p w14:paraId="0F572AB0"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8" w:type="dxa"/>
          </w:tcPr>
          <w:p w14:paraId="1E0D6407" w14:textId="77777777" w:rsidR="00BF18CF" w:rsidRDefault="00BF18CF">
            <w:pPr>
              <w:pBdr>
                <w:top w:val="nil"/>
                <w:left w:val="nil"/>
                <w:bottom w:val="nil"/>
                <w:right w:val="nil"/>
                <w:between w:val="nil"/>
              </w:pBdr>
              <w:spacing w:before="36" w:after="36"/>
              <w:rPr>
                <w:color w:val="000000"/>
              </w:rPr>
            </w:pPr>
          </w:p>
        </w:tc>
      </w:tr>
    </w:tbl>
    <w:p w14:paraId="121487C8" w14:textId="77777777" w:rsidR="00BF18CF" w:rsidRDefault="00E51347">
      <w:pPr>
        <w:pStyle w:val="Heading3"/>
      </w:pPr>
      <w:bookmarkStart w:id="377" w:name="bookmark=id.sabnu4" w:colFirst="0" w:colLast="0"/>
      <w:bookmarkStart w:id="378" w:name="_Toc144360932"/>
      <w:bookmarkEnd w:id="377"/>
      <w:r>
        <w:t>P67 renvoie à (fait l'objet d'un renvoi par)</w:t>
      </w:r>
      <w:bookmarkEnd w:id="378"/>
    </w:p>
    <w:tbl>
      <w:tblPr>
        <w:tblStyle w:val="afff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8"/>
        <w:gridCol w:w="8802"/>
      </w:tblGrid>
      <w:tr w:rsidR="00BF18CF" w14:paraId="1BD14F31" w14:textId="77777777" w:rsidTr="00BF18CF">
        <w:tc>
          <w:tcPr>
            <w:tcW w:w="1888" w:type="dxa"/>
          </w:tcPr>
          <w:p w14:paraId="38A9CE37"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2" w:type="dxa"/>
          </w:tcPr>
          <w:p w14:paraId="6558D431" w14:textId="77777777" w:rsidR="00BF18CF" w:rsidRDefault="00E51347">
            <w:r>
              <w:rPr>
                <w:rFonts w:ascii="Consolas" w:eastAsia="Consolas" w:hAnsi="Consolas" w:cs="Consolas"/>
                <w:sz w:val="22"/>
                <w:szCs w:val="22"/>
                <w:shd w:val="clear" w:color="auto" w:fill="EAEEF3"/>
              </w:rPr>
              <w:t>E89_Objet_propositionnel</w:t>
            </w:r>
          </w:p>
        </w:tc>
      </w:tr>
      <w:tr w:rsidR="00BF18CF" w14:paraId="1DFE3CF3" w14:textId="77777777" w:rsidTr="00BF18CF">
        <w:tc>
          <w:tcPr>
            <w:tcW w:w="1888" w:type="dxa"/>
          </w:tcPr>
          <w:p w14:paraId="47D7DA2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2" w:type="dxa"/>
          </w:tcPr>
          <w:p w14:paraId="3ED8CB5B" w14:textId="77777777" w:rsidR="00BF18CF" w:rsidRDefault="00E51347">
            <w:r>
              <w:rPr>
                <w:rFonts w:ascii="Consolas" w:eastAsia="Consolas" w:hAnsi="Consolas" w:cs="Consolas"/>
                <w:sz w:val="22"/>
                <w:szCs w:val="22"/>
                <w:shd w:val="clear" w:color="auto" w:fill="EAEEF3"/>
              </w:rPr>
              <w:t>E1_Entité_CRM</w:t>
            </w:r>
          </w:p>
        </w:tc>
      </w:tr>
      <w:tr w:rsidR="00BF18CF" w14:paraId="5FAE79EE" w14:textId="77777777" w:rsidTr="00BF18CF">
        <w:tc>
          <w:tcPr>
            <w:tcW w:w="1888" w:type="dxa"/>
          </w:tcPr>
          <w:p w14:paraId="3D74F66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2" w:type="dxa"/>
          </w:tcPr>
          <w:p w14:paraId="4B1E2CEE" w14:textId="77777777" w:rsidR="00BF18CF" w:rsidRDefault="00BF18CF">
            <w:pPr>
              <w:pBdr>
                <w:top w:val="nil"/>
                <w:left w:val="nil"/>
                <w:bottom w:val="nil"/>
                <w:right w:val="nil"/>
                <w:between w:val="nil"/>
              </w:pBdr>
              <w:spacing w:before="36" w:after="36"/>
              <w:rPr>
                <w:color w:val="000000"/>
              </w:rPr>
            </w:pPr>
          </w:p>
        </w:tc>
      </w:tr>
      <w:tr w:rsidR="00BF18CF" w14:paraId="1C240C43" w14:textId="77777777" w:rsidTr="00BF18CF">
        <w:tc>
          <w:tcPr>
            <w:tcW w:w="1888" w:type="dxa"/>
          </w:tcPr>
          <w:p w14:paraId="438886A3" w14:textId="77777777" w:rsidR="00BF18CF" w:rsidRDefault="00E51347">
            <w:pPr>
              <w:pBdr>
                <w:top w:val="nil"/>
                <w:left w:val="nil"/>
                <w:bottom w:val="nil"/>
                <w:right w:val="nil"/>
                <w:between w:val="nil"/>
              </w:pBdr>
              <w:spacing w:before="36" w:after="36"/>
              <w:rPr>
                <w:color w:val="000000"/>
              </w:rPr>
            </w:pPr>
            <w:r>
              <w:rPr>
                <w:b/>
                <w:color w:val="000000"/>
              </w:rPr>
              <w:lastRenderedPageBreak/>
              <w:t>Super-propriété de</w:t>
            </w:r>
          </w:p>
        </w:tc>
        <w:tc>
          <w:tcPr>
            <w:tcW w:w="8802" w:type="dxa"/>
          </w:tcPr>
          <w:p w14:paraId="67A1F99F" w14:textId="77777777" w:rsidR="00BF18CF" w:rsidRDefault="00E51347">
            <w:r>
              <w:rPr>
                <w:rFonts w:ascii="Consolas" w:eastAsia="Consolas" w:hAnsi="Consolas" w:cs="Consolas"/>
                <w:sz w:val="22"/>
                <w:szCs w:val="22"/>
                <w:shd w:val="clear" w:color="auto" w:fill="EAEEF3"/>
              </w:rPr>
              <w:t>E29_Conceptualisation_ou_procédure</w:t>
            </w:r>
            <w:r>
              <w:t xml:space="preserve">. </w:t>
            </w:r>
            <w:r>
              <w:rPr>
                <w:rFonts w:ascii="Consolas" w:eastAsia="Consolas" w:hAnsi="Consolas" w:cs="Consolas"/>
                <w:sz w:val="22"/>
                <w:szCs w:val="22"/>
                <w:shd w:val="clear" w:color="auto" w:fill="EAEEF3"/>
              </w:rPr>
              <w:t>P68_prévoit_l’usage_de (usage_prévu_de)</w:t>
            </w:r>
            <w:r>
              <w:t xml:space="preserve"> : </w:t>
            </w:r>
            <w:r>
              <w:rPr>
                <w:rFonts w:ascii="Consolas" w:eastAsia="Consolas" w:hAnsi="Consolas" w:cs="Consolas"/>
                <w:sz w:val="22"/>
                <w:szCs w:val="22"/>
                <w:shd w:val="clear" w:color="auto" w:fill="EAEEF3"/>
              </w:rPr>
              <w:t>E57_Matériau</w:t>
            </w:r>
          </w:p>
          <w:p w14:paraId="4BF243DE" w14:textId="77777777" w:rsidR="00BF18CF" w:rsidRDefault="00E51347">
            <w:r>
              <w:rPr>
                <w:rFonts w:ascii="Consolas" w:eastAsia="Consolas" w:hAnsi="Consolas" w:cs="Consolas"/>
                <w:sz w:val="22"/>
                <w:szCs w:val="22"/>
                <w:shd w:val="clear" w:color="auto" w:fill="EAEEF3"/>
              </w:rPr>
              <w:t>E31_Document</w:t>
            </w:r>
            <w:r>
              <w:t xml:space="preserve">. </w:t>
            </w:r>
            <w:r>
              <w:rPr>
                <w:rFonts w:ascii="Consolas" w:eastAsia="Consolas" w:hAnsi="Consolas" w:cs="Consolas"/>
                <w:sz w:val="22"/>
                <w:szCs w:val="22"/>
                <w:shd w:val="clear" w:color="auto" w:fill="EAEEF3"/>
              </w:rPr>
              <w:t>P70_documente (est_documenté_dans)</w:t>
            </w:r>
            <w:r>
              <w:t xml:space="preserve"> : </w:t>
            </w:r>
            <w:r>
              <w:rPr>
                <w:rFonts w:ascii="Consolas" w:eastAsia="Consolas" w:hAnsi="Consolas" w:cs="Consolas"/>
                <w:sz w:val="22"/>
                <w:szCs w:val="22"/>
                <w:shd w:val="clear" w:color="auto" w:fill="EAEEF3"/>
              </w:rPr>
              <w:t>E1_Entité_CRM</w:t>
            </w:r>
          </w:p>
          <w:p w14:paraId="28228633" w14:textId="77777777" w:rsidR="00BF18CF" w:rsidRDefault="00E51347">
            <w:r>
              <w:rPr>
                <w:rFonts w:ascii="Consolas" w:eastAsia="Consolas" w:hAnsi="Consolas" w:cs="Consolas"/>
                <w:sz w:val="22"/>
                <w:szCs w:val="22"/>
                <w:shd w:val="clear" w:color="auto" w:fill="EAEEF3"/>
              </w:rPr>
              <w:t>E32_Document_de_référence</w:t>
            </w:r>
            <w:r>
              <w:t>.</w:t>
            </w:r>
            <w:r>
              <w:rPr>
                <w:rFonts w:ascii="Consolas" w:eastAsia="Consolas" w:hAnsi="Consolas" w:cs="Consolas"/>
                <w:sz w:val="22"/>
                <w:szCs w:val="22"/>
                <w:shd w:val="clear" w:color="auto" w:fill="EAEEF3"/>
              </w:rPr>
              <w:t xml:space="preserve"> P71_énumère (est_énuméré_par)</w:t>
            </w:r>
            <w:r>
              <w:t xml:space="preserve"> : </w:t>
            </w:r>
            <w:r>
              <w:rPr>
                <w:rFonts w:ascii="Consolas" w:eastAsia="Consolas" w:hAnsi="Consolas" w:cs="Consolas"/>
                <w:sz w:val="22"/>
                <w:szCs w:val="22"/>
                <w:shd w:val="clear" w:color="auto" w:fill="EAEEF3"/>
              </w:rPr>
              <w:t>E1_Entité_CRM</w:t>
            </w:r>
          </w:p>
          <w:p w14:paraId="4F83113E" w14:textId="77777777" w:rsidR="00BF18CF" w:rsidRDefault="00E51347">
            <w:r>
              <w:rPr>
                <w:rFonts w:ascii="Consolas" w:eastAsia="Consolas" w:hAnsi="Consolas" w:cs="Consolas"/>
                <w:sz w:val="22"/>
                <w:szCs w:val="22"/>
                <w:shd w:val="clear" w:color="auto" w:fill="EAEEF3"/>
              </w:rPr>
              <w:t>E89_Objet_propositionnel</w:t>
            </w:r>
            <w:r>
              <w:t xml:space="preserve">. </w:t>
            </w:r>
            <w:r>
              <w:rPr>
                <w:rFonts w:ascii="Consolas" w:eastAsia="Consolas" w:hAnsi="Consolas" w:cs="Consolas"/>
                <w:sz w:val="22"/>
                <w:szCs w:val="22"/>
                <w:shd w:val="clear" w:color="auto" w:fill="EAEEF3"/>
              </w:rPr>
              <w:t>P129_a_pour_sujet (est_le_sujet_de)</w:t>
            </w:r>
            <w:r>
              <w:t xml:space="preserve"> : </w:t>
            </w:r>
            <w:r>
              <w:rPr>
                <w:rFonts w:ascii="Consolas" w:eastAsia="Consolas" w:hAnsi="Consolas" w:cs="Consolas"/>
                <w:sz w:val="22"/>
                <w:szCs w:val="22"/>
                <w:shd w:val="clear" w:color="auto" w:fill="EAEEF3"/>
              </w:rPr>
              <w:t>E1_Entité_CRM</w:t>
            </w:r>
          </w:p>
          <w:p w14:paraId="723952A2" w14:textId="77777777" w:rsidR="00BF18CF" w:rsidRDefault="00E51347">
            <w:r>
              <w:rPr>
                <w:rFonts w:ascii="Consolas" w:eastAsia="Consolas" w:hAnsi="Consolas" w:cs="Consolas"/>
                <w:sz w:val="22"/>
                <w:szCs w:val="22"/>
                <w:shd w:val="clear" w:color="auto" w:fill="EAEEF3"/>
              </w:rPr>
              <w:t>E36_Entité_visuelle</w:t>
            </w:r>
            <w:r>
              <w:t>.</w:t>
            </w:r>
            <w:r>
              <w:rPr>
                <w:rFonts w:ascii="Consolas" w:eastAsia="Consolas" w:hAnsi="Consolas" w:cs="Consolas"/>
                <w:sz w:val="22"/>
                <w:szCs w:val="22"/>
                <w:shd w:val="clear" w:color="auto" w:fill="EAEEF3"/>
              </w:rPr>
              <w:t xml:space="preserve"> P138_représente (est_représenté_par)</w:t>
            </w:r>
            <w:r>
              <w:t xml:space="preserve"> : </w:t>
            </w:r>
            <w:r>
              <w:rPr>
                <w:rFonts w:ascii="Consolas" w:eastAsia="Consolas" w:hAnsi="Consolas" w:cs="Consolas"/>
                <w:sz w:val="22"/>
                <w:szCs w:val="22"/>
                <w:shd w:val="clear" w:color="auto" w:fill="EAEEF3"/>
              </w:rPr>
              <w:t>E1_Entité_CRM</w:t>
            </w:r>
          </w:p>
        </w:tc>
      </w:tr>
      <w:tr w:rsidR="00BF18CF" w14:paraId="61F0DDC9" w14:textId="77777777" w:rsidTr="00BF18CF">
        <w:tc>
          <w:tcPr>
            <w:tcW w:w="1888" w:type="dxa"/>
          </w:tcPr>
          <w:p w14:paraId="2DF7201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2" w:type="dxa"/>
          </w:tcPr>
          <w:p w14:paraId="7C97ADBB" w14:textId="77777777" w:rsidR="00BF18CF" w:rsidRDefault="00E51347">
            <w:proofErr w:type="gramStart"/>
            <w:r>
              <w:t>plusieurs</w:t>
            </w:r>
            <w:proofErr w:type="gramEnd"/>
            <w:r>
              <w:t xml:space="preserve"> à plusieurs (0,n:0,n)</w:t>
            </w:r>
          </w:p>
        </w:tc>
      </w:tr>
      <w:tr w:rsidR="00BF18CF" w14:paraId="2EF6B587" w14:textId="77777777" w:rsidTr="00BF18CF">
        <w:tc>
          <w:tcPr>
            <w:tcW w:w="1888" w:type="dxa"/>
          </w:tcPr>
          <w:p w14:paraId="707955C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2" w:type="dxa"/>
          </w:tcPr>
          <w:p w14:paraId="79DD0431" w14:textId="77777777" w:rsidR="00BF18CF" w:rsidRDefault="00E51347">
            <w:r>
              <w:t xml:space="preserve">Cette propriété documente qu'une instance de </w:t>
            </w:r>
            <w:r>
              <w:rPr>
                <w:rFonts w:ascii="Consolas" w:eastAsia="Consolas" w:hAnsi="Consolas" w:cs="Consolas"/>
                <w:sz w:val="22"/>
                <w:szCs w:val="22"/>
                <w:shd w:val="clear" w:color="auto" w:fill="EAEEF3"/>
              </w:rPr>
              <w:t>E89_Objet_propositionnel</w:t>
            </w:r>
            <w:r>
              <w:t xml:space="preserve"> contient un énoncé à propos d'une instance de </w:t>
            </w:r>
            <w:r>
              <w:rPr>
                <w:rFonts w:ascii="Consolas" w:eastAsia="Consolas" w:hAnsi="Consolas" w:cs="Consolas"/>
                <w:sz w:val="22"/>
                <w:szCs w:val="22"/>
                <w:shd w:val="clear" w:color="auto" w:fill="EAEEF3"/>
              </w:rPr>
              <w:t>E1_Entité_CRM</w:t>
            </w:r>
            <w:r>
              <w:t>.</w:t>
            </w:r>
            <w:r>
              <w:rPr>
                <w:rFonts w:ascii="Consolas" w:eastAsia="Consolas" w:hAnsi="Consolas" w:cs="Consolas"/>
                <w:sz w:val="22"/>
                <w:szCs w:val="22"/>
                <w:shd w:val="clear" w:color="auto" w:fill="EAEEF3"/>
              </w:rPr>
              <w:t xml:space="preserve"> P67_renvoie_à (fait_l’objet_d’un_renvoi_par)</w:t>
            </w:r>
            <w:r>
              <w:t xml:space="preserve"> a comme propriété de propriété </w:t>
            </w:r>
            <w:r>
              <w:rPr>
                <w:rFonts w:ascii="Consolas" w:eastAsia="Consolas" w:hAnsi="Consolas" w:cs="Consolas"/>
                <w:sz w:val="22"/>
                <w:szCs w:val="22"/>
                <w:shd w:val="clear" w:color="auto" w:fill="EAEEF3"/>
              </w:rPr>
              <w:t>P67.1_a_pour_type</w:t>
            </w:r>
            <w:r>
              <w:t xml:space="preserve"> et cette dernière a pour objet une instance de E55_Type, de manière à permettre une description plus détaillée du type de référence. La propriété</w:t>
            </w:r>
            <w:r>
              <w:rPr>
                <w:rFonts w:ascii="Consolas" w:eastAsia="Consolas" w:hAnsi="Consolas" w:cs="Consolas"/>
                <w:sz w:val="22"/>
                <w:szCs w:val="22"/>
                <w:shd w:val="clear" w:color="auto" w:fill="EAEEF3"/>
              </w:rPr>
              <w:t xml:space="preserve"> P67_renvoie_à (fait_l’objet_d’un_renvoi_par)</w:t>
            </w:r>
            <w:r>
              <w:t xml:space="preserve"> diffère de </w:t>
            </w:r>
            <w:r>
              <w:rPr>
                <w:rFonts w:ascii="Consolas" w:eastAsia="Consolas" w:hAnsi="Consolas" w:cs="Consolas"/>
                <w:sz w:val="22"/>
                <w:szCs w:val="22"/>
                <w:shd w:val="clear" w:color="auto" w:fill="EAEEF3"/>
              </w:rPr>
              <w:t>P129_a_pour_sujet (est_le_sujet_de)</w:t>
            </w:r>
            <w:r>
              <w:t xml:space="preserve">, qui décrit le ou les sujets principaux de l'instance de </w:t>
            </w:r>
            <w:r>
              <w:rPr>
                <w:rFonts w:ascii="Consolas" w:eastAsia="Consolas" w:hAnsi="Consolas" w:cs="Consolas"/>
                <w:sz w:val="22"/>
                <w:szCs w:val="22"/>
                <w:shd w:val="clear" w:color="auto" w:fill="EAEEF3"/>
              </w:rPr>
              <w:t>E89_Objet_propositionnel</w:t>
            </w:r>
            <w:r>
              <w:t>.</w:t>
            </w:r>
          </w:p>
        </w:tc>
      </w:tr>
      <w:tr w:rsidR="00BF18CF" w14:paraId="520B6CAE" w14:textId="77777777" w:rsidTr="00BF18CF">
        <w:tc>
          <w:tcPr>
            <w:tcW w:w="1888" w:type="dxa"/>
          </w:tcPr>
          <w:p w14:paraId="499EBAE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2" w:type="dxa"/>
          </w:tcPr>
          <w:p w14:paraId="69753F54" w14:textId="77777777" w:rsidR="00BF18CF" w:rsidRDefault="00E51347">
            <w:r>
              <w:t>La vente aux enchères sur eBay du 4 juillet 2002 (</w:t>
            </w:r>
            <w:r>
              <w:rPr>
                <w:rFonts w:ascii="Consolas" w:eastAsia="Consolas" w:hAnsi="Consolas" w:cs="Consolas"/>
                <w:sz w:val="22"/>
                <w:szCs w:val="22"/>
                <w:shd w:val="clear" w:color="auto" w:fill="EAEEF3"/>
              </w:rPr>
              <w:t>E73_Objet_informationnel</w:t>
            </w:r>
            <w:r>
              <w:t>) renvoie à (</w:t>
            </w:r>
            <w:r>
              <w:rPr>
                <w:rFonts w:ascii="Consolas" w:eastAsia="Consolas" w:hAnsi="Consolas" w:cs="Consolas"/>
                <w:sz w:val="22"/>
                <w:szCs w:val="22"/>
                <w:shd w:val="clear" w:color="auto" w:fill="EAEEF3"/>
              </w:rPr>
              <w:t>P67_renvoie_à</w:t>
            </w:r>
            <w:r>
              <w:t>) la coupe en argent 232 (</w:t>
            </w:r>
            <w:r>
              <w:rPr>
                <w:rFonts w:ascii="Consolas" w:eastAsia="Consolas" w:hAnsi="Consolas" w:cs="Consolas"/>
                <w:sz w:val="22"/>
                <w:szCs w:val="22"/>
                <w:shd w:val="clear" w:color="auto" w:fill="EAEEF3"/>
              </w:rPr>
              <w:t>E22_Objet_élaboré_par_l’humain</w:t>
            </w:r>
            <w:r>
              <w:t>) qui a pour type (</w:t>
            </w:r>
            <w:r>
              <w:rPr>
                <w:rFonts w:ascii="Consolas" w:eastAsia="Consolas" w:hAnsi="Consolas" w:cs="Consolas"/>
                <w:sz w:val="22"/>
                <w:szCs w:val="22"/>
                <w:shd w:val="clear" w:color="auto" w:fill="EAEEF3"/>
              </w:rPr>
              <w:t>P67.1_a_pour_type</w:t>
            </w:r>
            <w:r>
              <w:t>) article à vendre (</w:t>
            </w:r>
            <w:r>
              <w:rPr>
                <w:rFonts w:ascii="Consolas" w:eastAsia="Consolas" w:hAnsi="Consolas" w:cs="Consolas"/>
                <w:sz w:val="22"/>
                <w:szCs w:val="22"/>
                <w:shd w:val="clear" w:color="auto" w:fill="EAEEF3"/>
              </w:rPr>
              <w:t>E55_Type</w:t>
            </w:r>
            <w:r>
              <w:t>) (fictif)</w:t>
            </w:r>
          </w:p>
        </w:tc>
      </w:tr>
      <w:tr w:rsidR="00BF18CF" w14:paraId="7CED4AA0" w14:textId="77777777" w:rsidTr="00BF18CF">
        <w:tc>
          <w:tcPr>
            <w:tcW w:w="1888" w:type="dxa"/>
          </w:tcPr>
          <w:p w14:paraId="1B553005"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2" w:type="dxa"/>
          </w:tcPr>
          <w:p w14:paraId="2E1FFD5E" w14:textId="77777777" w:rsidR="00BF18CF" w:rsidRDefault="00E51347">
            <w:r>
              <w:t>P67(</w:t>
            </w:r>
            <w:proofErr w:type="gramStart"/>
            <w:r>
              <w:t>x,y</w:t>
            </w:r>
            <w:proofErr w:type="gramEnd"/>
            <w:r>
              <w:t>) ⇒ E89(x)</w:t>
            </w:r>
          </w:p>
          <w:p w14:paraId="1C47D8EA" w14:textId="77777777" w:rsidR="00BF18CF" w:rsidRDefault="00E51347">
            <w:r>
              <w:t>P67(</w:t>
            </w:r>
            <w:proofErr w:type="gramStart"/>
            <w:r>
              <w:t>x,y</w:t>
            </w:r>
            <w:proofErr w:type="gramEnd"/>
            <w:r>
              <w:t>) ⇒ E1(y)</w:t>
            </w:r>
          </w:p>
          <w:p w14:paraId="0B5953B7" w14:textId="77777777" w:rsidR="00BF18CF" w:rsidRDefault="00E51347">
            <w:r>
              <w:t>P67(</w:t>
            </w:r>
            <w:proofErr w:type="gramStart"/>
            <w:r>
              <w:t>x,y</w:t>
            </w:r>
            <w:proofErr w:type="gramEnd"/>
            <w:r>
              <w:t>,z) ⇒ [P67(x,y) ∧ E55(z)]</w:t>
            </w:r>
          </w:p>
        </w:tc>
      </w:tr>
      <w:tr w:rsidR="00BF18CF" w14:paraId="3FCC4031" w14:textId="77777777" w:rsidTr="00BF18CF">
        <w:tc>
          <w:tcPr>
            <w:tcW w:w="1888" w:type="dxa"/>
          </w:tcPr>
          <w:p w14:paraId="3654D05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2" w:type="dxa"/>
          </w:tcPr>
          <w:p w14:paraId="6EC968F4" w14:textId="77777777" w:rsidR="00BF18CF" w:rsidRDefault="00E51347">
            <w:r>
              <w:rPr>
                <w:rFonts w:ascii="Consolas" w:eastAsia="Consolas" w:hAnsi="Consolas" w:cs="Consolas"/>
                <w:sz w:val="22"/>
                <w:szCs w:val="22"/>
                <w:shd w:val="clear" w:color="auto" w:fill="EAEEF3"/>
              </w:rPr>
              <w:t>P67.1_a_pour_type</w:t>
            </w:r>
            <w:r>
              <w:t xml:space="preserve"> : </w:t>
            </w:r>
            <w:r>
              <w:rPr>
                <w:rFonts w:ascii="Consolas" w:eastAsia="Consolas" w:hAnsi="Consolas" w:cs="Consolas"/>
                <w:sz w:val="22"/>
                <w:szCs w:val="22"/>
                <w:shd w:val="clear" w:color="auto" w:fill="EAEEF3"/>
              </w:rPr>
              <w:t>E55_Type</w:t>
            </w:r>
          </w:p>
        </w:tc>
      </w:tr>
      <w:tr w:rsidR="00BF18CF" w14:paraId="341578E4" w14:textId="77777777" w:rsidTr="00BF18CF">
        <w:tc>
          <w:tcPr>
            <w:tcW w:w="1888" w:type="dxa"/>
          </w:tcPr>
          <w:p w14:paraId="19C772D7" w14:textId="6E105BE7"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2" w:type="dxa"/>
          </w:tcPr>
          <w:p w14:paraId="138D702F" w14:textId="77777777" w:rsidR="00BF18CF" w:rsidRDefault="00BF18CF">
            <w:pPr>
              <w:pBdr>
                <w:top w:val="nil"/>
                <w:left w:val="nil"/>
                <w:bottom w:val="nil"/>
                <w:right w:val="nil"/>
                <w:between w:val="nil"/>
              </w:pBdr>
              <w:spacing w:before="36" w:after="36"/>
              <w:rPr>
                <w:color w:val="000000"/>
              </w:rPr>
            </w:pPr>
          </w:p>
        </w:tc>
      </w:tr>
      <w:tr w:rsidR="00BF18CF" w14:paraId="1A50C857" w14:textId="77777777" w:rsidTr="00BF18CF">
        <w:tc>
          <w:tcPr>
            <w:tcW w:w="1888" w:type="dxa"/>
          </w:tcPr>
          <w:p w14:paraId="36CB970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2" w:type="dxa"/>
          </w:tcPr>
          <w:p w14:paraId="3B6E877E" w14:textId="77777777" w:rsidR="00BF18CF" w:rsidRDefault="00BF18CF"/>
        </w:tc>
      </w:tr>
    </w:tbl>
    <w:p w14:paraId="282263BC" w14:textId="77777777" w:rsidR="00BF18CF" w:rsidRDefault="00E51347">
      <w:pPr>
        <w:pStyle w:val="Heading3"/>
      </w:pPr>
      <w:bookmarkStart w:id="379" w:name="bookmark=id.3c9z6hx" w:colFirst="0" w:colLast="0"/>
      <w:bookmarkStart w:id="380" w:name="_Toc144360933"/>
      <w:bookmarkEnd w:id="379"/>
      <w:r>
        <w:t>P68 prévoit l'usage de (usage prévu de) (FB)</w:t>
      </w:r>
      <w:bookmarkEnd w:id="380"/>
    </w:p>
    <w:tbl>
      <w:tblPr>
        <w:tblStyle w:val="afff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4"/>
        <w:gridCol w:w="8816"/>
      </w:tblGrid>
      <w:tr w:rsidR="00BF18CF" w14:paraId="0EC2F95D" w14:textId="77777777" w:rsidTr="00BF18CF">
        <w:tc>
          <w:tcPr>
            <w:tcW w:w="1874" w:type="dxa"/>
          </w:tcPr>
          <w:p w14:paraId="4A58EAA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6" w:type="dxa"/>
          </w:tcPr>
          <w:p w14:paraId="502DF954" w14:textId="77777777" w:rsidR="00BF18CF" w:rsidRDefault="00E51347">
            <w:r>
              <w:rPr>
                <w:rFonts w:ascii="Consolas" w:eastAsia="Consolas" w:hAnsi="Consolas" w:cs="Consolas"/>
                <w:sz w:val="22"/>
                <w:szCs w:val="22"/>
                <w:shd w:val="clear" w:color="auto" w:fill="EAEEF3"/>
              </w:rPr>
              <w:t>E29_Conceptualisation_ou_procédure</w:t>
            </w:r>
          </w:p>
        </w:tc>
      </w:tr>
      <w:tr w:rsidR="00BF18CF" w14:paraId="21C37485" w14:textId="77777777" w:rsidTr="00BF18CF">
        <w:tc>
          <w:tcPr>
            <w:tcW w:w="1874" w:type="dxa"/>
          </w:tcPr>
          <w:p w14:paraId="68E5233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6" w:type="dxa"/>
          </w:tcPr>
          <w:p w14:paraId="39844121" w14:textId="77777777" w:rsidR="00BF18CF" w:rsidRDefault="00E51347">
            <w:r>
              <w:rPr>
                <w:rFonts w:ascii="Consolas" w:eastAsia="Consolas" w:hAnsi="Consolas" w:cs="Consolas"/>
                <w:sz w:val="22"/>
                <w:szCs w:val="22"/>
                <w:shd w:val="clear" w:color="auto" w:fill="EAEEF3"/>
              </w:rPr>
              <w:t>E57_Matériau</w:t>
            </w:r>
          </w:p>
        </w:tc>
      </w:tr>
      <w:tr w:rsidR="00BF18CF" w14:paraId="0220C760" w14:textId="77777777" w:rsidTr="00BF18CF">
        <w:tc>
          <w:tcPr>
            <w:tcW w:w="1874" w:type="dxa"/>
          </w:tcPr>
          <w:p w14:paraId="6259CA8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6" w:type="dxa"/>
          </w:tcPr>
          <w:p w14:paraId="29BAE646" w14:textId="77777777" w:rsidR="00BF18CF" w:rsidRDefault="00E51347">
            <w:r>
              <w:rPr>
                <w:rFonts w:ascii="Consolas" w:eastAsia="Consolas" w:hAnsi="Consolas" w:cs="Consolas"/>
                <w:sz w:val="22"/>
                <w:szCs w:val="22"/>
                <w:shd w:val="clear" w:color="auto" w:fill="EAEEF3"/>
              </w:rPr>
              <w:t>E89_Objet_propositionnel</w:t>
            </w:r>
            <w:r>
              <w:t xml:space="preserve">. </w:t>
            </w:r>
            <w:r>
              <w:rPr>
                <w:rFonts w:ascii="Consolas" w:eastAsia="Consolas" w:hAnsi="Consolas" w:cs="Consolas"/>
                <w:sz w:val="22"/>
                <w:szCs w:val="22"/>
                <w:shd w:val="clear" w:color="auto" w:fill="EAEEF3"/>
              </w:rPr>
              <w:t>P67_renvoie_à (fait_l’objet_d’un_renvoi_par)</w:t>
            </w:r>
            <w:r>
              <w:t xml:space="preserve"> : </w:t>
            </w:r>
            <w:r>
              <w:rPr>
                <w:rFonts w:ascii="Consolas" w:eastAsia="Consolas" w:hAnsi="Consolas" w:cs="Consolas"/>
                <w:sz w:val="22"/>
                <w:szCs w:val="22"/>
                <w:shd w:val="clear" w:color="auto" w:fill="EAEEF3"/>
              </w:rPr>
              <w:t>E1_Entité_CRM</w:t>
            </w:r>
          </w:p>
        </w:tc>
      </w:tr>
      <w:tr w:rsidR="00BF18CF" w14:paraId="23DDB40D" w14:textId="77777777" w:rsidTr="00BF18CF">
        <w:tc>
          <w:tcPr>
            <w:tcW w:w="1874" w:type="dxa"/>
          </w:tcPr>
          <w:p w14:paraId="3E8D6D5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6" w:type="dxa"/>
          </w:tcPr>
          <w:p w14:paraId="52A876AD" w14:textId="77777777" w:rsidR="00BF18CF" w:rsidRDefault="00BF18CF">
            <w:pPr>
              <w:pBdr>
                <w:top w:val="nil"/>
                <w:left w:val="nil"/>
                <w:bottom w:val="nil"/>
                <w:right w:val="nil"/>
                <w:between w:val="nil"/>
              </w:pBdr>
              <w:spacing w:before="36" w:after="36"/>
              <w:rPr>
                <w:color w:val="000000"/>
              </w:rPr>
            </w:pPr>
          </w:p>
        </w:tc>
      </w:tr>
      <w:tr w:rsidR="00BF18CF" w14:paraId="53572C9B" w14:textId="77777777" w:rsidTr="00BF18CF">
        <w:tc>
          <w:tcPr>
            <w:tcW w:w="1874" w:type="dxa"/>
          </w:tcPr>
          <w:p w14:paraId="0B510B1A"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6" w:type="dxa"/>
          </w:tcPr>
          <w:p w14:paraId="3F2396A6" w14:textId="77777777" w:rsidR="00BF18CF" w:rsidRDefault="00E51347">
            <w:proofErr w:type="gramStart"/>
            <w:r>
              <w:t>plusieurs</w:t>
            </w:r>
            <w:proofErr w:type="gramEnd"/>
            <w:r>
              <w:t xml:space="preserve"> à plusieurs (0,n:0,n)</w:t>
            </w:r>
          </w:p>
        </w:tc>
      </w:tr>
      <w:tr w:rsidR="00BF18CF" w14:paraId="12FD9B69" w14:textId="77777777" w:rsidTr="00BF18CF">
        <w:tc>
          <w:tcPr>
            <w:tcW w:w="1874" w:type="dxa"/>
          </w:tcPr>
          <w:p w14:paraId="52570907"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816" w:type="dxa"/>
          </w:tcPr>
          <w:p w14:paraId="70023FC3" w14:textId="77777777" w:rsidR="00BF18CF" w:rsidRDefault="00E51347">
            <w:r>
              <w:t xml:space="preserve">Cette propriété identifie une instance de </w:t>
            </w:r>
            <w:r>
              <w:rPr>
                <w:rFonts w:ascii="Consolas" w:eastAsia="Consolas" w:hAnsi="Consolas" w:cs="Consolas"/>
                <w:sz w:val="22"/>
                <w:szCs w:val="22"/>
                <w:shd w:val="clear" w:color="auto" w:fill="EAEEF3"/>
              </w:rPr>
              <w:t>E57_Matériau</w:t>
            </w:r>
            <w:r>
              <w:t xml:space="preserve"> prévue pour être utilisée par une instance de </w:t>
            </w:r>
            <w:r>
              <w:rPr>
                <w:rFonts w:ascii="Consolas" w:eastAsia="Consolas" w:hAnsi="Consolas" w:cs="Consolas"/>
                <w:sz w:val="22"/>
                <w:szCs w:val="22"/>
                <w:shd w:val="clear" w:color="auto" w:fill="EAEEF3"/>
              </w:rPr>
              <w:t>E29_Conceptualisation_ou_procédure</w:t>
            </w:r>
            <w:r>
              <w:t>.</w:t>
            </w:r>
          </w:p>
          <w:p w14:paraId="2154FD19" w14:textId="77777777" w:rsidR="00BF18CF" w:rsidRDefault="00E51347">
            <w:r>
              <w:t xml:space="preserve">Les instances de </w:t>
            </w:r>
            <w:r>
              <w:rPr>
                <w:rFonts w:ascii="Consolas" w:eastAsia="Consolas" w:hAnsi="Consolas" w:cs="Consolas"/>
                <w:sz w:val="22"/>
                <w:szCs w:val="22"/>
                <w:shd w:val="clear" w:color="auto" w:fill="EAEEF3"/>
              </w:rPr>
              <w:t>E29_Conceptualisation_ou_procédure</w:t>
            </w:r>
            <w:r>
              <w:t xml:space="preserve"> prévoient couramment l’usage d’iinstances particulières de </w:t>
            </w:r>
            <w:r>
              <w:rPr>
                <w:rFonts w:ascii="Consolas" w:eastAsia="Consolas" w:hAnsi="Consolas" w:cs="Consolas"/>
                <w:sz w:val="22"/>
                <w:szCs w:val="22"/>
                <w:shd w:val="clear" w:color="auto" w:fill="EAEEF3"/>
              </w:rPr>
              <w:t>E57_Matériau</w:t>
            </w:r>
            <w:r>
              <w:t xml:space="preserve">. La fabrication de briques d’adobe, par exemple, nécessite de la paille, de l’argile et de l’eau. La propriété </w:t>
            </w:r>
            <w:r>
              <w:rPr>
                <w:rFonts w:ascii="Consolas" w:eastAsia="Consolas" w:hAnsi="Consolas" w:cs="Consolas"/>
                <w:sz w:val="22"/>
                <w:szCs w:val="22"/>
                <w:shd w:val="clear" w:color="auto" w:fill="EAEEF3"/>
              </w:rPr>
              <w:t>P68_prévoit_l’usage_de (usage_prévu_de)</w:t>
            </w:r>
            <w:r>
              <w:t xml:space="preserve"> permet de documenter ce fait.</w:t>
            </w:r>
          </w:p>
          <w:p w14:paraId="547E793A" w14:textId="77777777" w:rsidR="00BF18CF" w:rsidRDefault="00E51347">
            <w:r>
              <w:t xml:space="preserve">Cette propriété n’est pas destinée à documenter les instances de </w:t>
            </w:r>
            <w:r>
              <w:rPr>
                <w:rFonts w:ascii="Consolas" w:eastAsia="Consolas" w:hAnsi="Consolas" w:cs="Consolas"/>
                <w:sz w:val="22"/>
                <w:szCs w:val="22"/>
                <w:shd w:val="clear" w:color="auto" w:fill="EAEEF3"/>
              </w:rPr>
              <w:t>E57_Matériau</w:t>
            </w:r>
            <w:r>
              <w:t xml:space="preserve"> qui ont été utilisées à une occasion particulière, lorsqu’une instance de </w:t>
            </w:r>
            <w:r>
              <w:rPr>
                <w:rFonts w:ascii="Consolas" w:eastAsia="Consolas" w:hAnsi="Consolas" w:cs="Consolas"/>
                <w:sz w:val="22"/>
                <w:szCs w:val="22"/>
                <w:shd w:val="clear" w:color="auto" w:fill="EAEEF3"/>
              </w:rPr>
              <w:t>E29_Conceptualisation_ou_procédure</w:t>
            </w:r>
            <w:r>
              <w:t xml:space="preserve"> a été mise en œuvre.</w:t>
            </w:r>
          </w:p>
        </w:tc>
      </w:tr>
      <w:tr w:rsidR="00BF18CF" w14:paraId="5480BD91" w14:textId="77777777" w:rsidTr="00BF18CF">
        <w:tc>
          <w:tcPr>
            <w:tcW w:w="1874" w:type="dxa"/>
          </w:tcPr>
          <w:p w14:paraId="263FCFDB"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6" w:type="dxa"/>
          </w:tcPr>
          <w:p w14:paraId="7915CDAF" w14:textId="77777777" w:rsidR="00BF18CF" w:rsidRDefault="00E51347">
            <w:pPr>
              <w:numPr>
                <w:ilvl w:val="0"/>
                <w:numId w:val="19"/>
              </w:numPr>
            </w:pPr>
            <w:r>
              <w:t>La procédure pour la fabrication du verre sodocalcique (</w:t>
            </w:r>
            <w:r>
              <w:rPr>
                <w:rFonts w:ascii="Consolas" w:eastAsia="Consolas" w:hAnsi="Consolas" w:cs="Consolas"/>
                <w:sz w:val="22"/>
                <w:szCs w:val="22"/>
                <w:shd w:val="clear" w:color="auto" w:fill="EAEEF3"/>
              </w:rPr>
              <w:t>E29_Conceptualisation_ou_procédure</w:t>
            </w:r>
            <w:r>
              <w:t>) prévoit l’usage de (</w:t>
            </w:r>
            <w:r>
              <w:rPr>
                <w:rFonts w:ascii="Consolas" w:eastAsia="Consolas" w:hAnsi="Consolas" w:cs="Consolas"/>
                <w:sz w:val="22"/>
                <w:szCs w:val="22"/>
                <w:shd w:val="clear" w:color="auto" w:fill="EAEEF3"/>
              </w:rPr>
              <w:t>P68_prévoit_l’usage_de</w:t>
            </w:r>
            <w:r>
              <w:t>) soude (</w:t>
            </w:r>
            <w:r>
              <w:rPr>
                <w:rFonts w:ascii="Consolas" w:eastAsia="Consolas" w:hAnsi="Consolas" w:cs="Consolas"/>
                <w:sz w:val="22"/>
                <w:szCs w:val="22"/>
                <w:shd w:val="clear" w:color="auto" w:fill="EAEEF3"/>
              </w:rPr>
              <w:t>E57_Matériau</w:t>
            </w:r>
            <w:r>
              <w:t>) (Brooks, 1973)</w:t>
            </w:r>
          </w:p>
        </w:tc>
      </w:tr>
      <w:tr w:rsidR="00BF18CF" w14:paraId="6636F513" w14:textId="77777777" w:rsidTr="00BF18CF">
        <w:tc>
          <w:tcPr>
            <w:tcW w:w="1874" w:type="dxa"/>
          </w:tcPr>
          <w:p w14:paraId="69F53B6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6" w:type="dxa"/>
          </w:tcPr>
          <w:p w14:paraId="7FF5463E" w14:textId="77777777" w:rsidR="00BF18CF" w:rsidRDefault="00E51347">
            <w:r>
              <w:t>P68(</w:t>
            </w:r>
            <w:proofErr w:type="gramStart"/>
            <w:r>
              <w:t>x,y</w:t>
            </w:r>
            <w:proofErr w:type="gramEnd"/>
            <w:r>
              <w:t>) ⇒ E29(x)</w:t>
            </w:r>
          </w:p>
          <w:p w14:paraId="7F94B893" w14:textId="77777777" w:rsidR="00BF18CF" w:rsidRDefault="00E51347">
            <w:r>
              <w:t>P68(</w:t>
            </w:r>
            <w:proofErr w:type="gramStart"/>
            <w:r>
              <w:t>x,y</w:t>
            </w:r>
            <w:proofErr w:type="gramEnd"/>
            <w:r>
              <w:t>) ⇒ E57(y)</w:t>
            </w:r>
          </w:p>
          <w:p w14:paraId="0779C994" w14:textId="77777777" w:rsidR="00BF18CF" w:rsidRDefault="00E51347">
            <w:r>
              <w:t>P68(</w:t>
            </w:r>
            <w:proofErr w:type="gramStart"/>
            <w:r>
              <w:t>x,y</w:t>
            </w:r>
            <w:proofErr w:type="gramEnd"/>
            <w:r>
              <w:t>) ⇒ P67(x,y)</w:t>
            </w:r>
          </w:p>
        </w:tc>
      </w:tr>
      <w:tr w:rsidR="00BF18CF" w14:paraId="734032F5" w14:textId="77777777" w:rsidTr="00BF18CF">
        <w:tc>
          <w:tcPr>
            <w:tcW w:w="1874" w:type="dxa"/>
          </w:tcPr>
          <w:p w14:paraId="6564D09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6" w:type="dxa"/>
          </w:tcPr>
          <w:p w14:paraId="67A2FFE7" w14:textId="77777777" w:rsidR="00BF18CF" w:rsidRDefault="00BF18CF">
            <w:pPr>
              <w:pBdr>
                <w:top w:val="nil"/>
                <w:left w:val="nil"/>
                <w:bottom w:val="nil"/>
                <w:right w:val="nil"/>
                <w:between w:val="nil"/>
              </w:pBdr>
              <w:spacing w:before="36" w:after="36"/>
              <w:rPr>
                <w:color w:val="000000"/>
              </w:rPr>
            </w:pPr>
          </w:p>
        </w:tc>
      </w:tr>
      <w:tr w:rsidR="00BF18CF" w14:paraId="7A8762C0" w14:textId="77777777" w:rsidTr="00BF18CF">
        <w:tc>
          <w:tcPr>
            <w:tcW w:w="1874" w:type="dxa"/>
          </w:tcPr>
          <w:p w14:paraId="00EFCC61" w14:textId="6F38C72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6" w:type="dxa"/>
          </w:tcPr>
          <w:p w14:paraId="0A8063F5" w14:textId="77777777" w:rsidR="00BF18CF" w:rsidRDefault="00BF18CF">
            <w:pPr>
              <w:pBdr>
                <w:top w:val="nil"/>
                <w:left w:val="nil"/>
                <w:bottom w:val="nil"/>
                <w:right w:val="nil"/>
                <w:between w:val="nil"/>
              </w:pBdr>
              <w:spacing w:before="36" w:after="36"/>
              <w:rPr>
                <w:color w:val="000000"/>
              </w:rPr>
            </w:pPr>
          </w:p>
        </w:tc>
      </w:tr>
      <w:tr w:rsidR="00BF18CF" w14:paraId="72A95C78" w14:textId="77777777" w:rsidTr="00BF18CF">
        <w:tc>
          <w:tcPr>
            <w:tcW w:w="1874" w:type="dxa"/>
          </w:tcPr>
          <w:p w14:paraId="36E466A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6" w:type="dxa"/>
          </w:tcPr>
          <w:p w14:paraId="734329D9" w14:textId="77777777" w:rsidR="00BF18CF" w:rsidRDefault="00BF18CF">
            <w:pPr>
              <w:pBdr>
                <w:top w:val="nil"/>
                <w:left w:val="nil"/>
                <w:bottom w:val="nil"/>
                <w:right w:val="nil"/>
                <w:between w:val="nil"/>
              </w:pBdr>
              <w:spacing w:before="36" w:after="36"/>
              <w:rPr>
                <w:color w:val="000000"/>
              </w:rPr>
            </w:pPr>
          </w:p>
        </w:tc>
      </w:tr>
    </w:tbl>
    <w:p w14:paraId="664D647F" w14:textId="77777777" w:rsidR="00BF18CF" w:rsidRDefault="00E51347">
      <w:pPr>
        <w:pStyle w:val="Heading3"/>
      </w:pPr>
      <w:bookmarkStart w:id="381" w:name="bookmark=id.1rf9gpq" w:colFirst="0" w:colLast="0"/>
      <w:bookmarkStart w:id="382" w:name="_Toc144360934"/>
      <w:bookmarkEnd w:id="381"/>
      <w:r>
        <w:t>P69 est associé à (est associé à) (FB)</w:t>
      </w:r>
      <w:bookmarkEnd w:id="382"/>
    </w:p>
    <w:tbl>
      <w:tblPr>
        <w:tblStyle w:val="affff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49"/>
        <w:gridCol w:w="8841"/>
      </w:tblGrid>
      <w:tr w:rsidR="00BF18CF" w14:paraId="4914438E" w14:textId="77777777" w:rsidTr="00BF18CF">
        <w:tc>
          <w:tcPr>
            <w:tcW w:w="1849" w:type="dxa"/>
          </w:tcPr>
          <w:p w14:paraId="4215548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41" w:type="dxa"/>
          </w:tcPr>
          <w:p w14:paraId="475954BA" w14:textId="77777777" w:rsidR="00BF18CF" w:rsidRDefault="00E51347">
            <w:r>
              <w:rPr>
                <w:rFonts w:ascii="Consolas" w:eastAsia="Consolas" w:hAnsi="Consolas" w:cs="Consolas"/>
                <w:sz w:val="22"/>
                <w:szCs w:val="22"/>
                <w:shd w:val="clear" w:color="auto" w:fill="EAEEF3"/>
              </w:rPr>
              <w:t>E29_Conceptualisation_ou_procédure</w:t>
            </w:r>
          </w:p>
        </w:tc>
      </w:tr>
      <w:tr w:rsidR="00BF18CF" w14:paraId="2B892748" w14:textId="77777777" w:rsidTr="00BF18CF">
        <w:tc>
          <w:tcPr>
            <w:tcW w:w="1849" w:type="dxa"/>
          </w:tcPr>
          <w:p w14:paraId="29706C3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41" w:type="dxa"/>
          </w:tcPr>
          <w:p w14:paraId="58F43459" w14:textId="77777777" w:rsidR="00BF18CF" w:rsidRDefault="00E51347">
            <w:r>
              <w:rPr>
                <w:rFonts w:ascii="Consolas" w:eastAsia="Consolas" w:hAnsi="Consolas" w:cs="Consolas"/>
                <w:sz w:val="22"/>
                <w:szCs w:val="22"/>
                <w:shd w:val="clear" w:color="auto" w:fill="EAEEF3"/>
              </w:rPr>
              <w:t>E29_Conceptualisation_ou_procédure</w:t>
            </w:r>
          </w:p>
        </w:tc>
      </w:tr>
      <w:tr w:rsidR="00BF18CF" w14:paraId="40E4E42A" w14:textId="77777777" w:rsidTr="00BF18CF">
        <w:tc>
          <w:tcPr>
            <w:tcW w:w="1849" w:type="dxa"/>
          </w:tcPr>
          <w:p w14:paraId="47B4ACA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41" w:type="dxa"/>
          </w:tcPr>
          <w:p w14:paraId="79515989" w14:textId="77777777" w:rsidR="00BF18CF" w:rsidRDefault="00BF18CF">
            <w:pPr>
              <w:pBdr>
                <w:top w:val="nil"/>
                <w:left w:val="nil"/>
                <w:bottom w:val="nil"/>
                <w:right w:val="nil"/>
                <w:between w:val="nil"/>
              </w:pBdr>
              <w:spacing w:before="36" w:after="36"/>
              <w:rPr>
                <w:color w:val="000000"/>
              </w:rPr>
            </w:pPr>
          </w:p>
        </w:tc>
      </w:tr>
      <w:tr w:rsidR="00BF18CF" w14:paraId="5F6791D1" w14:textId="77777777" w:rsidTr="00BF18CF">
        <w:tc>
          <w:tcPr>
            <w:tcW w:w="1849" w:type="dxa"/>
          </w:tcPr>
          <w:p w14:paraId="281201CA"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41" w:type="dxa"/>
          </w:tcPr>
          <w:p w14:paraId="55DB76C0" w14:textId="77777777" w:rsidR="00BF18CF" w:rsidRDefault="00BF18CF">
            <w:pPr>
              <w:pBdr>
                <w:top w:val="nil"/>
                <w:left w:val="nil"/>
                <w:bottom w:val="nil"/>
                <w:right w:val="nil"/>
                <w:between w:val="nil"/>
              </w:pBdr>
              <w:spacing w:before="36" w:after="36"/>
              <w:rPr>
                <w:color w:val="000000"/>
              </w:rPr>
            </w:pPr>
          </w:p>
        </w:tc>
      </w:tr>
      <w:tr w:rsidR="00BF18CF" w14:paraId="1F423E4C" w14:textId="77777777" w:rsidTr="00BF18CF">
        <w:tc>
          <w:tcPr>
            <w:tcW w:w="1849" w:type="dxa"/>
          </w:tcPr>
          <w:p w14:paraId="2351F89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41" w:type="dxa"/>
          </w:tcPr>
          <w:p w14:paraId="1ABB51EA" w14:textId="77777777" w:rsidR="00BF18CF" w:rsidRDefault="00E51347">
            <w:proofErr w:type="gramStart"/>
            <w:r>
              <w:t>plusieurs</w:t>
            </w:r>
            <w:proofErr w:type="gramEnd"/>
            <w:r>
              <w:t xml:space="preserve"> à plusieurs (0,n:0,n)</w:t>
            </w:r>
          </w:p>
        </w:tc>
      </w:tr>
      <w:tr w:rsidR="00BF18CF" w14:paraId="3DCCB782" w14:textId="77777777" w:rsidTr="00BF18CF">
        <w:tc>
          <w:tcPr>
            <w:tcW w:w="1849" w:type="dxa"/>
          </w:tcPr>
          <w:p w14:paraId="4B5CBD9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41" w:type="dxa"/>
          </w:tcPr>
          <w:p w14:paraId="3FE2AE89" w14:textId="77777777" w:rsidR="00BF18CF" w:rsidRDefault="00E51347">
            <w:r>
              <w:t xml:space="preserve">Cette propriété généralise des relations telles que tout-partie, séquence, prérequis, ou inspirées par, entre des instances de </w:t>
            </w:r>
            <w:r>
              <w:rPr>
                <w:rFonts w:ascii="Consolas" w:eastAsia="Consolas" w:hAnsi="Consolas" w:cs="Consolas"/>
                <w:sz w:val="22"/>
                <w:szCs w:val="22"/>
                <w:shd w:val="clear" w:color="auto" w:fill="EAEEF3"/>
              </w:rPr>
              <w:t>E29_Conceptualisation_ou_procédure</w:t>
            </w:r>
            <w:r>
              <w:t xml:space="preserve">. Toute instance de </w:t>
            </w:r>
            <w:r>
              <w:rPr>
                <w:rFonts w:ascii="Consolas" w:eastAsia="Consolas" w:hAnsi="Consolas" w:cs="Consolas"/>
                <w:sz w:val="22"/>
                <w:szCs w:val="22"/>
                <w:shd w:val="clear" w:color="auto" w:fill="EAEEF3"/>
              </w:rPr>
              <w:t>E29_Conceptualisation_ou_procédure</w:t>
            </w:r>
            <w:r>
              <w:t xml:space="preserve"> peut être associée à d’autres conceptualisations ou procédures. La propriété est considérée comme symétrique, à moins d’indication contraire via la propriété </w:t>
            </w:r>
            <w:r>
              <w:rPr>
                <w:rFonts w:ascii="Consolas" w:eastAsia="Consolas" w:hAnsi="Consolas" w:cs="Consolas"/>
                <w:sz w:val="22"/>
                <w:szCs w:val="22"/>
                <w:shd w:val="clear" w:color="auto" w:fill="EAEEF3"/>
              </w:rPr>
              <w:t>P69.1_a_pour_type</w:t>
            </w:r>
            <w:r>
              <w:t>.</w:t>
            </w:r>
          </w:p>
          <w:p w14:paraId="764EA5B1" w14:textId="77777777" w:rsidR="00BF18CF" w:rsidRDefault="00E51347">
            <w:r>
              <w:t xml:space="preserve">La propriété </w:t>
            </w:r>
            <w:r>
              <w:rPr>
                <w:rFonts w:ascii="Consolas" w:eastAsia="Consolas" w:hAnsi="Consolas" w:cs="Consolas"/>
                <w:sz w:val="22"/>
                <w:szCs w:val="22"/>
                <w:shd w:val="clear" w:color="auto" w:fill="EAEEF3"/>
              </w:rPr>
              <w:t>P69.1_a_pour_type</w:t>
            </w:r>
            <w:r>
              <w:t xml:space="preserve"> de la propriété </w:t>
            </w:r>
            <w:r>
              <w:rPr>
                <w:rFonts w:ascii="Consolas" w:eastAsia="Consolas" w:hAnsi="Consolas" w:cs="Consolas"/>
                <w:sz w:val="22"/>
                <w:szCs w:val="22"/>
                <w:shd w:val="clear" w:color="auto" w:fill="EAEEF3"/>
              </w:rPr>
              <w:t>P69_est_associé_à (est_associé_à)</w:t>
            </w:r>
            <w:r>
              <w:t xml:space="preserve"> permet de spécifier la nature de l’association entre des instances de </w:t>
            </w:r>
            <w:r>
              <w:rPr>
                <w:rFonts w:ascii="Consolas" w:eastAsia="Consolas" w:hAnsi="Consolas" w:cs="Consolas"/>
                <w:sz w:val="22"/>
                <w:szCs w:val="22"/>
                <w:shd w:val="clear" w:color="auto" w:fill="EAEEF3"/>
              </w:rPr>
              <w:t>E29_Conceptualisation_ou_procédure</w:t>
            </w:r>
            <w:r>
              <w:t xml:space="preserve"> : a pour partie, suit, nécessite, etc.</w:t>
            </w:r>
          </w:p>
          <w:p w14:paraId="42377508" w14:textId="77777777" w:rsidR="00BF18CF" w:rsidRDefault="00E51347">
            <w:r>
              <w:lastRenderedPageBreak/>
              <w:t xml:space="preserve">La propriété </w:t>
            </w:r>
            <w:r>
              <w:rPr>
                <w:rFonts w:ascii="Consolas" w:eastAsia="Consolas" w:hAnsi="Consolas" w:cs="Consolas"/>
                <w:sz w:val="22"/>
                <w:szCs w:val="22"/>
                <w:shd w:val="clear" w:color="auto" w:fill="EAEEF3"/>
              </w:rPr>
              <w:t>P69_est_associé_à (est_associé_à)</w:t>
            </w:r>
            <w:r>
              <w:t xml:space="preserve"> peut généralement être utilisée pour modéliser la décomposition de la description d’un flux de travail complet en une série de procédures séparées.</w:t>
            </w:r>
          </w:p>
          <w:p w14:paraId="649185F3" w14:textId="77777777" w:rsidR="00BF18CF" w:rsidRDefault="00E51347">
            <w:r>
              <w:t>Cette propriété n’est pas transitive.</w:t>
            </w:r>
          </w:p>
        </w:tc>
      </w:tr>
      <w:tr w:rsidR="00BF18CF" w14:paraId="032406C7" w14:textId="77777777" w:rsidTr="00BF18CF">
        <w:tc>
          <w:tcPr>
            <w:tcW w:w="1849" w:type="dxa"/>
          </w:tcPr>
          <w:p w14:paraId="71A8D635"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41" w:type="dxa"/>
          </w:tcPr>
          <w:p w14:paraId="752EA33D" w14:textId="77777777" w:rsidR="00BF18CF" w:rsidRDefault="00E51347">
            <w:pPr>
              <w:numPr>
                <w:ilvl w:val="0"/>
                <w:numId w:val="19"/>
              </w:numPr>
            </w:pPr>
            <w:r>
              <w:t>La procédure pour le soufflage du verre (</w:t>
            </w:r>
            <w:r>
              <w:rPr>
                <w:rFonts w:ascii="Consolas" w:eastAsia="Consolas" w:hAnsi="Consolas" w:cs="Consolas"/>
                <w:sz w:val="22"/>
                <w:szCs w:val="22"/>
                <w:shd w:val="clear" w:color="auto" w:fill="EAEEF3"/>
              </w:rPr>
              <w:t>E29_Conceptualisation_ou_procédure</w:t>
            </w:r>
            <w:r>
              <w:t>) est associée à (</w:t>
            </w:r>
            <w:r>
              <w:rPr>
                <w:rFonts w:ascii="Consolas" w:eastAsia="Consolas" w:hAnsi="Consolas" w:cs="Consolas"/>
                <w:sz w:val="22"/>
                <w:szCs w:val="22"/>
                <w:shd w:val="clear" w:color="auto" w:fill="EAEEF3"/>
              </w:rPr>
              <w:t>P69_est_associé_à</w:t>
            </w:r>
            <w:r>
              <w:t>) la procédure pour le chauffage du verre (</w:t>
            </w:r>
            <w:r>
              <w:rPr>
                <w:rFonts w:ascii="Consolas" w:eastAsia="Consolas" w:hAnsi="Consolas" w:cs="Consolas"/>
                <w:sz w:val="22"/>
                <w:szCs w:val="22"/>
                <w:shd w:val="clear" w:color="auto" w:fill="EAEEF3"/>
              </w:rPr>
              <w:t>E29_Conceptualisation_ou_procédure</w:t>
            </w:r>
            <w:r>
              <w:t>) (Brooks, 1973)</w:t>
            </w:r>
          </w:p>
          <w:p w14:paraId="19396242" w14:textId="77777777" w:rsidR="00BF18CF" w:rsidRDefault="00E51347">
            <w:pPr>
              <w:numPr>
                <w:ilvl w:val="0"/>
                <w:numId w:val="19"/>
              </w:numPr>
            </w:pPr>
            <w:r>
              <w:t>L’ensemble d’instructions pour interpréter Macbeth dans la production de Max Reinhardt en 1916 au Deutsches Theater de Berlin (</w:t>
            </w:r>
            <w:r>
              <w:rPr>
                <w:rFonts w:ascii="Consolas" w:eastAsia="Consolas" w:hAnsi="Consolas" w:cs="Consolas"/>
                <w:sz w:val="22"/>
                <w:szCs w:val="22"/>
                <w:shd w:val="clear" w:color="auto" w:fill="EAEEF3"/>
              </w:rPr>
              <w:t>E29_Conceptualisation_ou_procédure</w:t>
            </w:r>
            <w:r>
              <w:t>) est associé au (</w:t>
            </w:r>
            <w:r>
              <w:rPr>
                <w:rFonts w:ascii="Consolas" w:eastAsia="Consolas" w:hAnsi="Consolas" w:cs="Consolas"/>
                <w:sz w:val="22"/>
                <w:szCs w:val="22"/>
                <w:shd w:val="clear" w:color="auto" w:fill="EAEEF3"/>
              </w:rPr>
              <w:t>P69_est_associé_à</w:t>
            </w:r>
            <w:r>
              <w:t>) dessin d’aménagement de la scène par Ernst Stern reproduit à http://www.glopad.org/pi/fr/record/digdoc/1003814 (</w:t>
            </w:r>
            <w:r>
              <w:rPr>
                <w:rFonts w:ascii="Consolas" w:eastAsia="Consolas" w:hAnsi="Consolas" w:cs="Consolas"/>
                <w:sz w:val="22"/>
                <w:szCs w:val="22"/>
                <w:shd w:val="clear" w:color="auto" w:fill="EAEEF3"/>
              </w:rPr>
              <w:t>E29_Conceptualisation_ou_procédure</w:t>
            </w:r>
            <w:r>
              <w:t>) a pour type (</w:t>
            </w:r>
            <w:r>
              <w:rPr>
                <w:rFonts w:ascii="Consolas" w:eastAsia="Consolas" w:hAnsi="Consolas" w:cs="Consolas"/>
                <w:sz w:val="22"/>
                <w:szCs w:val="22"/>
                <w:shd w:val="clear" w:color="auto" w:fill="EAEEF3"/>
              </w:rPr>
              <w:t>P69.1_a_pour_type</w:t>
            </w:r>
            <w:r>
              <w:t>) « a pour partie » (</w:t>
            </w:r>
            <w:r>
              <w:rPr>
                <w:rFonts w:ascii="Consolas" w:eastAsia="Consolas" w:hAnsi="Consolas" w:cs="Consolas"/>
                <w:sz w:val="22"/>
                <w:szCs w:val="22"/>
                <w:shd w:val="clear" w:color="auto" w:fill="EAEEF3"/>
              </w:rPr>
              <w:t>E55_Type</w:t>
            </w:r>
            <w:r>
              <w:t>)</w:t>
            </w:r>
          </w:p>
          <w:p w14:paraId="497B44A2" w14:textId="77777777" w:rsidR="00BF18CF" w:rsidRDefault="00E51347">
            <w:pPr>
              <w:numPr>
                <w:ilvl w:val="0"/>
                <w:numId w:val="19"/>
              </w:numPr>
            </w:pPr>
            <w:r>
              <w:t>La préparation d’un parchemin (</w:t>
            </w:r>
            <w:r>
              <w:rPr>
                <w:rFonts w:ascii="Consolas" w:eastAsia="Consolas" w:hAnsi="Consolas" w:cs="Consolas"/>
                <w:sz w:val="22"/>
                <w:szCs w:val="22"/>
                <w:shd w:val="clear" w:color="auto" w:fill="EAEEF3"/>
              </w:rPr>
              <w:t>E29_Conceptualisation_ou_procédure</w:t>
            </w:r>
            <w:r>
              <w:t>) est associée au (</w:t>
            </w:r>
            <w:r>
              <w:rPr>
                <w:rFonts w:ascii="Consolas" w:eastAsia="Consolas" w:hAnsi="Consolas" w:cs="Consolas"/>
                <w:sz w:val="22"/>
                <w:szCs w:val="22"/>
                <w:shd w:val="clear" w:color="auto" w:fill="EAEEF3"/>
              </w:rPr>
              <w:t>P69_est_associé_à</w:t>
            </w:r>
            <w:r>
              <w:t>) trempage et au raclage de la peau (</w:t>
            </w:r>
            <w:r>
              <w:rPr>
                <w:rFonts w:ascii="Consolas" w:eastAsia="Consolas" w:hAnsi="Consolas" w:cs="Consolas"/>
                <w:sz w:val="22"/>
                <w:szCs w:val="22"/>
                <w:shd w:val="clear" w:color="auto" w:fill="EAEEF3"/>
              </w:rPr>
              <w:t>E29_Conceptualisation_ou_procédure</w:t>
            </w:r>
            <w:r>
              <w:t>) a pour type (</w:t>
            </w:r>
            <w:r>
              <w:rPr>
                <w:rFonts w:ascii="Consolas" w:eastAsia="Consolas" w:hAnsi="Consolas" w:cs="Consolas"/>
                <w:sz w:val="22"/>
                <w:szCs w:val="22"/>
                <w:shd w:val="clear" w:color="auto" w:fill="EAEEF3"/>
              </w:rPr>
              <w:t>P69.1_a_pour_type</w:t>
            </w:r>
            <w:r>
              <w:t>) « a pour partie » (</w:t>
            </w:r>
            <w:r>
              <w:rPr>
                <w:rFonts w:ascii="Consolas" w:eastAsia="Consolas" w:hAnsi="Consolas" w:cs="Consolas"/>
                <w:sz w:val="22"/>
                <w:szCs w:val="22"/>
                <w:shd w:val="clear" w:color="auto" w:fill="EAEEF3"/>
              </w:rPr>
              <w:t>E55_Type</w:t>
            </w:r>
            <w:r>
              <w:t>).</w:t>
            </w:r>
          </w:p>
          <w:p w14:paraId="1904DFB5" w14:textId="77777777" w:rsidR="00BF18CF" w:rsidRDefault="00E51347">
            <w:pPr>
              <w:numPr>
                <w:ilvl w:val="0"/>
                <w:numId w:val="19"/>
              </w:numPr>
            </w:pPr>
            <w:r>
              <w:t>L’étirement de la peau (</w:t>
            </w:r>
            <w:r>
              <w:rPr>
                <w:rFonts w:ascii="Consolas" w:eastAsia="Consolas" w:hAnsi="Consolas" w:cs="Consolas"/>
                <w:sz w:val="22"/>
                <w:szCs w:val="22"/>
                <w:shd w:val="clear" w:color="auto" w:fill="EAEEF3"/>
              </w:rPr>
              <w:t>E29_Conceptualisation_ou_procédure</w:t>
            </w:r>
            <w:r>
              <w:t xml:space="preserve">) est </w:t>
            </w:r>
            <w:proofErr w:type="gramStart"/>
            <w:r>
              <w:t>associée</w:t>
            </w:r>
            <w:proofErr w:type="gramEnd"/>
            <w:r>
              <w:t xml:space="preserve"> au (</w:t>
            </w:r>
            <w:r>
              <w:rPr>
                <w:rFonts w:ascii="Consolas" w:eastAsia="Consolas" w:hAnsi="Consolas" w:cs="Consolas"/>
                <w:sz w:val="22"/>
                <w:szCs w:val="22"/>
                <w:shd w:val="clear" w:color="auto" w:fill="EAEEF3"/>
              </w:rPr>
              <w:t>P69_est_associé_à</w:t>
            </w:r>
            <w:r>
              <w:t>) trempage et au raclage de la peau (</w:t>
            </w:r>
            <w:r>
              <w:rPr>
                <w:rFonts w:ascii="Consolas" w:eastAsia="Consolas" w:hAnsi="Consolas" w:cs="Consolas"/>
                <w:sz w:val="22"/>
                <w:szCs w:val="22"/>
                <w:shd w:val="clear" w:color="auto" w:fill="EAEEF3"/>
              </w:rPr>
              <w:t>E29_Conceptualisation_ou_procédure</w:t>
            </w:r>
            <w:r>
              <w:t>) a pour type (</w:t>
            </w:r>
            <w:r>
              <w:rPr>
                <w:rFonts w:ascii="Consolas" w:eastAsia="Consolas" w:hAnsi="Consolas" w:cs="Consolas"/>
                <w:sz w:val="22"/>
                <w:szCs w:val="22"/>
                <w:shd w:val="clear" w:color="auto" w:fill="EAEEF3"/>
              </w:rPr>
              <w:t>P69.1_a_pour_type</w:t>
            </w:r>
            <w:r>
              <w:t>) « suit » (</w:t>
            </w:r>
            <w:r>
              <w:rPr>
                <w:rFonts w:ascii="Consolas" w:eastAsia="Consolas" w:hAnsi="Consolas" w:cs="Consolas"/>
                <w:sz w:val="22"/>
                <w:szCs w:val="22"/>
                <w:shd w:val="clear" w:color="auto" w:fill="EAEEF3"/>
              </w:rPr>
              <w:t>E55_Type</w:t>
            </w:r>
            <w:r>
              <w:t>) (Poole, 1962)</w:t>
            </w:r>
          </w:p>
          <w:p w14:paraId="6B06E8F6" w14:textId="77777777" w:rsidR="00BF18CF" w:rsidRDefault="00E51347">
            <w:pPr>
              <w:numPr>
                <w:ilvl w:val="0"/>
                <w:numId w:val="19"/>
              </w:numPr>
            </w:pPr>
            <w:r>
              <w:t>Le plan de remontage des temples d’Abou Simbel (</w:t>
            </w:r>
            <w:r>
              <w:rPr>
                <w:rFonts w:ascii="Consolas" w:eastAsia="Consolas" w:hAnsi="Consolas" w:cs="Consolas"/>
                <w:sz w:val="22"/>
                <w:szCs w:val="22"/>
                <w:shd w:val="clear" w:color="auto" w:fill="EAEEF3"/>
              </w:rPr>
              <w:t>E29_Conceptualisation_ou_procédure</w:t>
            </w:r>
            <w:r>
              <w:t>) est associé au (</w:t>
            </w:r>
            <w:r>
              <w:rPr>
                <w:rFonts w:ascii="Consolas" w:eastAsia="Consolas" w:hAnsi="Consolas" w:cs="Consolas"/>
                <w:sz w:val="22"/>
                <w:szCs w:val="22"/>
                <w:shd w:val="clear" w:color="auto" w:fill="EAEEF3"/>
              </w:rPr>
              <w:t>P69_est_associé_à</w:t>
            </w:r>
            <w:r>
              <w:t>) plan pour entreposer et transporter les blocs (</w:t>
            </w:r>
            <w:r>
              <w:rPr>
                <w:rFonts w:ascii="Consolas" w:eastAsia="Consolas" w:hAnsi="Consolas" w:cs="Consolas"/>
                <w:sz w:val="22"/>
                <w:szCs w:val="22"/>
                <w:shd w:val="clear" w:color="auto" w:fill="EAEEF3"/>
              </w:rPr>
              <w:t>E29_Conceptualisation_ou_procédure</w:t>
            </w:r>
            <w:r>
              <w:t>) a pour type (</w:t>
            </w:r>
            <w:r>
              <w:rPr>
                <w:rFonts w:ascii="Consolas" w:eastAsia="Consolas" w:hAnsi="Consolas" w:cs="Consolas"/>
                <w:sz w:val="22"/>
                <w:szCs w:val="22"/>
                <w:shd w:val="clear" w:color="auto" w:fill="EAEEF3"/>
              </w:rPr>
              <w:t>P69.1_a_pour_type</w:t>
            </w:r>
            <w:r>
              <w:t>) « suit » (</w:t>
            </w:r>
            <w:r>
              <w:rPr>
                <w:rFonts w:ascii="Consolas" w:eastAsia="Consolas" w:hAnsi="Consolas" w:cs="Consolas"/>
                <w:sz w:val="22"/>
                <w:szCs w:val="22"/>
                <w:shd w:val="clear" w:color="auto" w:fill="EAEEF3"/>
              </w:rPr>
              <w:t>E55_Type</w:t>
            </w:r>
            <w:r>
              <w:t>) (Loubiere, 1995)</w:t>
            </w:r>
          </w:p>
        </w:tc>
      </w:tr>
      <w:tr w:rsidR="00BF18CF" w14:paraId="0FEF0246" w14:textId="77777777" w:rsidTr="00BF18CF">
        <w:tc>
          <w:tcPr>
            <w:tcW w:w="1849" w:type="dxa"/>
          </w:tcPr>
          <w:p w14:paraId="1824B8D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41" w:type="dxa"/>
          </w:tcPr>
          <w:p w14:paraId="53D4D572" w14:textId="77777777" w:rsidR="00BF18CF" w:rsidRDefault="00E51347">
            <w:r>
              <w:t>P69(</w:t>
            </w:r>
            <w:proofErr w:type="gramStart"/>
            <w:r>
              <w:t>x,y</w:t>
            </w:r>
            <w:proofErr w:type="gramEnd"/>
            <w:r>
              <w:t>) ⇒ E29(x)</w:t>
            </w:r>
          </w:p>
          <w:p w14:paraId="270D5B1F" w14:textId="77777777" w:rsidR="00BF18CF" w:rsidRDefault="00E51347">
            <w:r>
              <w:t>P69(</w:t>
            </w:r>
            <w:proofErr w:type="gramStart"/>
            <w:r>
              <w:t>x,y</w:t>
            </w:r>
            <w:proofErr w:type="gramEnd"/>
            <w:r>
              <w:t>) ⇒ E29(y)</w:t>
            </w:r>
          </w:p>
          <w:p w14:paraId="466D6C88" w14:textId="77777777" w:rsidR="00BF18CF" w:rsidRDefault="00E51347">
            <w:r>
              <w:t>P69(</w:t>
            </w:r>
            <w:proofErr w:type="gramStart"/>
            <w:r>
              <w:t>x,y</w:t>
            </w:r>
            <w:proofErr w:type="gramEnd"/>
            <w:r>
              <w:t>,z) ⇒ [P69(x,y) ∧ E55(z)]</w:t>
            </w:r>
          </w:p>
          <w:p w14:paraId="6EE9870D" w14:textId="77777777" w:rsidR="00BF18CF" w:rsidRDefault="00E51347">
            <w:r>
              <w:t>[P69(</w:t>
            </w:r>
            <w:proofErr w:type="gramStart"/>
            <w:r>
              <w:t>x,y</w:t>
            </w:r>
            <w:proofErr w:type="gramEnd"/>
            <w:r>
              <w:t>) ∧ P69(y,z)] ⇒ P69(x,z)</w:t>
            </w:r>
          </w:p>
        </w:tc>
      </w:tr>
      <w:tr w:rsidR="00BF18CF" w14:paraId="7020EEE1" w14:textId="77777777" w:rsidTr="00BF18CF">
        <w:tc>
          <w:tcPr>
            <w:tcW w:w="1849" w:type="dxa"/>
          </w:tcPr>
          <w:p w14:paraId="5F36F75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41" w:type="dxa"/>
          </w:tcPr>
          <w:p w14:paraId="5ABBC27C" w14:textId="77777777" w:rsidR="00BF18CF" w:rsidRDefault="00E51347">
            <w:r>
              <w:rPr>
                <w:rFonts w:ascii="Consolas" w:eastAsia="Consolas" w:hAnsi="Consolas" w:cs="Consolas"/>
                <w:sz w:val="22"/>
                <w:szCs w:val="22"/>
                <w:shd w:val="clear" w:color="auto" w:fill="EAEEF3"/>
              </w:rPr>
              <w:t>P69.1_a_pour_type</w:t>
            </w:r>
            <w:r>
              <w:t xml:space="preserve"> : </w:t>
            </w:r>
            <w:r>
              <w:rPr>
                <w:rFonts w:ascii="Consolas" w:eastAsia="Consolas" w:hAnsi="Consolas" w:cs="Consolas"/>
                <w:sz w:val="22"/>
                <w:szCs w:val="22"/>
                <w:shd w:val="clear" w:color="auto" w:fill="EAEEF3"/>
              </w:rPr>
              <w:t>E55_Type</w:t>
            </w:r>
          </w:p>
        </w:tc>
      </w:tr>
      <w:tr w:rsidR="00BF18CF" w14:paraId="5BBAEFFF" w14:textId="77777777" w:rsidTr="00BF18CF">
        <w:tc>
          <w:tcPr>
            <w:tcW w:w="1849" w:type="dxa"/>
          </w:tcPr>
          <w:p w14:paraId="3A7913CB" w14:textId="693FA6E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41" w:type="dxa"/>
          </w:tcPr>
          <w:p w14:paraId="51F91582" w14:textId="77777777" w:rsidR="00BF18CF" w:rsidRDefault="00BF18CF">
            <w:pPr>
              <w:pBdr>
                <w:top w:val="nil"/>
                <w:left w:val="nil"/>
                <w:bottom w:val="nil"/>
                <w:right w:val="nil"/>
                <w:between w:val="nil"/>
              </w:pBdr>
              <w:spacing w:before="36" w:after="36"/>
              <w:rPr>
                <w:color w:val="000000"/>
              </w:rPr>
            </w:pPr>
          </w:p>
        </w:tc>
      </w:tr>
      <w:tr w:rsidR="00BF18CF" w14:paraId="41EEF182" w14:textId="77777777" w:rsidTr="00BF18CF">
        <w:tc>
          <w:tcPr>
            <w:tcW w:w="1849" w:type="dxa"/>
          </w:tcPr>
          <w:p w14:paraId="2D95E65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41" w:type="dxa"/>
          </w:tcPr>
          <w:p w14:paraId="6AB1CC13" w14:textId="77777777" w:rsidR="00BF18CF" w:rsidRDefault="00BF18CF">
            <w:pPr>
              <w:pBdr>
                <w:top w:val="nil"/>
                <w:left w:val="nil"/>
                <w:bottom w:val="nil"/>
                <w:right w:val="nil"/>
                <w:between w:val="nil"/>
              </w:pBdr>
              <w:spacing w:before="36" w:after="36"/>
              <w:rPr>
                <w:color w:val="000000"/>
              </w:rPr>
            </w:pPr>
          </w:p>
        </w:tc>
      </w:tr>
    </w:tbl>
    <w:p w14:paraId="06B3E4B1" w14:textId="77777777" w:rsidR="00BF18CF" w:rsidRDefault="00E51347">
      <w:pPr>
        <w:pStyle w:val="Heading3"/>
      </w:pPr>
      <w:bookmarkStart w:id="383" w:name="bookmark=id.4bewzdj" w:colFirst="0" w:colLast="0"/>
      <w:bookmarkStart w:id="384" w:name="_Toc144360935"/>
      <w:bookmarkEnd w:id="383"/>
      <w:r>
        <w:t>P70 documente (est documenté dans)</w:t>
      </w:r>
      <w:bookmarkEnd w:id="384"/>
    </w:p>
    <w:tbl>
      <w:tblPr>
        <w:tblStyle w:val="afff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6"/>
        <w:gridCol w:w="8794"/>
      </w:tblGrid>
      <w:tr w:rsidR="00BF18CF" w14:paraId="13BFE508" w14:textId="77777777" w:rsidTr="00BF18CF">
        <w:tc>
          <w:tcPr>
            <w:tcW w:w="1896" w:type="dxa"/>
          </w:tcPr>
          <w:p w14:paraId="3E59135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4" w:type="dxa"/>
          </w:tcPr>
          <w:p w14:paraId="7A471364" w14:textId="77777777" w:rsidR="00BF18CF" w:rsidRDefault="00E51347">
            <w:r>
              <w:rPr>
                <w:rFonts w:ascii="Consolas" w:eastAsia="Consolas" w:hAnsi="Consolas" w:cs="Consolas"/>
                <w:sz w:val="22"/>
                <w:szCs w:val="22"/>
                <w:shd w:val="clear" w:color="auto" w:fill="EAEEF3"/>
              </w:rPr>
              <w:t>E31_Document</w:t>
            </w:r>
          </w:p>
        </w:tc>
      </w:tr>
      <w:tr w:rsidR="00BF18CF" w14:paraId="3C039B34" w14:textId="77777777" w:rsidTr="00BF18CF">
        <w:tc>
          <w:tcPr>
            <w:tcW w:w="1896" w:type="dxa"/>
          </w:tcPr>
          <w:p w14:paraId="43C22791" w14:textId="77777777" w:rsidR="00BF18CF" w:rsidRDefault="00E51347">
            <w:pPr>
              <w:pBdr>
                <w:top w:val="nil"/>
                <w:left w:val="nil"/>
                <w:bottom w:val="nil"/>
                <w:right w:val="nil"/>
                <w:between w:val="nil"/>
              </w:pBdr>
              <w:spacing w:before="36" w:after="36"/>
              <w:rPr>
                <w:color w:val="000000"/>
              </w:rPr>
            </w:pPr>
            <w:r>
              <w:rPr>
                <w:b/>
                <w:color w:val="000000"/>
              </w:rPr>
              <w:lastRenderedPageBreak/>
              <w:t>Portée</w:t>
            </w:r>
          </w:p>
        </w:tc>
        <w:tc>
          <w:tcPr>
            <w:tcW w:w="8794" w:type="dxa"/>
          </w:tcPr>
          <w:p w14:paraId="0A74C058" w14:textId="77777777" w:rsidR="00BF18CF" w:rsidRDefault="00E51347">
            <w:r>
              <w:rPr>
                <w:rFonts w:ascii="Consolas" w:eastAsia="Consolas" w:hAnsi="Consolas" w:cs="Consolas"/>
                <w:sz w:val="22"/>
                <w:szCs w:val="22"/>
                <w:shd w:val="clear" w:color="auto" w:fill="EAEEF3"/>
              </w:rPr>
              <w:t>E1_Entité_CRM</w:t>
            </w:r>
          </w:p>
        </w:tc>
      </w:tr>
      <w:tr w:rsidR="00BF18CF" w14:paraId="7E1C0698" w14:textId="77777777" w:rsidTr="00BF18CF">
        <w:tc>
          <w:tcPr>
            <w:tcW w:w="1896" w:type="dxa"/>
          </w:tcPr>
          <w:p w14:paraId="7165EC4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4" w:type="dxa"/>
          </w:tcPr>
          <w:p w14:paraId="6E278B68" w14:textId="77777777" w:rsidR="00BF18CF" w:rsidRDefault="00E51347">
            <w:r>
              <w:rPr>
                <w:rFonts w:ascii="Consolas" w:eastAsia="Consolas" w:hAnsi="Consolas" w:cs="Consolas"/>
                <w:sz w:val="22"/>
                <w:szCs w:val="22"/>
                <w:shd w:val="clear" w:color="auto" w:fill="EAEEF3"/>
              </w:rPr>
              <w:t>E89_Objet_propositionnel</w:t>
            </w:r>
            <w:r>
              <w:t xml:space="preserve">. </w:t>
            </w:r>
            <w:r>
              <w:rPr>
                <w:rFonts w:ascii="Consolas" w:eastAsia="Consolas" w:hAnsi="Consolas" w:cs="Consolas"/>
                <w:sz w:val="22"/>
                <w:szCs w:val="22"/>
                <w:shd w:val="clear" w:color="auto" w:fill="EAEEF3"/>
              </w:rPr>
              <w:t>P67_renvoie_à (fait_l’objet_d’un_renvoi_par)</w:t>
            </w:r>
            <w:r>
              <w:t xml:space="preserve"> : </w:t>
            </w:r>
            <w:r>
              <w:rPr>
                <w:rFonts w:ascii="Consolas" w:eastAsia="Consolas" w:hAnsi="Consolas" w:cs="Consolas"/>
                <w:sz w:val="22"/>
                <w:szCs w:val="22"/>
                <w:shd w:val="clear" w:color="auto" w:fill="EAEEF3"/>
              </w:rPr>
              <w:t>E1_Entité_CRM</w:t>
            </w:r>
          </w:p>
        </w:tc>
      </w:tr>
      <w:tr w:rsidR="00BF18CF" w14:paraId="4DDFA75A" w14:textId="77777777" w:rsidTr="00BF18CF">
        <w:tc>
          <w:tcPr>
            <w:tcW w:w="1896" w:type="dxa"/>
          </w:tcPr>
          <w:p w14:paraId="1435F221"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4" w:type="dxa"/>
          </w:tcPr>
          <w:p w14:paraId="749687AB" w14:textId="77777777" w:rsidR="00BF18CF" w:rsidRDefault="00BF18CF">
            <w:pPr>
              <w:pBdr>
                <w:top w:val="nil"/>
                <w:left w:val="nil"/>
                <w:bottom w:val="nil"/>
                <w:right w:val="nil"/>
                <w:between w:val="nil"/>
              </w:pBdr>
              <w:spacing w:before="36" w:after="36"/>
              <w:rPr>
                <w:color w:val="000000"/>
              </w:rPr>
            </w:pPr>
          </w:p>
        </w:tc>
      </w:tr>
      <w:tr w:rsidR="00BF18CF" w14:paraId="608DA541" w14:textId="77777777" w:rsidTr="00BF18CF">
        <w:tc>
          <w:tcPr>
            <w:tcW w:w="1896" w:type="dxa"/>
          </w:tcPr>
          <w:p w14:paraId="182407D5"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4" w:type="dxa"/>
          </w:tcPr>
          <w:p w14:paraId="394D2B94" w14:textId="77777777" w:rsidR="00BF18CF" w:rsidRDefault="00E51347">
            <w:proofErr w:type="gramStart"/>
            <w:r>
              <w:t>plusieurs</w:t>
            </w:r>
            <w:proofErr w:type="gramEnd"/>
            <w:r>
              <w:t xml:space="preserve"> à plusieurs, nécessaire (1,n:0,n)</w:t>
            </w:r>
          </w:p>
        </w:tc>
      </w:tr>
      <w:tr w:rsidR="00BF18CF" w14:paraId="23928B9A" w14:textId="77777777" w:rsidTr="00BF18CF">
        <w:tc>
          <w:tcPr>
            <w:tcW w:w="1896" w:type="dxa"/>
          </w:tcPr>
          <w:p w14:paraId="35099C4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4" w:type="dxa"/>
          </w:tcPr>
          <w:p w14:paraId="4CBE598A" w14:textId="77777777" w:rsidR="00BF18CF" w:rsidRDefault="00E51347">
            <w:r>
              <w:t xml:space="preserve">Cette propriété décrit les entités CRM documentées par des instances de </w:t>
            </w:r>
            <w:r>
              <w:rPr>
                <w:rFonts w:ascii="Consolas" w:eastAsia="Consolas" w:hAnsi="Consolas" w:cs="Consolas"/>
                <w:sz w:val="22"/>
                <w:szCs w:val="22"/>
                <w:shd w:val="clear" w:color="auto" w:fill="EAEEF3"/>
              </w:rPr>
              <w:t>E31_Document</w:t>
            </w:r>
            <w:r>
              <w:t>.</w:t>
            </w:r>
          </w:p>
          <w:p w14:paraId="3D7DF0FA" w14:textId="77777777" w:rsidR="00BF18CF" w:rsidRDefault="00E51347">
            <w:r>
              <w:t>Des documents peuvent décrire n’importe quel type d’entité, ce qui explique que la portée de cette propriété soit l’entité la plus élevée dans la hiérarchie des classes du CIDOC CRM. Cette propriété doit être utilisée dans les cas où une référence est vue comme contenant des informations à propos de la réalité. Cela peut être à propos d’un personnage documentaire, que ce soit dans le sens scientifique ou universitaire ou dans une déclaration d’ordre plus général.</w:t>
            </w:r>
          </w:p>
        </w:tc>
      </w:tr>
      <w:tr w:rsidR="00BF18CF" w14:paraId="555E8481" w14:textId="77777777" w:rsidTr="00BF18CF">
        <w:tc>
          <w:tcPr>
            <w:tcW w:w="1896" w:type="dxa"/>
          </w:tcPr>
          <w:p w14:paraId="4802522F"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4" w:type="dxa"/>
          </w:tcPr>
          <w:p w14:paraId="1C17BA9B" w14:textId="77777777" w:rsidR="00BF18CF" w:rsidRDefault="00E51347">
            <w:pPr>
              <w:numPr>
                <w:ilvl w:val="0"/>
                <w:numId w:val="19"/>
              </w:numPr>
            </w:pPr>
            <w:r>
              <w:t>Le catalogue du British Museum (</w:t>
            </w:r>
            <w:r>
              <w:rPr>
                <w:rFonts w:ascii="Consolas" w:eastAsia="Consolas" w:hAnsi="Consolas" w:cs="Consolas"/>
                <w:sz w:val="22"/>
                <w:szCs w:val="22"/>
                <w:shd w:val="clear" w:color="auto" w:fill="EAEEF3"/>
              </w:rPr>
              <w:t>E31_Document</w:t>
            </w:r>
            <w:r>
              <w:t>) documente (</w:t>
            </w:r>
            <w:r>
              <w:rPr>
                <w:rFonts w:ascii="Consolas" w:eastAsia="Consolas" w:hAnsi="Consolas" w:cs="Consolas"/>
                <w:sz w:val="22"/>
                <w:szCs w:val="22"/>
                <w:shd w:val="clear" w:color="auto" w:fill="EAEEF3"/>
              </w:rPr>
              <w:t>P70_documente</w:t>
            </w:r>
            <w:r>
              <w:t>) la collection du British Museum (</w:t>
            </w:r>
            <w:r>
              <w:rPr>
                <w:rFonts w:ascii="Consolas" w:eastAsia="Consolas" w:hAnsi="Consolas" w:cs="Consolas"/>
                <w:sz w:val="22"/>
                <w:szCs w:val="22"/>
                <w:shd w:val="clear" w:color="auto" w:fill="EAEEF3"/>
              </w:rPr>
              <w:t>E78_Collection</w:t>
            </w:r>
            <w:r>
              <w:t>) (Franks, 1872), (British Museum, 1922) (fictif)</w:t>
            </w:r>
          </w:p>
        </w:tc>
      </w:tr>
      <w:tr w:rsidR="00BF18CF" w14:paraId="00785532" w14:textId="77777777" w:rsidTr="00BF18CF">
        <w:tc>
          <w:tcPr>
            <w:tcW w:w="1896" w:type="dxa"/>
          </w:tcPr>
          <w:p w14:paraId="260E2B8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4" w:type="dxa"/>
          </w:tcPr>
          <w:p w14:paraId="08A955CE" w14:textId="77777777" w:rsidR="00BF18CF" w:rsidRDefault="00E51347">
            <w:r>
              <w:t>P70(</w:t>
            </w:r>
            <w:proofErr w:type="gramStart"/>
            <w:r>
              <w:t>x,y</w:t>
            </w:r>
            <w:proofErr w:type="gramEnd"/>
            <w:r>
              <w:t>) ⇒ E31(x)</w:t>
            </w:r>
          </w:p>
          <w:p w14:paraId="634D7F4C" w14:textId="77777777" w:rsidR="00BF18CF" w:rsidRDefault="00E51347">
            <w:r>
              <w:t>P70(</w:t>
            </w:r>
            <w:proofErr w:type="gramStart"/>
            <w:r>
              <w:t>x,y</w:t>
            </w:r>
            <w:proofErr w:type="gramEnd"/>
            <w:r>
              <w:t>) ⇒ E1(y)</w:t>
            </w:r>
          </w:p>
          <w:p w14:paraId="2F19810B" w14:textId="77777777" w:rsidR="00BF18CF" w:rsidRDefault="00E51347">
            <w:r>
              <w:t>P70(</w:t>
            </w:r>
            <w:proofErr w:type="gramStart"/>
            <w:r>
              <w:t>x,y</w:t>
            </w:r>
            <w:proofErr w:type="gramEnd"/>
            <w:r>
              <w:t>) ⇒ P67(x,y)</w:t>
            </w:r>
          </w:p>
        </w:tc>
      </w:tr>
      <w:tr w:rsidR="00BF18CF" w14:paraId="1D08529A" w14:textId="77777777" w:rsidTr="00BF18CF">
        <w:tc>
          <w:tcPr>
            <w:tcW w:w="1896" w:type="dxa"/>
          </w:tcPr>
          <w:p w14:paraId="23691C9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4" w:type="dxa"/>
          </w:tcPr>
          <w:p w14:paraId="127B3E0E" w14:textId="77777777" w:rsidR="00BF18CF" w:rsidRDefault="00BF18CF">
            <w:pPr>
              <w:pBdr>
                <w:top w:val="nil"/>
                <w:left w:val="nil"/>
                <w:bottom w:val="nil"/>
                <w:right w:val="nil"/>
                <w:between w:val="nil"/>
              </w:pBdr>
              <w:spacing w:before="36" w:after="36"/>
              <w:rPr>
                <w:color w:val="000000"/>
              </w:rPr>
            </w:pPr>
          </w:p>
        </w:tc>
      </w:tr>
      <w:tr w:rsidR="00BF18CF" w14:paraId="762D8079" w14:textId="77777777" w:rsidTr="00BF18CF">
        <w:tc>
          <w:tcPr>
            <w:tcW w:w="1896" w:type="dxa"/>
          </w:tcPr>
          <w:p w14:paraId="63559FEB" w14:textId="7A52C8F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4" w:type="dxa"/>
          </w:tcPr>
          <w:p w14:paraId="66E4E4E1" w14:textId="77777777" w:rsidR="00BF18CF" w:rsidRDefault="00E51347">
            <w:r>
              <w:t xml:space="preserve">La phrase « This property describes the CRM Entities documented as instances of E31 Document » a été traduit par « cette propriété décrit les entités CRM documentées par des instances de </w:t>
            </w:r>
            <w:r>
              <w:rPr>
                <w:rFonts w:ascii="Consolas" w:eastAsia="Consolas" w:hAnsi="Consolas" w:cs="Consolas"/>
                <w:sz w:val="22"/>
                <w:szCs w:val="22"/>
                <w:shd w:val="clear" w:color="auto" w:fill="EAEEF3"/>
              </w:rPr>
              <w:t>E31_Document</w:t>
            </w:r>
            <w:r>
              <w:t xml:space="preserve"> » car il semble s’agir d’une erreur dans la version originale. En effet, la propriété </w:t>
            </w:r>
            <w:r>
              <w:rPr>
                <w:rFonts w:ascii="Consolas" w:eastAsia="Consolas" w:hAnsi="Consolas" w:cs="Consolas"/>
                <w:sz w:val="22"/>
                <w:szCs w:val="22"/>
                <w:shd w:val="clear" w:color="auto" w:fill="EAEEF3"/>
              </w:rPr>
              <w:t>P70_documente (est_documenté_dans)</w:t>
            </w:r>
            <w:r>
              <w:t xml:space="preserve"> ne décrit pas des entités qui sont des instances de </w:t>
            </w:r>
            <w:r>
              <w:rPr>
                <w:rFonts w:ascii="Consolas" w:eastAsia="Consolas" w:hAnsi="Consolas" w:cs="Consolas"/>
                <w:sz w:val="22"/>
                <w:szCs w:val="22"/>
                <w:shd w:val="clear" w:color="auto" w:fill="EAEEF3"/>
              </w:rPr>
              <w:t>E31_Document</w:t>
            </w:r>
            <w:r>
              <w:t xml:space="preserve">, mais des entités qui sont mentionnées dans des instances de </w:t>
            </w:r>
            <w:r>
              <w:rPr>
                <w:rFonts w:ascii="Consolas" w:eastAsia="Consolas" w:hAnsi="Consolas" w:cs="Consolas"/>
                <w:sz w:val="22"/>
                <w:szCs w:val="22"/>
                <w:shd w:val="clear" w:color="auto" w:fill="EAEEF3"/>
              </w:rPr>
              <w:t>E31_Document</w:t>
            </w:r>
            <w:r>
              <w:t xml:space="preserve"> ou, en d’autres termes, qui sont documentés par des instances de </w:t>
            </w:r>
            <w:r>
              <w:rPr>
                <w:rFonts w:ascii="Consolas" w:eastAsia="Consolas" w:hAnsi="Consolas" w:cs="Consolas"/>
                <w:sz w:val="22"/>
                <w:szCs w:val="22"/>
                <w:shd w:val="clear" w:color="auto" w:fill="EAEEF3"/>
              </w:rPr>
              <w:t>E31_Document</w:t>
            </w:r>
            <w:r>
              <w:t>.</w:t>
            </w:r>
          </w:p>
        </w:tc>
      </w:tr>
      <w:tr w:rsidR="00BF18CF" w14:paraId="656F3027" w14:textId="77777777" w:rsidTr="00BF18CF">
        <w:tc>
          <w:tcPr>
            <w:tcW w:w="1896" w:type="dxa"/>
          </w:tcPr>
          <w:p w14:paraId="4AA6A20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4" w:type="dxa"/>
          </w:tcPr>
          <w:p w14:paraId="75A210E6" w14:textId="77777777" w:rsidR="00BF18CF" w:rsidRDefault="00BF18CF">
            <w:pPr>
              <w:pBdr>
                <w:top w:val="nil"/>
                <w:left w:val="nil"/>
                <w:bottom w:val="nil"/>
                <w:right w:val="nil"/>
                <w:between w:val="nil"/>
              </w:pBdr>
              <w:spacing w:before="36" w:after="36"/>
              <w:rPr>
                <w:color w:val="000000"/>
              </w:rPr>
            </w:pPr>
          </w:p>
        </w:tc>
      </w:tr>
    </w:tbl>
    <w:p w14:paraId="759737E2" w14:textId="77777777" w:rsidR="00BF18CF" w:rsidRDefault="00E51347">
      <w:pPr>
        <w:pStyle w:val="Heading3"/>
      </w:pPr>
      <w:bookmarkStart w:id="385" w:name="bookmark=id.2qk79lc" w:colFirst="0" w:colLast="0"/>
      <w:bookmarkStart w:id="386" w:name="_Toc144360936"/>
      <w:bookmarkEnd w:id="385"/>
      <w:r>
        <w:t>P71 énumère (est énuméré par)</w:t>
      </w:r>
      <w:bookmarkEnd w:id="386"/>
    </w:p>
    <w:tbl>
      <w:tblPr>
        <w:tblStyle w:val="afff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6"/>
        <w:gridCol w:w="8754"/>
      </w:tblGrid>
      <w:tr w:rsidR="00BF18CF" w14:paraId="1769B097" w14:textId="77777777" w:rsidTr="00BF18CF">
        <w:tc>
          <w:tcPr>
            <w:tcW w:w="1936" w:type="dxa"/>
          </w:tcPr>
          <w:p w14:paraId="4547D2A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54" w:type="dxa"/>
          </w:tcPr>
          <w:p w14:paraId="6F6882AA" w14:textId="77777777" w:rsidR="00BF18CF" w:rsidRDefault="00E51347">
            <w:r>
              <w:rPr>
                <w:rFonts w:ascii="Consolas" w:eastAsia="Consolas" w:hAnsi="Consolas" w:cs="Consolas"/>
                <w:sz w:val="22"/>
                <w:szCs w:val="22"/>
                <w:shd w:val="clear" w:color="auto" w:fill="EAEEF3"/>
              </w:rPr>
              <w:t>E32_Document_de_référence</w:t>
            </w:r>
          </w:p>
        </w:tc>
      </w:tr>
      <w:tr w:rsidR="00BF18CF" w14:paraId="03BAAA11" w14:textId="77777777" w:rsidTr="00BF18CF">
        <w:tc>
          <w:tcPr>
            <w:tcW w:w="1936" w:type="dxa"/>
          </w:tcPr>
          <w:p w14:paraId="4CA85C0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54" w:type="dxa"/>
          </w:tcPr>
          <w:p w14:paraId="71DE99AE" w14:textId="77777777" w:rsidR="00BF18CF" w:rsidRDefault="00E51347">
            <w:r>
              <w:rPr>
                <w:rFonts w:ascii="Consolas" w:eastAsia="Consolas" w:hAnsi="Consolas" w:cs="Consolas"/>
                <w:sz w:val="22"/>
                <w:szCs w:val="22"/>
                <w:shd w:val="clear" w:color="auto" w:fill="EAEEF3"/>
              </w:rPr>
              <w:t>E1_Entité_CRM</w:t>
            </w:r>
          </w:p>
        </w:tc>
      </w:tr>
      <w:tr w:rsidR="00BF18CF" w14:paraId="3A98A406" w14:textId="77777777" w:rsidTr="00BF18CF">
        <w:tc>
          <w:tcPr>
            <w:tcW w:w="1936" w:type="dxa"/>
          </w:tcPr>
          <w:p w14:paraId="2B1AF969"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54" w:type="dxa"/>
          </w:tcPr>
          <w:p w14:paraId="44DF0391" w14:textId="77777777" w:rsidR="00BF18CF" w:rsidRDefault="00E51347">
            <w:r>
              <w:rPr>
                <w:rFonts w:ascii="Consolas" w:eastAsia="Consolas" w:hAnsi="Consolas" w:cs="Consolas"/>
                <w:sz w:val="22"/>
                <w:szCs w:val="22"/>
                <w:shd w:val="clear" w:color="auto" w:fill="EAEEF3"/>
              </w:rPr>
              <w:t>E89_Objet_propositionnel</w:t>
            </w:r>
            <w:r>
              <w:t xml:space="preserve">. </w:t>
            </w:r>
            <w:r>
              <w:rPr>
                <w:rFonts w:ascii="Consolas" w:eastAsia="Consolas" w:hAnsi="Consolas" w:cs="Consolas"/>
                <w:sz w:val="22"/>
                <w:szCs w:val="22"/>
                <w:shd w:val="clear" w:color="auto" w:fill="EAEEF3"/>
              </w:rPr>
              <w:t>P67_renvoie_à (fait_l’objet_d’un_renvoi_par)</w:t>
            </w:r>
            <w:r>
              <w:t xml:space="preserve"> : </w:t>
            </w:r>
            <w:r>
              <w:rPr>
                <w:rFonts w:ascii="Consolas" w:eastAsia="Consolas" w:hAnsi="Consolas" w:cs="Consolas"/>
                <w:sz w:val="22"/>
                <w:szCs w:val="22"/>
                <w:shd w:val="clear" w:color="auto" w:fill="EAEEF3"/>
              </w:rPr>
              <w:t>E1_Entité_CRM</w:t>
            </w:r>
          </w:p>
        </w:tc>
      </w:tr>
      <w:tr w:rsidR="00BF18CF" w14:paraId="052460E8" w14:textId="77777777" w:rsidTr="00BF18CF">
        <w:tc>
          <w:tcPr>
            <w:tcW w:w="1936" w:type="dxa"/>
          </w:tcPr>
          <w:p w14:paraId="0CD9459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54" w:type="dxa"/>
          </w:tcPr>
          <w:p w14:paraId="064E4E74" w14:textId="77777777" w:rsidR="00BF18CF" w:rsidRDefault="00BF18CF">
            <w:pPr>
              <w:pBdr>
                <w:top w:val="nil"/>
                <w:left w:val="nil"/>
                <w:bottom w:val="nil"/>
                <w:right w:val="nil"/>
                <w:between w:val="nil"/>
              </w:pBdr>
              <w:spacing w:before="36" w:after="36"/>
              <w:rPr>
                <w:color w:val="000000"/>
              </w:rPr>
            </w:pPr>
          </w:p>
        </w:tc>
      </w:tr>
      <w:tr w:rsidR="00BF18CF" w14:paraId="278FF8B1" w14:textId="77777777" w:rsidTr="00BF18CF">
        <w:tc>
          <w:tcPr>
            <w:tcW w:w="1936" w:type="dxa"/>
          </w:tcPr>
          <w:p w14:paraId="5FA65090"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754" w:type="dxa"/>
          </w:tcPr>
          <w:p w14:paraId="0A6D8B91" w14:textId="77777777" w:rsidR="00BF18CF" w:rsidRDefault="00E51347">
            <w:proofErr w:type="gramStart"/>
            <w:r>
              <w:t>plusieurs</w:t>
            </w:r>
            <w:proofErr w:type="gramEnd"/>
            <w:r>
              <w:t xml:space="preserve"> à plusieurs (0,n:0,n)</w:t>
            </w:r>
          </w:p>
        </w:tc>
      </w:tr>
      <w:tr w:rsidR="00BF18CF" w14:paraId="54509496" w14:textId="77777777" w:rsidTr="00BF18CF">
        <w:tc>
          <w:tcPr>
            <w:tcW w:w="1936" w:type="dxa"/>
          </w:tcPr>
          <w:p w14:paraId="59446EE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54" w:type="dxa"/>
          </w:tcPr>
          <w:p w14:paraId="31603EA9" w14:textId="77777777" w:rsidR="00BF18CF" w:rsidRDefault="00E51347">
            <w:r>
              <w:t xml:space="preserve">Cette propriété associe une instance de </w:t>
            </w:r>
            <w:r>
              <w:rPr>
                <w:rFonts w:ascii="Consolas" w:eastAsia="Consolas" w:hAnsi="Consolas" w:cs="Consolas"/>
                <w:sz w:val="22"/>
                <w:szCs w:val="22"/>
                <w:shd w:val="clear" w:color="auto" w:fill="EAEEF3"/>
              </w:rPr>
              <w:t>E32_Document_de_référence</w:t>
            </w:r>
            <w:r>
              <w:t xml:space="preserve"> à une instance de </w:t>
            </w:r>
            <w:r>
              <w:rPr>
                <w:rFonts w:ascii="Consolas" w:eastAsia="Consolas" w:hAnsi="Consolas" w:cs="Consolas"/>
                <w:sz w:val="22"/>
                <w:szCs w:val="22"/>
                <w:shd w:val="clear" w:color="auto" w:fill="EAEEF3"/>
              </w:rPr>
              <w:t>E1_Entité_CRM</w:t>
            </w:r>
            <w:r>
              <w:t xml:space="preserve"> énumérée à des fins de référence.</w:t>
            </w:r>
          </w:p>
        </w:tc>
      </w:tr>
      <w:tr w:rsidR="00BF18CF" w14:paraId="4D4F78D7" w14:textId="77777777" w:rsidTr="00BF18CF">
        <w:tc>
          <w:tcPr>
            <w:tcW w:w="1936" w:type="dxa"/>
          </w:tcPr>
          <w:p w14:paraId="32612B5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54" w:type="dxa"/>
          </w:tcPr>
          <w:p w14:paraId="54C965B3" w14:textId="77777777" w:rsidR="00BF18CF" w:rsidRDefault="00E51347">
            <w:pPr>
              <w:numPr>
                <w:ilvl w:val="0"/>
                <w:numId w:val="19"/>
              </w:numPr>
            </w:pPr>
            <w:r>
              <w:t>Le Art &amp; Architecture Thesaurus (</w:t>
            </w:r>
            <w:r>
              <w:rPr>
                <w:rFonts w:ascii="Consolas" w:eastAsia="Consolas" w:hAnsi="Consolas" w:cs="Consolas"/>
                <w:sz w:val="22"/>
                <w:szCs w:val="22"/>
                <w:shd w:val="clear" w:color="auto" w:fill="EAEEF3"/>
              </w:rPr>
              <w:t>E32_Document_de_référence</w:t>
            </w:r>
            <w:r>
              <w:t>) énumère (</w:t>
            </w:r>
            <w:r>
              <w:rPr>
                <w:rFonts w:ascii="Consolas" w:eastAsia="Consolas" w:hAnsi="Consolas" w:cs="Consolas"/>
                <w:sz w:val="22"/>
                <w:szCs w:val="22"/>
                <w:shd w:val="clear" w:color="auto" w:fill="EAEEF3"/>
              </w:rPr>
              <w:t>P71_énumère</w:t>
            </w:r>
            <w:r>
              <w:t>) des alcazars (</w:t>
            </w:r>
            <w:r>
              <w:rPr>
                <w:rFonts w:ascii="Consolas" w:eastAsia="Consolas" w:hAnsi="Consolas" w:cs="Consolas"/>
                <w:sz w:val="22"/>
                <w:szCs w:val="22"/>
                <w:shd w:val="clear" w:color="auto" w:fill="EAEEF3"/>
              </w:rPr>
              <w:t>E55_Type</w:t>
            </w:r>
            <w:r>
              <w:t>) (http://vocab.getty.edu/page/aat/300006897)</w:t>
            </w:r>
          </w:p>
        </w:tc>
      </w:tr>
      <w:tr w:rsidR="00BF18CF" w14:paraId="21BD63BD" w14:textId="77777777" w:rsidTr="00BF18CF">
        <w:tc>
          <w:tcPr>
            <w:tcW w:w="1936" w:type="dxa"/>
          </w:tcPr>
          <w:p w14:paraId="7CDBB0C2"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54" w:type="dxa"/>
          </w:tcPr>
          <w:p w14:paraId="13190ED2" w14:textId="77777777" w:rsidR="00BF18CF" w:rsidRDefault="00E51347">
            <w:r>
              <w:t>P71(</w:t>
            </w:r>
            <w:proofErr w:type="gramStart"/>
            <w:r>
              <w:t>x,y</w:t>
            </w:r>
            <w:proofErr w:type="gramEnd"/>
            <w:r>
              <w:t>) ⇒ E32(x)</w:t>
            </w:r>
          </w:p>
          <w:p w14:paraId="435A4A02" w14:textId="77777777" w:rsidR="00BF18CF" w:rsidRDefault="00E51347">
            <w:r>
              <w:t>P71(</w:t>
            </w:r>
            <w:proofErr w:type="gramStart"/>
            <w:r>
              <w:t>x,y</w:t>
            </w:r>
            <w:proofErr w:type="gramEnd"/>
            <w:r>
              <w:t>) ⇒ E1(y)</w:t>
            </w:r>
          </w:p>
          <w:p w14:paraId="79D5FFA5" w14:textId="77777777" w:rsidR="00BF18CF" w:rsidRDefault="00E51347">
            <w:r>
              <w:t>P71(</w:t>
            </w:r>
            <w:proofErr w:type="gramStart"/>
            <w:r>
              <w:t>x,y</w:t>
            </w:r>
            <w:proofErr w:type="gramEnd"/>
            <w:r>
              <w:t>) ⇒ P67(x,y)</w:t>
            </w:r>
          </w:p>
        </w:tc>
      </w:tr>
      <w:tr w:rsidR="00BF18CF" w14:paraId="01A5F136" w14:textId="77777777" w:rsidTr="00BF18CF">
        <w:tc>
          <w:tcPr>
            <w:tcW w:w="1936" w:type="dxa"/>
          </w:tcPr>
          <w:p w14:paraId="79A81AC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54" w:type="dxa"/>
          </w:tcPr>
          <w:p w14:paraId="4119462D" w14:textId="77777777" w:rsidR="00BF18CF" w:rsidRDefault="00BF18CF">
            <w:pPr>
              <w:pBdr>
                <w:top w:val="nil"/>
                <w:left w:val="nil"/>
                <w:bottom w:val="nil"/>
                <w:right w:val="nil"/>
                <w:between w:val="nil"/>
              </w:pBdr>
              <w:spacing w:before="36" w:after="36"/>
              <w:rPr>
                <w:color w:val="000000"/>
              </w:rPr>
            </w:pPr>
          </w:p>
        </w:tc>
      </w:tr>
      <w:tr w:rsidR="00BF18CF" w14:paraId="51592D3A" w14:textId="77777777" w:rsidTr="00BF18CF">
        <w:tc>
          <w:tcPr>
            <w:tcW w:w="1936" w:type="dxa"/>
          </w:tcPr>
          <w:p w14:paraId="56235552" w14:textId="3025A51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54" w:type="dxa"/>
          </w:tcPr>
          <w:p w14:paraId="248D072E" w14:textId="77777777" w:rsidR="00BF18CF" w:rsidRDefault="00BF18CF">
            <w:pPr>
              <w:pBdr>
                <w:top w:val="nil"/>
                <w:left w:val="nil"/>
                <w:bottom w:val="nil"/>
                <w:right w:val="nil"/>
                <w:between w:val="nil"/>
              </w:pBdr>
              <w:spacing w:before="36" w:after="36"/>
              <w:rPr>
                <w:color w:val="000000"/>
              </w:rPr>
            </w:pPr>
          </w:p>
        </w:tc>
      </w:tr>
      <w:tr w:rsidR="00BF18CF" w14:paraId="0AEA66B6" w14:textId="77777777" w:rsidTr="00BF18CF">
        <w:tc>
          <w:tcPr>
            <w:tcW w:w="1936" w:type="dxa"/>
          </w:tcPr>
          <w:p w14:paraId="6528E8C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54" w:type="dxa"/>
          </w:tcPr>
          <w:p w14:paraId="6D770AE8" w14:textId="77777777" w:rsidR="00BF18CF" w:rsidRDefault="00BF18CF">
            <w:pPr>
              <w:pBdr>
                <w:top w:val="nil"/>
                <w:left w:val="nil"/>
                <w:bottom w:val="nil"/>
                <w:right w:val="nil"/>
                <w:between w:val="nil"/>
              </w:pBdr>
              <w:spacing w:before="36" w:after="36"/>
              <w:rPr>
                <w:color w:val="000000"/>
              </w:rPr>
            </w:pPr>
          </w:p>
        </w:tc>
      </w:tr>
    </w:tbl>
    <w:p w14:paraId="5D73147B" w14:textId="77777777" w:rsidR="00BF18CF" w:rsidRDefault="00E51347">
      <w:pPr>
        <w:pStyle w:val="Heading3"/>
      </w:pPr>
      <w:bookmarkStart w:id="387" w:name="bookmark=id.15phjt5" w:colFirst="0" w:colLast="0"/>
      <w:bookmarkStart w:id="388" w:name="_Toc144360937"/>
      <w:bookmarkEnd w:id="387"/>
      <w:r>
        <w:t>P72 a pour langue (est la langue de)</w:t>
      </w:r>
      <w:bookmarkEnd w:id="388"/>
    </w:p>
    <w:tbl>
      <w:tblPr>
        <w:tblStyle w:val="afff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89"/>
        <w:gridCol w:w="8701"/>
      </w:tblGrid>
      <w:tr w:rsidR="00BF18CF" w14:paraId="20E90472" w14:textId="77777777" w:rsidTr="00BF18CF">
        <w:tc>
          <w:tcPr>
            <w:tcW w:w="1989" w:type="dxa"/>
          </w:tcPr>
          <w:p w14:paraId="22E58DA6"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01" w:type="dxa"/>
          </w:tcPr>
          <w:p w14:paraId="5B77E069" w14:textId="77777777" w:rsidR="00BF18CF" w:rsidRDefault="00E51347">
            <w:r>
              <w:rPr>
                <w:rFonts w:ascii="Consolas" w:eastAsia="Consolas" w:hAnsi="Consolas" w:cs="Consolas"/>
                <w:sz w:val="22"/>
                <w:szCs w:val="22"/>
                <w:shd w:val="clear" w:color="auto" w:fill="EAEEF3"/>
              </w:rPr>
              <w:t>E33_Objet_linguistique</w:t>
            </w:r>
          </w:p>
        </w:tc>
      </w:tr>
      <w:tr w:rsidR="00BF18CF" w14:paraId="062360A9" w14:textId="77777777" w:rsidTr="00BF18CF">
        <w:tc>
          <w:tcPr>
            <w:tcW w:w="1989" w:type="dxa"/>
          </w:tcPr>
          <w:p w14:paraId="265C5D4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01" w:type="dxa"/>
          </w:tcPr>
          <w:p w14:paraId="407290A2" w14:textId="77777777" w:rsidR="00BF18CF" w:rsidRDefault="00E51347">
            <w:r>
              <w:rPr>
                <w:rFonts w:ascii="Consolas" w:eastAsia="Consolas" w:hAnsi="Consolas" w:cs="Consolas"/>
                <w:sz w:val="22"/>
                <w:szCs w:val="22"/>
                <w:shd w:val="clear" w:color="auto" w:fill="EAEEF3"/>
              </w:rPr>
              <w:t>E56_Langue</w:t>
            </w:r>
          </w:p>
        </w:tc>
      </w:tr>
      <w:tr w:rsidR="00BF18CF" w14:paraId="1100ABAB" w14:textId="77777777" w:rsidTr="00BF18CF">
        <w:tc>
          <w:tcPr>
            <w:tcW w:w="1989" w:type="dxa"/>
          </w:tcPr>
          <w:p w14:paraId="163FE3A7"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01" w:type="dxa"/>
          </w:tcPr>
          <w:p w14:paraId="2C0D303F" w14:textId="77777777" w:rsidR="00BF18CF" w:rsidRDefault="00BF18CF">
            <w:pPr>
              <w:pBdr>
                <w:top w:val="nil"/>
                <w:left w:val="nil"/>
                <w:bottom w:val="nil"/>
                <w:right w:val="nil"/>
                <w:between w:val="nil"/>
              </w:pBdr>
              <w:spacing w:before="36" w:after="36"/>
              <w:rPr>
                <w:color w:val="000000"/>
              </w:rPr>
            </w:pPr>
          </w:p>
        </w:tc>
      </w:tr>
      <w:tr w:rsidR="00BF18CF" w14:paraId="4575387A" w14:textId="77777777" w:rsidTr="00BF18CF">
        <w:tc>
          <w:tcPr>
            <w:tcW w:w="1989" w:type="dxa"/>
          </w:tcPr>
          <w:p w14:paraId="61C67D3C"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01" w:type="dxa"/>
          </w:tcPr>
          <w:p w14:paraId="16BF56E4" w14:textId="77777777" w:rsidR="00BF18CF" w:rsidRDefault="00BF18CF">
            <w:pPr>
              <w:pBdr>
                <w:top w:val="nil"/>
                <w:left w:val="nil"/>
                <w:bottom w:val="nil"/>
                <w:right w:val="nil"/>
                <w:between w:val="nil"/>
              </w:pBdr>
              <w:spacing w:before="36" w:after="36"/>
              <w:rPr>
                <w:color w:val="000000"/>
              </w:rPr>
            </w:pPr>
          </w:p>
        </w:tc>
      </w:tr>
      <w:tr w:rsidR="00BF18CF" w14:paraId="03F3855E" w14:textId="77777777" w:rsidTr="00BF18CF">
        <w:tc>
          <w:tcPr>
            <w:tcW w:w="1989" w:type="dxa"/>
          </w:tcPr>
          <w:p w14:paraId="3D047D6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01" w:type="dxa"/>
          </w:tcPr>
          <w:p w14:paraId="704AE301" w14:textId="77777777" w:rsidR="00BF18CF" w:rsidRDefault="00E51347">
            <w:proofErr w:type="gramStart"/>
            <w:r>
              <w:t>plusieurs</w:t>
            </w:r>
            <w:proofErr w:type="gramEnd"/>
            <w:r>
              <w:t xml:space="preserve"> à plusieurs, nécessaire (1,n:0,n)</w:t>
            </w:r>
          </w:p>
        </w:tc>
      </w:tr>
      <w:tr w:rsidR="00BF18CF" w14:paraId="144D8CE5" w14:textId="77777777" w:rsidTr="00BF18CF">
        <w:tc>
          <w:tcPr>
            <w:tcW w:w="1989" w:type="dxa"/>
          </w:tcPr>
          <w:p w14:paraId="30501F1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01" w:type="dxa"/>
          </w:tcPr>
          <w:p w14:paraId="0CC6B60A" w14:textId="77777777" w:rsidR="00BF18CF" w:rsidRDefault="00E51347">
            <w:r>
              <w:t xml:space="preserve">Cette propriété associe une ou plusieurs instances de </w:t>
            </w:r>
            <w:r>
              <w:rPr>
                <w:rFonts w:ascii="Consolas" w:eastAsia="Consolas" w:hAnsi="Consolas" w:cs="Consolas"/>
                <w:sz w:val="22"/>
                <w:szCs w:val="22"/>
                <w:shd w:val="clear" w:color="auto" w:fill="EAEEF3"/>
              </w:rPr>
              <w:t>E33_Objet_linguistique</w:t>
            </w:r>
            <w:r>
              <w:t xml:space="preserve"> à une instance de </w:t>
            </w:r>
            <w:r>
              <w:rPr>
                <w:rFonts w:ascii="Consolas" w:eastAsia="Consolas" w:hAnsi="Consolas" w:cs="Consolas"/>
                <w:sz w:val="22"/>
                <w:szCs w:val="22"/>
                <w:shd w:val="clear" w:color="auto" w:fill="EAEEF3"/>
              </w:rPr>
              <w:t>E56_Langue</w:t>
            </w:r>
            <w:r>
              <w:t xml:space="preserve"> dans laquelle elles sont au moins partiellement exprimées.</w:t>
            </w:r>
          </w:p>
          <w:p w14:paraId="3E4265F0" w14:textId="77777777" w:rsidR="00BF18CF" w:rsidRDefault="00E51347">
            <w:r>
              <w:t>Les objets linguistiques sont composés dans une ou plusieurs langues humaines. Cette propriété permet la documentation de ces langues.</w:t>
            </w:r>
          </w:p>
        </w:tc>
      </w:tr>
      <w:tr w:rsidR="00BF18CF" w14:paraId="2744AB4A" w14:textId="77777777" w:rsidTr="00BF18CF">
        <w:tc>
          <w:tcPr>
            <w:tcW w:w="1989" w:type="dxa"/>
          </w:tcPr>
          <w:p w14:paraId="7E22E57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01" w:type="dxa"/>
          </w:tcPr>
          <w:p w14:paraId="1BC9C985" w14:textId="77777777" w:rsidR="00BF18CF" w:rsidRDefault="00E51347">
            <w:pPr>
              <w:numPr>
                <w:ilvl w:val="0"/>
                <w:numId w:val="19"/>
              </w:numPr>
            </w:pPr>
            <w:r>
              <w:t>La Déclaration d’indépendance des États-Unis (</w:t>
            </w:r>
            <w:r>
              <w:rPr>
                <w:rFonts w:ascii="Consolas" w:eastAsia="Consolas" w:hAnsi="Consolas" w:cs="Consolas"/>
                <w:sz w:val="22"/>
                <w:szCs w:val="22"/>
                <w:shd w:val="clear" w:color="auto" w:fill="EAEEF3"/>
              </w:rPr>
              <w:t>E33_Objet_linguistique</w:t>
            </w:r>
            <w:r>
              <w:t>) a pour langue (</w:t>
            </w:r>
            <w:r>
              <w:rPr>
                <w:rFonts w:ascii="Consolas" w:eastAsia="Consolas" w:hAnsi="Consolas" w:cs="Consolas"/>
                <w:sz w:val="22"/>
                <w:szCs w:val="22"/>
                <w:shd w:val="clear" w:color="auto" w:fill="EAEEF3"/>
              </w:rPr>
              <w:t>P72_a_pour_langue</w:t>
            </w:r>
            <w:r>
              <w:t>) l’anglais du XVIII</w:t>
            </w:r>
            <w:r>
              <w:rPr>
                <w:vertAlign w:val="superscript"/>
              </w:rPr>
              <w:t>e</w:t>
            </w:r>
            <w:r>
              <w:t xml:space="preserve"> siècle (</w:t>
            </w:r>
            <w:r>
              <w:rPr>
                <w:rFonts w:ascii="Consolas" w:eastAsia="Consolas" w:hAnsi="Consolas" w:cs="Consolas"/>
                <w:sz w:val="22"/>
                <w:szCs w:val="22"/>
                <w:shd w:val="clear" w:color="auto" w:fill="EAEEF3"/>
              </w:rPr>
              <w:t>E56_Langue</w:t>
            </w:r>
            <w:r>
              <w:t>) (Perley, 2017)</w:t>
            </w:r>
          </w:p>
        </w:tc>
      </w:tr>
      <w:tr w:rsidR="00BF18CF" w14:paraId="230EA192" w14:textId="77777777" w:rsidTr="00BF18CF">
        <w:tc>
          <w:tcPr>
            <w:tcW w:w="1989" w:type="dxa"/>
          </w:tcPr>
          <w:p w14:paraId="106C03A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01" w:type="dxa"/>
          </w:tcPr>
          <w:p w14:paraId="1AD532B4" w14:textId="77777777" w:rsidR="00BF18CF" w:rsidRDefault="00E51347">
            <w:r>
              <w:t>P72(</w:t>
            </w:r>
            <w:proofErr w:type="gramStart"/>
            <w:r>
              <w:t>x,y</w:t>
            </w:r>
            <w:proofErr w:type="gramEnd"/>
            <w:r>
              <w:t>) ⇒ E33(x)</w:t>
            </w:r>
          </w:p>
          <w:p w14:paraId="0006E1BC" w14:textId="77777777" w:rsidR="00BF18CF" w:rsidRDefault="00E51347">
            <w:r>
              <w:t>P72(</w:t>
            </w:r>
            <w:proofErr w:type="gramStart"/>
            <w:r>
              <w:t>x,y</w:t>
            </w:r>
            <w:proofErr w:type="gramEnd"/>
            <w:r>
              <w:t>) ⇒ E56(y)</w:t>
            </w:r>
          </w:p>
        </w:tc>
      </w:tr>
      <w:tr w:rsidR="00BF18CF" w14:paraId="444230E8" w14:textId="77777777" w:rsidTr="00BF18CF">
        <w:tc>
          <w:tcPr>
            <w:tcW w:w="1989" w:type="dxa"/>
          </w:tcPr>
          <w:p w14:paraId="0359215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01" w:type="dxa"/>
          </w:tcPr>
          <w:p w14:paraId="0D6058FA" w14:textId="77777777" w:rsidR="00BF18CF" w:rsidRDefault="00BF18CF">
            <w:pPr>
              <w:pBdr>
                <w:top w:val="nil"/>
                <w:left w:val="nil"/>
                <w:bottom w:val="nil"/>
                <w:right w:val="nil"/>
                <w:between w:val="nil"/>
              </w:pBdr>
              <w:spacing w:before="36" w:after="36"/>
              <w:rPr>
                <w:color w:val="000000"/>
              </w:rPr>
            </w:pPr>
          </w:p>
        </w:tc>
      </w:tr>
      <w:tr w:rsidR="00BF18CF" w14:paraId="2E085EA0" w14:textId="77777777" w:rsidTr="00BF18CF">
        <w:tc>
          <w:tcPr>
            <w:tcW w:w="1989" w:type="dxa"/>
          </w:tcPr>
          <w:p w14:paraId="3A5B1610" w14:textId="73A0901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01" w:type="dxa"/>
          </w:tcPr>
          <w:p w14:paraId="536A3F39" w14:textId="77777777" w:rsidR="00BF18CF" w:rsidRDefault="00BF18CF">
            <w:pPr>
              <w:pBdr>
                <w:top w:val="nil"/>
                <w:left w:val="nil"/>
                <w:bottom w:val="nil"/>
                <w:right w:val="nil"/>
                <w:between w:val="nil"/>
              </w:pBdr>
              <w:spacing w:before="36" w:after="36"/>
              <w:rPr>
                <w:color w:val="000000"/>
              </w:rPr>
            </w:pPr>
          </w:p>
        </w:tc>
      </w:tr>
      <w:tr w:rsidR="00BF18CF" w14:paraId="34707FCA" w14:textId="77777777" w:rsidTr="00BF18CF">
        <w:tc>
          <w:tcPr>
            <w:tcW w:w="1989" w:type="dxa"/>
          </w:tcPr>
          <w:p w14:paraId="1222EFB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01" w:type="dxa"/>
          </w:tcPr>
          <w:p w14:paraId="61527C1E" w14:textId="77777777" w:rsidR="00BF18CF" w:rsidRDefault="00BF18CF">
            <w:pPr>
              <w:pBdr>
                <w:top w:val="nil"/>
                <w:left w:val="nil"/>
                <w:bottom w:val="nil"/>
                <w:right w:val="nil"/>
                <w:between w:val="nil"/>
              </w:pBdr>
              <w:spacing w:before="36" w:after="36"/>
              <w:rPr>
                <w:color w:val="000000"/>
              </w:rPr>
            </w:pPr>
          </w:p>
        </w:tc>
      </w:tr>
    </w:tbl>
    <w:p w14:paraId="5AE329A5" w14:textId="77777777" w:rsidR="00BF18CF" w:rsidRDefault="00E51347">
      <w:pPr>
        <w:pStyle w:val="Heading3"/>
      </w:pPr>
      <w:bookmarkStart w:id="389" w:name="bookmark=id.3pp52gy" w:colFirst="0" w:colLast="0"/>
      <w:bookmarkStart w:id="390" w:name="_Toc144360938"/>
      <w:bookmarkEnd w:id="389"/>
      <w:r>
        <w:lastRenderedPageBreak/>
        <w:t>P73 a pour traduction (est traduction de)</w:t>
      </w:r>
      <w:bookmarkEnd w:id="390"/>
    </w:p>
    <w:tbl>
      <w:tblPr>
        <w:tblStyle w:val="afff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7"/>
        <w:gridCol w:w="8803"/>
      </w:tblGrid>
      <w:tr w:rsidR="00BF18CF" w14:paraId="2F8E4C35" w14:textId="77777777" w:rsidTr="00BF18CF">
        <w:tc>
          <w:tcPr>
            <w:tcW w:w="1887" w:type="dxa"/>
          </w:tcPr>
          <w:p w14:paraId="57C180C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3" w:type="dxa"/>
          </w:tcPr>
          <w:p w14:paraId="3576F47E" w14:textId="77777777" w:rsidR="00BF18CF" w:rsidRDefault="00E51347">
            <w:r>
              <w:rPr>
                <w:rFonts w:ascii="Consolas" w:eastAsia="Consolas" w:hAnsi="Consolas" w:cs="Consolas"/>
                <w:sz w:val="22"/>
                <w:szCs w:val="22"/>
                <w:shd w:val="clear" w:color="auto" w:fill="EAEEF3"/>
              </w:rPr>
              <w:t>E33_Objet_linguistique</w:t>
            </w:r>
          </w:p>
        </w:tc>
      </w:tr>
      <w:tr w:rsidR="00BF18CF" w14:paraId="52D99D26" w14:textId="77777777" w:rsidTr="00BF18CF">
        <w:tc>
          <w:tcPr>
            <w:tcW w:w="1887" w:type="dxa"/>
          </w:tcPr>
          <w:p w14:paraId="010E5D3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3" w:type="dxa"/>
          </w:tcPr>
          <w:p w14:paraId="1F1A6677" w14:textId="77777777" w:rsidR="00BF18CF" w:rsidRDefault="00E51347">
            <w:r>
              <w:rPr>
                <w:rFonts w:ascii="Consolas" w:eastAsia="Consolas" w:hAnsi="Consolas" w:cs="Consolas"/>
                <w:sz w:val="22"/>
                <w:szCs w:val="22"/>
                <w:shd w:val="clear" w:color="auto" w:fill="EAEEF3"/>
              </w:rPr>
              <w:t>E33_Objet_linguistique</w:t>
            </w:r>
          </w:p>
        </w:tc>
      </w:tr>
      <w:tr w:rsidR="00BF18CF" w14:paraId="603394DB" w14:textId="77777777" w:rsidTr="00BF18CF">
        <w:tc>
          <w:tcPr>
            <w:tcW w:w="1887" w:type="dxa"/>
          </w:tcPr>
          <w:p w14:paraId="016EAFC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3" w:type="dxa"/>
          </w:tcPr>
          <w:p w14:paraId="0E5B50B3" w14:textId="77777777" w:rsidR="00BF18CF" w:rsidRDefault="00E51347">
            <w:r>
              <w:rPr>
                <w:rFonts w:ascii="Consolas" w:eastAsia="Consolas" w:hAnsi="Consolas" w:cs="Consolas"/>
                <w:sz w:val="22"/>
                <w:szCs w:val="22"/>
                <w:shd w:val="clear" w:color="auto" w:fill="EAEEF3"/>
              </w:rPr>
              <w:t>E70_</w:t>
            </w:r>
            <w:proofErr w:type="gramStart"/>
            <w:r>
              <w:rPr>
                <w:rFonts w:ascii="Consolas" w:eastAsia="Consolas" w:hAnsi="Consolas" w:cs="Consolas"/>
                <w:sz w:val="22"/>
                <w:szCs w:val="22"/>
                <w:shd w:val="clear" w:color="auto" w:fill="EAEEF3"/>
              </w:rPr>
              <w:t>Chose</w:t>
            </w:r>
            <w:r>
              <w:t xml:space="preserve"> .</w:t>
            </w:r>
            <w:proofErr w:type="gramEnd"/>
            <w:r>
              <w:t xml:space="preserve"> </w:t>
            </w:r>
            <w:r>
              <w:rPr>
                <w:rFonts w:ascii="Consolas" w:eastAsia="Consolas" w:hAnsi="Consolas" w:cs="Consolas"/>
                <w:sz w:val="22"/>
                <w:szCs w:val="22"/>
                <w:shd w:val="clear" w:color="auto" w:fill="EAEEF3"/>
              </w:rPr>
              <w:t>P130i_a_les_caractéristiques_aussi_présentes_sur</w:t>
            </w:r>
            <w:r>
              <w:t xml:space="preserve"> : </w:t>
            </w:r>
            <w:r>
              <w:rPr>
                <w:rFonts w:ascii="Consolas" w:eastAsia="Consolas" w:hAnsi="Consolas" w:cs="Consolas"/>
                <w:sz w:val="22"/>
                <w:szCs w:val="22"/>
                <w:shd w:val="clear" w:color="auto" w:fill="EAEEF3"/>
              </w:rPr>
              <w:t>E70_Chose</w:t>
            </w:r>
          </w:p>
        </w:tc>
      </w:tr>
      <w:tr w:rsidR="00BF18CF" w14:paraId="73BF1DF0" w14:textId="77777777" w:rsidTr="00BF18CF">
        <w:tc>
          <w:tcPr>
            <w:tcW w:w="1887" w:type="dxa"/>
          </w:tcPr>
          <w:p w14:paraId="35E272E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3" w:type="dxa"/>
          </w:tcPr>
          <w:p w14:paraId="4B5E17AD" w14:textId="77777777" w:rsidR="00BF18CF" w:rsidRDefault="00BF18CF">
            <w:pPr>
              <w:pBdr>
                <w:top w:val="nil"/>
                <w:left w:val="nil"/>
                <w:bottom w:val="nil"/>
                <w:right w:val="nil"/>
                <w:between w:val="nil"/>
              </w:pBdr>
              <w:spacing w:before="36" w:after="36"/>
              <w:rPr>
                <w:color w:val="000000"/>
              </w:rPr>
            </w:pPr>
          </w:p>
        </w:tc>
      </w:tr>
      <w:tr w:rsidR="00BF18CF" w14:paraId="4A62B9E6" w14:textId="77777777" w:rsidTr="00BF18CF">
        <w:tc>
          <w:tcPr>
            <w:tcW w:w="1887" w:type="dxa"/>
          </w:tcPr>
          <w:p w14:paraId="05EC7514"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3" w:type="dxa"/>
          </w:tcPr>
          <w:p w14:paraId="5B544187" w14:textId="77777777" w:rsidR="00BF18CF" w:rsidRDefault="00E51347">
            <w:proofErr w:type="gramStart"/>
            <w:r>
              <w:t>plusieurs</w:t>
            </w:r>
            <w:proofErr w:type="gramEnd"/>
            <w:r>
              <w:t xml:space="preserve"> à plusieurs (0,n:0,n)</w:t>
            </w:r>
          </w:p>
        </w:tc>
      </w:tr>
      <w:tr w:rsidR="00BF18CF" w14:paraId="41B6925F" w14:textId="77777777" w:rsidTr="00BF18CF">
        <w:tc>
          <w:tcPr>
            <w:tcW w:w="1887" w:type="dxa"/>
          </w:tcPr>
          <w:p w14:paraId="48828EE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3" w:type="dxa"/>
          </w:tcPr>
          <w:p w14:paraId="53B2539F" w14:textId="77777777" w:rsidR="00BF18CF" w:rsidRDefault="00E51347">
            <w:r>
              <w:t xml:space="preserve">Cette propriété lie une instance de </w:t>
            </w:r>
            <w:r>
              <w:rPr>
                <w:rFonts w:ascii="Consolas" w:eastAsia="Consolas" w:hAnsi="Consolas" w:cs="Consolas"/>
                <w:sz w:val="22"/>
                <w:szCs w:val="22"/>
                <w:shd w:val="clear" w:color="auto" w:fill="EAEEF3"/>
              </w:rPr>
              <w:t>E33_Objet_linguistique</w:t>
            </w:r>
            <w:r>
              <w:t xml:space="preserve"> (A) à une autre instance de </w:t>
            </w:r>
            <w:r>
              <w:rPr>
                <w:rFonts w:ascii="Consolas" w:eastAsia="Consolas" w:hAnsi="Consolas" w:cs="Consolas"/>
                <w:sz w:val="22"/>
                <w:szCs w:val="22"/>
                <w:shd w:val="clear" w:color="auto" w:fill="EAEEF3"/>
              </w:rPr>
              <w:t>E33_Objet_linguistique</w:t>
            </w:r>
            <w:r>
              <w:t xml:space="preserve"> (B) qui est la traduction de A.</w:t>
            </w:r>
          </w:p>
          <w:p w14:paraId="7B3ECAB5" w14:textId="77777777" w:rsidR="00BF18CF" w:rsidRDefault="00E51347">
            <w:r>
              <w:t xml:space="preserve">Quand une instance de </w:t>
            </w:r>
            <w:r>
              <w:rPr>
                <w:rFonts w:ascii="Consolas" w:eastAsia="Consolas" w:hAnsi="Consolas" w:cs="Consolas"/>
                <w:sz w:val="22"/>
                <w:szCs w:val="22"/>
                <w:shd w:val="clear" w:color="auto" w:fill="EAEEF3"/>
              </w:rPr>
              <w:t>E33_Objet_linguistique</w:t>
            </w:r>
            <w:r>
              <w:t xml:space="preserve"> est traduite dans une nouvelle langue, une nouvelle instance de </w:t>
            </w:r>
            <w:r>
              <w:rPr>
                <w:rFonts w:ascii="Consolas" w:eastAsia="Consolas" w:hAnsi="Consolas" w:cs="Consolas"/>
                <w:sz w:val="22"/>
                <w:szCs w:val="22"/>
                <w:shd w:val="clear" w:color="auto" w:fill="EAEEF3"/>
              </w:rPr>
              <w:t>E33_Objet_linguistique</w:t>
            </w:r>
            <w:r>
              <w:t xml:space="preserve"> est créée, bien qu’il s’agisse de deux objets linguistiques conceptuellement semblables.</w:t>
            </w:r>
          </w:p>
          <w:p w14:paraId="32F37AB0" w14:textId="77777777" w:rsidR="00BF18CF" w:rsidRDefault="00E51347">
            <w:r>
              <w:t>Cette propriété est asymétrique.</w:t>
            </w:r>
          </w:p>
        </w:tc>
      </w:tr>
      <w:tr w:rsidR="00BF18CF" w14:paraId="67320054" w14:textId="77777777" w:rsidTr="00BF18CF">
        <w:tc>
          <w:tcPr>
            <w:tcW w:w="1887" w:type="dxa"/>
          </w:tcPr>
          <w:p w14:paraId="141A179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3" w:type="dxa"/>
          </w:tcPr>
          <w:p w14:paraId="48079D80" w14:textId="77777777" w:rsidR="00BF18CF" w:rsidRDefault="00E51347">
            <w:pPr>
              <w:numPr>
                <w:ilvl w:val="0"/>
                <w:numId w:val="19"/>
              </w:numPr>
            </w:pPr>
            <w:r>
              <w:rPr>
                <w:i/>
              </w:rPr>
              <w:t>Les Baigneurs</w:t>
            </w:r>
            <w:r>
              <w:t xml:space="preserve"> (</w:t>
            </w:r>
            <w:r>
              <w:rPr>
                <w:rFonts w:ascii="Consolas" w:eastAsia="Consolas" w:hAnsi="Consolas" w:cs="Consolas"/>
                <w:sz w:val="22"/>
                <w:szCs w:val="22"/>
                <w:shd w:val="clear" w:color="auto" w:fill="EAEEF3"/>
              </w:rPr>
              <w:t>E33_Objet_linguistique</w:t>
            </w:r>
            <w:r>
              <w:t>) a pour traduction (</w:t>
            </w:r>
            <w:r>
              <w:rPr>
                <w:rFonts w:ascii="Consolas" w:eastAsia="Consolas" w:hAnsi="Consolas" w:cs="Consolas"/>
                <w:sz w:val="22"/>
                <w:szCs w:val="22"/>
                <w:shd w:val="clear" w:color="auto" w:fill="EAEEF3"/>
              </w:rPr>
              <w:t>P73_a_pour_traduction</w:t>
            </w:r>
            <w:r>
              <w:t xml:space="preserve">) </w:t>
            </w:r>
            <w:r>
              <w:rPr>
                <w:i/>
              </w:rPr>
              <w:t>The Bathers</w:t>
            </w:r>
            <w:r>
              <w:t xml:space="preserve"> (</w:t>
            </w:r>
            <w:r>
              <w:rPr>
                <w:rFonts w:ascii="Consolas" w:eastAsia="Consolas" w:hAnsi="Consolas" w:cs="Consolas"/>
                <w:sz w:val="22"/>
                <w:szCs w:val="22"/>
                <w:shd w:val="clear" w:color="auto" w:fill="EAEEF3"/>
              </w:rPr>
              <w:t>E33_Objet_linguistique</w:t>
            </w:r>
            <w:r>
              <w:t>) (Surenne, 1840)</w:t>
            </w:r>
          </w:p>
        </w:tc>
      </w:tr>
      <w:tr w:rsidR="00BF18CF" w14:paraId="209A06AF" w14:textId="77777777" w:rsidTr="00BF18CF">
        <w:tc>
          <w:tcPr>
            <w:tcW w:w="1887" w:type="dxa"/>
          </w:tcPr>
          <w:p w14:paraId="044385A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3" w:type="dxa"/>
          </w:tcPr>
          <w:p w14:paraId="2D6A8001" w14:textId="77777777" w:rsidR="00BF18CF" w:rsidRDefault="00E51347">
            <w:r>
              <w:t>P73(</w:t>
            </w:r>
            <w:proofErr w:type="gramStart"/>
            <w:r>
              <w:t>x,y</w:t>
            </w:r>
            <w:proofErr w:type="gramEnd"/>
            <w:r>
              <w:t>) ⇒ E33(x)</w:t>
            </w:r>
          </w:p>
          <w:p w14:paraId="69BD6C45" w14:textId="77777777" w:rsidR="00BF18CF" w:rsidRDefault="00E51347">
            <w:r>
              <w:t>P73(</w:t>
            </w:r>
            <w:proofErr w:type="gramStart"/>
            <w:r>
              <w:t>x,y</w:t>
            </w:r>
            <w:proofErr w:type="gramEnd"/>
            <w:r>
              <w:t>) ⇒ E33(y)</w:t>
            </w:r>
          </w:p>
          <w:p w14:paraId="22EF7EF7" w14:textId="77777777" w:rsidR="00BF18CF" w:rsidRDefault="00E51347">
            <w:r>
              <w:t>P73(</w:t>
            </w:r>
            <w:proofErr w:type="gramStart"/>
            <w:r>
              <w:t>x,y</w:t>
            </w:r>
            <w:proofErr w:type="gramEnd"/>
            <w:r>
              <w:t>) ⇒ P130i(x,y)</w:t>
            </w:r>
          </w:p>
          <w:p w14:paraId="58E692C9" w14:textId="77777777" w:rsidR="00BF18CF" w:rsidRDefault="00E51347">
            <w:r>
              <w:t>P73(</w:t>
            </w:r>
            <w:proofErr w:type="gramStart"/>
            <w:r>
              <w:t>x,y</w:t>
            </w:r>
            <w:proofErr w:type="gramEnd"/>
            <w:r>
              <w:t>) ⇒ ¬P73(y,x)</w:t>
            </w:r>
          </w:p>
        </w:tc>
      </w:tr>
      <w:tr w:rsidR="00BF18CF" w14:paraId="1EF3243E" w14:textId="77777777" w:rsidTr="00BF18CF">
        <w:tc>
          <w:tcPr>
            <w:tcW w:w="1887" w:type="dxa"/>
          </w:tcPr>
          <w:p w14:paraId="4FFF1CF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3" w:type="dxa"/>
          </w:tcPr>
          <w:p w14:paraId="09085009" w14:textId="77777777" w:rsidR="00BF18CF" w:rsidRDefault="00BF18CF">
            <w:pPr>
              <w:pBdr>
                <w:top w:val="nil"/>
                <w:left w:val="nil"/>
                <w:bottom w:val="nil"/>
                <w:right w:val="nil"/>
                <w:between w:val="nil"/>
              </w:pBdr>
              <w:spacing w:before="36" w:after="36"/>
              <w:rPr>
                <w:color w:val="000000"/>
              </w:rPr>
            </w:pPr>
          </w:p>
        </w:tc>
      </w:tr>
      <w:tr w:rsidR="00BF18CF" w14:paraId="4E9E57AE" w14:textId="77777777" w:rsidTr="00BF18CF">
        <w:tc>
          <w:tcPr>
            <w:tcW w:w="1887" w:type="dxa"/>
          </w:tcPr>
          <w:p w14:paraId="70C21020" w14:textId="4FD465A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3" w:type="dxa"/>
          </w:tcPr>
          <w:p w14:paraId="5FF17EE7" w14:textId="77777777" w:rsidR="00BF18CF" w:rsidRDefault="00BF18CF">
            <w:pPr>
              <w:pBdr>
                <w:top w:val="nil"/>
                <w:left w:val="nil"/>
                <w:bottom w:val="nil"/>
                <w:right w:val="nil"/>
                <w:between w:val="nil"/>
              </w:pBdr>
              <w:spacing w:before="36" w:after="36"/>
              <w:rPr>
                <w:color w:val="000000"/>
              </w:rPr>
            </w:pPr>
          </w:p>
        </w:tc>
      </w:tr>
      <w:tr w:rsidR="00BF18CF" w14:paraId="738E668B" w14:textId="77777777" w:rsidTr="00BF18CF">
        <w:tc>
          <w:tcPr>
            <w:tcW w:w="1887" w:type="dxa"/>
          </w:tcPr>
          <w:p w14:paraId="2B96A06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3" w:type="dxa"/>
          </w:tcPr>
          <w:p w14:paraId="4C94625D" w14:textId="77777777" w:rsidR="00BF18CF" w:rsidRDefault="00BF18CF">
            <w:pPr>
              <w:pBdr>
                <w:top w:val="nil"/>
                <w:left w:val="nil"/>
                <w:bottom w:val="nil"/>
                <w:right w:val="nil"/>
                <w:between w:val="nil"/>
              </w:pBdr>
              <w:spacing w:before="36" w:after="36"/>
              <w:rPr>
                <w:color w:val="000000"/>
              </w:rPr>
            </w:pPr>
          </w:p>
        </w:tc>
      </w:tr>
    </w:tbl>
    <w:p w14:paraId="3900DDC1" w14:textId="77777777" w:rsidR="00BF18CF" w:rsidRDefault="00E51347">
      <w:pPr>
        <w:pStyle w:val="Heading3"/>
      </w:pPr>
      <w:bookmarkStart w:id="391" w:name="bookmark=id.24ufcor" w:colFirst="0" w:colLast="0"/>
      <w:bookmarkStart w:id="392" w:name="_Toc144360939"/>
      <w:bookmarkEnd w:id="391"/>
      <w:r>
        <w:t>P74 a pour résidence actuelle ou antérieure (est la résidence actuelle ou antérieure de)</w:t>
      </w:r>
      <w:bookmarkEnd w:id="392"/>
    </w:p>
    <w:tbl>
      <w:tblPr>
        <w:tblStyle w:val="affffff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29"/>
        <w:gridCol w:w="8761"/>
      </w:tblGrid>
      <w:tr w:rsidR="00BF18CF" w14:paraId="76703D9A" w14:textId="77777777" w:rsidTr="00BF18CF">
        <w:tc>
          <w:tcPr>
            <w:tcW w:w="1929" w:type="dxa"/>
          </w:tcPr>
          <w:p w14:paraId="7148074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61" w:type="dxa"/>
          </w:tcPr>
          <w:p w14:paraId="734D4580" w14:textId="77777777" w:rsidR="00BF18CF" w:rsidRDefault="00E51347">
            <w:r>
              <w:rPr>
                <w:rFonts w:ascii="Consolas" w:eastAsia="Consolas" w:hAnsi="Consolas" w:cs="Consolas"/>
                <w:sz w:val="22"/>
                <w:szCs w:val="22"/>
                <w:shd w:val="clear" w:color="auto" w:fill="EAEEF3"/>
              </w:rPr>
              <w:t>E39_Actant</w:t>
            </w:r>
          </w:p>
        </w:tc>
      </w:tr>
      <w:tr w:rsidR="00BF18CF" w14:paraId="5B6F9E33" w14:textId="77777777" w:rsidTr="00BF18CF">
        <w:tc>
          <w:tcPr>
            <w:tcW w:w="1929" w:type="dxa"/>
          </w:tcPr>
          <w:p w14:paraId="4AF831C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61" w:type="dxa"/>
          </w:tcPr>
          <w:p w14:paraId="2E99C036" w14:textId="77777777" w:rsidR="00BF18CF" w:rsidRDefault="00E51347">
            <w:r>
              <w:rPr>
                <w:rFonts w:ascii="Consolas" w:eastAsia="Consolas" w:hAnsi="Consolas" w:cs="Consolas"/>
                <w:sz w:val="22"/>
                <w:szCs w:val="22"/>
                <w:shd w:val="clear" w:color="auto" w:fill="EAEEF3"/>
              </w:rPr>
              <w:t>E53_Lieu</w:t>
            </w:r>
          </w:p>
        </w:tc>
      </w:tr>
      <w:tr w:rsidR="00BF18CF" w14:paraId="51D196C6" w14:textId="77777777" w:rsidTr="00BF18CF">
        <w:tc>
          <w:tcPr>
            <w:tcW w:w="1929" w:type="dxa"/>
          </w:tcPr>
          <w:p w14:paraId="6414E869"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61" w:type="dxa"/>
          </w:tcPr>
          <w:p w14:paraId="1124F4D7" w14:textId="77777777" w:rsidR="00BF18CF" w:rsidRDefault="00BF18CF">
            <w:pPr>
              <w:pBdr>
                <w:top w:val="nil"/>
                <w:left w:val="nil"/>
                <w:bottom w:val="nil"/>
                <w:right w:val="nil"/>
                <w:between w:val="nil"/>
              </w:pBdr>
              <w:spacing w:before="36" w:after="36"/>
              <w:rPr>
                <w:color w:val="000000"/>
              </w:rPr>
            </w:pPr>
          </w:p>
        </w:tc>
      </w:tr>
      <w:tr w:rsidR="00BF18CF" w14:paraId="37DE850D" w14:textId="77777777" w:rsidTr="00BF18CF">
        <w:tc>
          <w:tcPr>
            <w:tcW w:w="1929" w:type="dxa"/>
          </w:tcPr>
          <w:p w14:paraId="70920C6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61" w:type="dxa"/>
          </w:tcPr>
          <w:p w14:paraId="2DF1FF5E" w14:textId="77777777" w:rsidR="00BF18CF" w:rsidRDefault="00BF18CF">
            <w:pPr>
              <w:pBdr>
                <w:top w:val="nil"/>
                <w:left w:val="nil"/>
                <w:bottom w:val="nil"/>
                <w:right w:val="nil"/>
                <w:between w:val="nil"/>
              </w:pBdr>
              <w:spacing w:before="36" w:after="36"/>
              <w:rPr>
                <w:color w:val="000000"/>
              </w:rPr>
            </w:pPr>
          </w:p>
        </w:tc>
      </w:tr>
      <w:tr w:rsidR="00BF18CF" w14:paraId="6D707CE6" w14:textId="77777777" w:rsidTr="00BF18CF">
        <w:tc>
          <w:tcPr>
            <w:tcW w:w="1929" w:type="dxa"/>
          </w:tcPr>
          <w:p w14:paraId="6EA31DA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61" w:type="dxa"/>
          </w:tcPr>
          <w:p w14:paraId="02B4CEDC" w14:textId="77777777" w:rsidR="00BF18CF" w:rsidRDefault="00E51347">
            <w:proofErr w:type="gramStart"/>
            <w:r>
              <w:t>plusieurs</w:t>
            </w:r>
            <w:proofErr w:type="gramEnd"/>
            <w:r>
              <w:t xml:space="preserve"> à plusieurs (0,n:0,n)</w:t>
            </w:r>
          </w:p>
        </w:tc>
      </w:tr>
      <w:tr w:rsidR="00BF18CF" w14:paraId="4C02E928" w14:textId="77777777" w:rsidTr="00BF18CF">
        <w:tc>
          <w:tcPr>
            <w:tcW w:w="1929" w:type="dxa"/>
          </w:tcPr>
          <w:p w14:paraId="0F747F7E"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761" w:type="dxa"/>
          </w:tcPr>
          <w:p w14:paraId="034BB99A" w14:textId="77777777" w:rsidR="00BF18CF" w:rsidRDefault="00E51347">
            <w:r>
              <w:t xml:space="preserve">Cette propriété décrit le lieu de résidence actuel ou antérieur (par une instance de </w:t>
            </w:r>
            <w:r>
              <w:rPr>
                <w:rFonts w:ascii="Consolas" w:eastAsia="Consolas" w:hAnsi="Consolas" w:cs="Consolas"/>
                <w:sz w:val="22"/>
                <w:szCs w:val="22"/>
                <w:shd w:val="clear" w:color="auto" w:fill="EAEEF3"/>
              </w:rPr>
              <w:t>E53_Lieu</w:t>
            </w:r>
            <w:r>
              <w:t xml:space="preserve">) d'une instance de </w:t>
            </w:r>
            <w:r>
              <w:rPr>
                <w:rFonts w:ascii="Consolas" w:eastAsia="Consolas" w:hAnsi="Consolas" w:cs="Consolas"/>
                <w:sz w:val="22"/>
                <w:szCs w:val="22"/>
                <w:shd w:val="clear" w:color="auto" w:fill="EAEEF3"/>
              </w:rPr>
              <w:t>E39_Actant</w:t>
            </w:r>
            <w:r>
              <w:t>.</w:t>
            </w:r>
          </w:p>
          <w:p w14:paraId="0B1BFE99" w14:textId="77777777" w:rsidR="00BF18CF" w:rsidRDefault="00E51347">
            <w:r>
              <w:t>La résidence peut être le lieu où réside l'actant ou une adresse légale lui étant associée, et ce, peu importe sa nature.</w:t>
            </w:r>
          </w:p>
        </w:tc>
      </w:tr>
      <w:tr w:rsidR="00BF18CF" w14:paraId="491C57D1" w14:textId="77777777" w:rsidTr="00BF18CF">
        <w:tc>
          <w:tcPr>
            <w:tcW w:w="1929" w:type="dxa"/>
          </w:tcPr>
          <w:p w14:paraId="26B78F7F"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61" w:type="dxa"/>
          </w:tcPr>
          <w:p w14:paraId="6B08BBDF" w14:textId="77777777" w:rsidR="00BF18CF" w:rsidRDefault="00E51347">
            <w:r>
              <w:t>La reine Elizabeth II (</w:t>
            </w:r>
            <w:r>
              <w:rPr>
                <w:rFonts w:ascii="Consolas" w:eastAsia="Consolas" w:hAnsi="Consolas" w:cs="Consolas"/>
                <w:sz w:val="22"/>
                <w:szCs w:val="22"/>
                <w:shd w:val="clear" w:color="auto" w:fill="EAEEF3"/>
              </w:rPr>
              <w:t>E39_Actant</w:t>
            </w:r>
            <w:r>
              <w:t>) a pour résidence actuelle ou antérieure (</w:t>
            </w:r>
            <w:r>
              <w:rPr>
                <w:rFonts w:ascii="Consolas" w:eastAsia="Consolas" w:hAnsi="Consolas" w:cs="Consolas"/>
                <w:sz w:val="22"/>
                <w:szCs w:val="22"/>
                <w:shd w:val="clear" w:color="auto" w:fill="EAEEF3"/>
              </w:rPr>
              <w:t>P74_a_pour_résidence_actuelle_ou_antérieure</w:t>
            </w:r>
            <w:r>
              <w:t>) le palais de Buckingham (</w:t>
            </w:r>
            <w:r>
              <w:rPr>
                <w:rFonts w:ascii="Consolas" w:eastAsia="Consolas" w:hAnsi="Consolas" w:cs="Consolas"/>
                <w:sz w:val="22"/>
                <w:szCs w:val="22"/>
                <w:shd w:val="clear" w:color="auto" w:fill="EAEEF3"/>
              </w:rPr>
              <w:t>E53_Lieu</w:t>
            </w:r>
            <w:r>
              <w:t>) (Robinson, 2000)</w:t>
            </w:r>
          </w:p>
        </w:tc>
      </w:tr>
      <w:tr w:rsidR="00BF18CF" w14:paraId="72577AFE" w14:textId="77777777" w:rsidTr="00BF18CF">
        <w:tc>
          <w:tcPr>
            <w:tcW w:w="1929" w:type="dxa"/>
          </w:tcPr>
          <w:p w14:paraId="5F61C5D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61" w:type="dxa"/>
          </w:tcPr>
          <w:p w14:paraId="44F0A06D" w14:textId="77777777" w:rsidR="00BF18CF" w:rsidRDefault="00E51347">
            <w:r>
              <w:t>P74(</w:t>
            </w:r>
            <w:proofErr w:type="gramStart"/>
            <w:r>
              <w:t>x,y</w:t>
            </w:r>
            <w:proofErr w:type="gramEnd"/>
            <w:r>
              <w:t>) ⇒ E39(x)</w:t>
            </w:r>
          </w:p>
          <w:p w14:paraId="5E475A13" w14:textId="77777777" w:rsidR="00BF18CF" w:rsidRDefault="00E51347">
            <w:r>
              <w:t>P74(</w:t>
            </w:r>
            <w:proofErr w:type="gramStart"/>
            <w:r>
              <w:t>x,y</w:t>
            </w:r>
            <w:proofErr w:type="gramEnd"/>
            <w:r>
              <w:t>) ⇒ E53(y)</w:t>
            </w:r>
          </w:p>
        </w:tc>
      </w:tr>
      <w:tr w:rsidR="00BF18CF" w14:paraId="1CBC8F68" w14:textId="77777777" w:rsidTr="00BF18CF">
        <w:tc>
          <w:tcPr>
            <w:tcW w:w="1929" w:type="dxa"/>
          </w:tcPr>
          <w:p w14:paraId="2116584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61" w:type="dxa"/>
          </w:tcPr>
          <w:p w14:paraId="7145C5A7" w14:textId="77777777" w:rsidR="00BF18CF" w:rsidRDefault="00BF18CF">
            <w:pPr>
              <w:pBdr>
                <w:top w:val="nil"/>
                <w:left w:val="nil"/>
                <w:bottom w:val="nil"/>
                <w:right w:val="nil"/>
                <w:between w:val="nil"/>
              </w:pBdr>
              <w:spacing w:before="36" w:after="36"/>
              <w:rPr>
                <w:color w:val="000000"/>
              </w:rPr>
            </w:pPr>
          </w:p>
        </w:tc>
      </w:tr>
      <w:tr w:rsidR="00BF18CF" w14:paraId="452CD7D3" w14:textId="77777777" w:rsidTr="00BF18CF">
        <w:tc>
          <w:tcPr>
            <w:tcW w:w="1929" w:type="dxa"/>
          </w:tcPr>
          <w:p w14:paraId="08D64673" w14:textId="0530F426"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61" w:type="dxa"/>
          </w:tcPr>
          <w:p w14:paraId="1F597010" w14:textId="77777777" w:rsidR="00BF18CF" w:rsidRDefault="00BF18CF">
            <w:pPr>
              <w:pBdr>
                <w:top w:val="nil"/>
                <w:left w:val="nil"/>
                <w:bottom w:val="nil"/>
                <w:right w:val="nil"/>
                <w:between w:val="nil"/>
              </w:pBdr>
              <w:spacing w:before="36" w:after="36"/>
              <w:rPr>
                <w:color w:val="000000"/>
              </w:rPr>
            </w:pPr>
          </w:p>
        </w:tc>
      </w:tr>
      <w:tr w:rsidR="00BF18CF" w14:paraId="0D21C163" w14:textId="77777777" w:rsidTr="00BF18CF">
        <w:tc>
          <w:tcPr>
            <w:tcW w:w="1929" w:type="dxa"/>
          </w:tcPr>
          <w:p w14:paraId="6460947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61" w:type="dxa"/>
          </w:tcPr>
          <w:p w14:paraId="682C78C3" w14:textId="77777777" w:rsidR="00BF18CF" w:rsidRDefault="00BF18CF">
            <w:pPr>
              <w:pBdr>
                <w:top w:val="nil"/>
                <w:left w:val="nil"/>
                <w:bottom w:val="nil"/>
                <w:right w:val="nil"/>
                <w:between w:val="nil"/>
              </w:pBdr>
              <w:spacing w:before="36" w:after="36"/>
              <w:rPr>
                <w:color w:val="000000"/>
              </w:rPr>
            </w:pPr>
          </w:p>
        </w:tc>
      </w:tr>
    </w:tbl>
    <w:p w14:paraId="63049FB2" w14:textId="77777777" w:rsidR="00BF18CF" w:rsidRDefault="00E51347">
      <w:pPr>
        <w:pStyle w:val="Heading3"/>
      </w:pPr>
      <w:bookmarkStart w:id="393" w:name="bookmark=id.jzpmwk" w:colFirst="0" w:colLast="0"/>
      <w:bookmarkStart w:id="394" w:name="_Toc144360940"/>
      <w:bookmarkEnd w:id="393"/>
      <w:r>
        <w:t>P75 possède (est possédé par)</w:t>
      </w:r>
      <w:bookmarkEnd w:id="394"/>
    </w:p>
    <w:tbl>
      <w:tblPr>
        <w:tblStyle w:val="affff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399B918F" w14:textId="77777777" w:rsidTr="00BF18CF">
        <w:tc>
          <w:tcPr>
            <w:tcW w:w="2097" w:type="dxa"/>
          </w:tcPr>
          <w:p w14:paraId="436F5A5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21EA6E70" w14:textId="77777777" w:rsidR="00BF18CF" w:rsidRDefault="00E51347">
            <w:r>
              <w:rPr>
                <w:rFonts w:ascii="Consolas" w:eastAsia="Consolas" w:hAnsi="Consolas" w:cs="Consolas"/>
                <w:sz w:val="22"/>
                <w:szCs w:val="22"/>
                <w:shd w:val="clear" w:color="auto" w:fill="EAEEF3"/>
              </w:rPr>
              <w:t>E39_Actant</w:t>
            </w:r>
          </w:p>
        </w:tc>
      </w:tr>
      <w:tr w:rsidR="00BF18CF" w14:paraId="5DEC8B61" w14:textId="77777777" w:rsidTr="00BF18CF">
        <w:tc>
          <w:tcPr>
            <w:tcW w:w="2097" w:type="dxa"/>
          </w:tcPr>
          <w:p w14:paraId="202BF0B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50BF820A" w14:textId="77777777" w:rsidR="00BF18CF" w:rsidRDefault="00E51347">
            <w:r>
              <w:rPr>
                <w:rFonts w:ascii="Consolas" w:eastAsia="Consolas" w:hAnsi="Consolas" w:cs="Consolas"/>
                <w:sz w:val="22"/>
                <w:szCs w:val="22"/>
                <w:shd w:val="clear" w:color="auto" w:fill="EAEEF3"/>
              </w:rPr>
              <w:t>E30_Droit</w:t>
            </w:r>
          </w:p>
        </w:tc>
      </w:tr>
      <w:tr w:rsidR="00BF18CF" w14:paraId="538BCF10" w14:textId="77777777" w:rsidTr="00BF18CF">
        <w:tc>
          <w:tcPr>
            <w:tcW w:w="2097" w:type="dxa"/>
          </w:tcPr>
          <w:p w14:paraId="56ABE89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1C06FFB0" w14:textId="77777777" w:rsidR="00BF18CF" w:rsidRDefault="00BF18CF">
            <w:pPr>
              <w:pBdr>
                <w:top w:val="nil"/>
                <w:left w:val="nil"/>
                <w:bottom w:val="nil"/>
                <w:right w:val="nil"/>
                <w:between w:val="nil"/>
              </w:pBdr>
              <w:spacing w:before="36" w:after="36"/>
              <w:rPr>
                <w:color w:val="000000"/>
              </w:rPr>
            </w:pPr>
          </w:p>
        </w:tc>
      </w:tr>
      <w:tr w:rsidR="00BF18CF" w14:paraId="2CDBAE62" w14:textId="77777777" w:rsidTr="00BF18CF">
        <w:tc>
          <w:tcPr>
            <w:tcW w:w="2097" w:type="dxa"/>
          </w:tcPr>
          <w:p w14:paraId="359387A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77C71E20" w14:textId="77777777" w:rsidR="00BF18CF" w:rsidRDefault="00BF18CF">
            <w:pPr>
              <w:pBdr>
                <w:top w:val="nil"/>
                <w:left w:val="nil"/>
                <w:bottom w:val="nil"/>
                <w:right w:val="nil"/>
                <w:between w:val="nil"/>
              </w:pBdr>
              <w:spacing w:before="36" w:after="36"/>
              <w:rPr>
                <w:color w:val="000000"/>
              </w:rPr>
            </w:pPr>
          </w:p>
        </w:tc>
      </w:tr>
      <w:tr w:rsidR="00BF18CF" w14:paraId="31B1554F" w14:textId="77777777" w:rsidTr="00BF18CF">
        <w:tc>
          <w:tcPr>
            <w:tcW w:w="2097" w:type="dxa"/>
          </w:tcPr>
          <w:p w14:paraId="02BDA9B7"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4124893A" w14:textId="77777777" w:rsidR="00BF18CF" w:rsidRDefault="00E51347">
            <w:proofErr w:type="gramStart"/>
            <w:r>
              <w:t>plusieurs</w:t>
            </w:r>
            <w:proofErr w:type="gramEnd"/>
            <w:r>
              <w:t xml:space="preserve"> à plusieurs (0,n:0,n)</w:t>
            </w:r>
          </w:p>
        </w:tc>
      </w:tr>
      <w:tr w:rsidR="00BF18CF" w14:paraId="4A045E2F" w14:textId="77777777" w:rsidTr="00BF18CF">
        <w:tc>
          <w:tcPr>
            <w:tcW w:w="2097" w:type="dxa"/>
          </w:tcPr>
          <w:p w14:paraId="7B227D0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7522903D" w14:textId="77777777" w:rsidR="00BF18CF" w:rsidRDefault="00E51347">
            <w:r>
              <w:t xml:space="preserve">Cette propriété associe une instance de </w:t>
            </w:r>
            <w:r>
              <w:rPr>
                <w:rFonts w:ascii="Consolas" w:eastAsia="Consolas" w:hAnsi="Consolas" w:cs="Consolas"/>
                <w:sz w:val="22"/>
                <w:szCs w:val="22"/>
                <w:shd w:val="clear" w:color="auto" w:fill="EAEEF3"/>
              </w:rPr>
              <w:t>E39_Actant</w:t>
            </w:r>
            <w:r>
              <w:t xml:space="preserve"> à une instance de </w:t>
            </w:r>
            <w:r>
              <w:rPr>
                <w:rFonts w:ascii="Consolas" w:eastAsia="Consolas" w:hAnsi="Consolas" w:cs="Consolas"/>
                <w:sz w:val="22"/>
                <w:szCs w:val="22"/>
                <w:shd w:val="clear" w:color="auto" w:fill="EAEEF3"/>
              </w:rPr>
              <w:t>E30_Droit</w:t>
            </w:r>
            <w:r>
              <w:t xml:space="preserve"> sur laquelle l’actant détient ou a détenu une revendication légale.</w:t>
            </w:r>
          </w:p>
        </w:tc>
      </w:tr>
      <w:tr w:rsidR="00BF18CF" w14:paraId="25DCD74A" w14:textId="77777777" w:rsidTr="00BF18CF">
        <w:tc>
          <w:tcPr>
            <w:tcW w:w="2097" w:type="dxa"/>
          </w:tcPr>
          <w:p w14:paraId="249E0BD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3" w:type="dxa"/>
          </w:tcPr>
          <w:p w14:paraId="5E380320" w14:textId="77777777" w:rsidR="00BF18CF" w:rsidRDefault="00E51347">
            <w:pPr>
              <w:numPr>
                <w:ilvl w:val="0"/>
                <w:numId w:val="19"/>
              </w:numPr>
            </w:pPr>
            <w:r>
              <w:t>Michael Jackson (</w:t>
            </w:r>
            <w:r>
              <w:rPr>
                <w:rFonts w:ascii="Consolas" w:eastAsia="Consolas" w:hAnsi="Consolas" w:cs="Consolas"/>
                <w:sz w:val="22"/>
                <w:szCs w:val="22"/>
                <w:shd w:val="clear" w:color="auto" w:fill="EAEEF3"/>
              </w:rPr>
              <w:t>E21_Personne</w:t>
            </w:r>
            <w:r>
              <w:t>) possède (</w:t>
            </w:r>
            <w:r>
              <w:rPr>
                <w:rFonts w:ascii="Consolas" w:eastAsia="Consolas" w:hAnsi="Consolas" w:cs="Consolas"/>
                <w:sz w:val="22"/>
                <w:szCs w:val="22"/>
                <w:shd w:val="clear" w:color="auto" w:fill="EAEEF3"/>
              </w:rPr>
              <w:t>P75_possède</w:t>
            </w:r>
            <w:r>
              <w:t>) les droits de propriété intellectuelle sur le fond de catalogue des Beatles (</w:t>
            </w:r>
            <w:r>
              <w:rPr>
                <w:rFonts w:ascii="Consolas" w:eastAsia="Consolas" w:hAnsi="Consolas" w:cs="Consolas"/>
                <w:sz w:val="22"/>
                <w:szCs w:val="22"/>
                <w:shd w:val="clear" w:color="auto" w:fill="EAEEF3"/>
              </w:rPr>
              <w:t>E30_Droit</w:t>
            </w:r>
            <w:r>
              <w:t>) (Raga, 2016)</w:t>
            </w:r>
          </w:p>
        </w:tc>
      </w:tr>
      <w:tr w:rsidR="00BF18CF" w14:paraId="10AB3AF4" w14:textId="77777777" w:rsidTr="00BF18CF">
        <w:tc>
          <w:tcPr>
            <w:tcW w:w="2097" w:type="dxa"/>
          </w:tcPr>
          <w:p w14:paraId="243C049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2D89762B" w14:textId="77777777" w:rsidR="00BF18CF" w:rsidRDefault="00E51347">
            <w:r>
              <w:t>P75(</w:t>
            </w:r>
            <w:proofErr w:type="gramStart"/>
            <w:r>
              <w:t>x,y</w:t>
            </w:r>
            <w:proofErr w:type="gramEnd"/>
            <w:r>
              <w:t>) ⇒ E39(x)</w:t>
            </w:r>
          </w:p>
          <w:p w14:paraId="0D870A85" w14:textId="77777777" w:rsidR="00BF18CF" w:rsidRDefault="00E51347">
            <w:r>
              <w:t>P75(</w:t>
            </w:r>
            <w:proofErr w:type="gramStart"/>
            <w:r>
              <w:t>x,y</w:t>
            </w:r>
            <w:proofErr w:type="gramEnd"/>
            <w:r>
              <w:t>) ⇒ E30(y)</w:t>
            </w:r>
          </w:p>
        </w:tc>
      </w:tr>
      <w:tr w:rsidR="00BF18CF" w14:paraId="55A02EA3" w14:textId="77777777" w:rsidTr="00BF18CF">
        <w:tc>
          <w:tcPr>
            <w:tcW w:w="2097" w:type="dxa"/>
          </w:tcPr>
          <w:p w14:paraId="140163A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1459D72A" w14:textId="77777777" w:rsidR="00BF18CF" w:rsidRDefault="00BF18CF">
            <w:pPr>
              <w:pBdr>
                <w:top w:val="nil"/>
                <w:left w:val="nil"/>
                <w:bottom w:val="nil"/>
                <w:right w:val="nil"/>
                <w:between w:val="nil"/>
              </w:pBdr>
              <w:spacing w:before="36" w:after="36"/>
              <w:rPr>
                <w:color w:val="000000"/>
              </w:rPr>
            </w:pPr>
          </w:p>
        </w:tc>
      </w:tr>
      <w:tr w:rsidR="00BF18CF" w14:paraId="348804D8" w14:textId="77777777" w:rsidTr="00BF18CF">
        <w:tc>
          <w:tcPr>
            <w:tcW w:w="2097" w:type="dxa"/>
          </w:tcPr>
          <w:p w14:paraId="7D2A0EE2" w14:textId="6CD9BD8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5189F4FA" w14:textId="77777777" w:rsidR="00BF18CF" w:rsidRDefault="00E51347">
            <w:r>
              <w:t>Tel que suggéré par Termium Plus, la traduction la plus adéquate du terme « back catalogue » est « fond de catalogue ».</w:t>
            </w:r>
          </w:p>
        </w:tc>
      </w:tr>
      <w:tr w:rsidR="00BF18CF" w14:paraId="6FA7B6B2" w14:textId="77777777" w:rsidTr="00BF18CF">
        <w:tc>
          <w:tcPr>
            <w:tcW w:w="2097" w:type="dxa"/>
          </w:tcPr>
          <w:p w14:paraId="612EAD21"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56B4C2F3" w14:textId="77777777" w:rsidR="00BF18CF" w:rsidRDefault="00E51347">
            <w:r>
              <w:t xml:space="preserve">Termium. « </w:t>
            </w:r>
            <w:proofErr w:type="gramStart"/>
            <w:r>
              <w:t>back</w:t>
            </w:r>
            <w:proofErr w:type="gramEnd"/>
            <w:r>
              <w:t xml:space="preserve"> catalogue ». Dans </w:t>
            </w:r>
            <w:r>
              <w:rPr>
                <w:i/>
              </w:rPr>
              <w:t>Termium Plus</w:t>
            </w:r>
            <w:r>
              <w:t>. Ottawa, CA-ON: Gouvernement du Canada, 8 octobre 2009.</w:t>
            </w:r>
            <w:hyperlink r:id="rId416" w:anchor="resultrecs">
              <w:r>
                <w:rPr>
                  <w:color w:val="4F81BD"/>
                </w:rPr>
                <w:t xml:space="preserve"> https://www.btb.termiumplus.gc.ca/tpv2alpha/alpha-fra.html?lang=fra&amp;i=1&amp;srchtxt=back+catalogue&amp;index=alt&amp;codom2nd_wet=1#resultrecs</w:t>
              </w:r>
            </w:hyperlink>
            <w:r>
              <w:t>.</w:t>
            </w:r>
          </w:p>
        </w:tc>
      </w:tr>
    </w:tbl>
    <w:p w14:paraId="1018C360" w14:textId="77777777" w:rsidR="00BF18CF" w:rsidRDefault="00E51347">
      <w:pPr>
        <w:pStyle w:val="Heading3"/>
      </w:pPr>
      <w:bookmarkStart w:id="395" w:name="bookmark=id.33zd5kd" w:colFirst="0" w:colLast="0"/>
      <w:bookmarkStart w:id="396" w:name="_Toc144360941"/>
      <w:bookmarkEnd w:id="395"/>
      <w:r>
        <w:lastRenderedPageBreak/>
        <w:t>P76 a pour coordonnées (permet de contacter)</w:t>
      </w:r>
      <w:bookmarkEnd w:id="396"/>
    </w:p>
    <w:tbl>
      <w:tblPr>
        <w:tblStyle w:val="afff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8"/>
        <w:gridCol w:w="8782"/>
      </w:tblGrid>
      <w:tr w:rsidR="00BF18CF" w14:paraId="4697B78D" w14:textId="77777777" w:rsidTr="00BF18CF">
        <w:tc>
          <w:tcPr>
            <w:tcW w:w="1908" w:type="dxa"/>
          </w:tcPr>
          <w:p w14:paraId="210C0554"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82" w:type="dxa"/>
          </w:tcPr>
          <w:p w14:paraId="65353DFB" w14:textId="77777777" w:rsidR="00BF18CF" w:rsidRDefault="00E51347">
            <w:r>
              <w:rPr>
                <w:rFonts w:ascii="Consolas" w:eastAsia="Consolas" w:hAnsi="Consolas" w:cs="Consolas"/>
                <w:sz w:val="22"/>
                <w:szCs w:val="22"/>
                <w:shd w:val="clear" w:color="auto" w:fill="EAEEF3"/>
              </w:rPr>
              <w:t>E39_Actant</w:t>
            </w:r>
          </w:p>
        </w:tc>
      </w:tr>
      <w:tr w:rsidR="00BF18CF" w14:paraId="64B46B62" w14:textId="77777777" w:rsidTr="00BF18CF">
        <w:tc>
          <w:tcPr>
            <w:tcW w:w="1908" w:type="dxa"/>
          </w:tcPr>
          <w:p w14:paraId="45696F3E"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82" w:type="dxa"/>
          </w:tcPr>
          <w:p w14:paraId="78DD8140" w14:textId="77777777" w:rsidR="00BF18CF" w:rsidRDefault="00E51347">
            <w:r>
              <w:rPr>
                <w:rFonts w:ascii="Consolas" w:eastAsia="Consolas" w:hAnsi="Consolas" w:cs="Consolas"/>
                <w:sz w:val="22"/>
                <w:szCs w:val="22"/>
                <w:shd w:val="clear" w:color="auto" w:fill="EAEEF3"/>
              </w:rPr>
              <w:t>E41_Appellation</w:t>
            </w:r>
          </w:p>
        </w:tc>
      </w:tr>
      <w:tr w:rsidR="00BF18CF" w14:paraId="01C50D44" w14:textId="77777777" w:rsidTr="00BF18CF">
        <w:tc>
          <w:tcPr>
            <w:tcW w:w="1908" w:type="dxa"/>
          </w:tcPr>
          <w:p w14:paraId="7888879C"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82" w:type="dxa"/>
          </w:tcPr>
          <w:p w14:paraId="28C752ED" w14:textId="77777777" w:rsidR="00BF18CF" w:rsidRDefault="00BF18CF">
            <w:pPr>
              <w:pBdr>
                <w:top w:val="nil"/>
                <w:left w:val="nil"/>
                <w:bottom w:val="nil"/>
                <w:right w:val="nil"/>
                <w:between w:val="nil"/>
              </w:pBdr>
              <w:spacing w:before="36" w:after="36"/>
              <w:rPr>
                <w:color w:val="000000"/>
              </w:rPr>
            </w:pPr>
          </w:p>
        </w:tc>
      </w:tr>
      <w:tr w:rsidR="00BF18CF" w14:paraId="7AEB121A" w14:textId="77777777" w:rsidTr="00BF18CF">
        <w:tc>
          <w:tcPr>
            <w:tcW w:w="1908" w:type="dxa"/>
          </w:tcPr>
          <w:p w14:paraId="7F9AA1E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82" w:type="dxa"/>
          </w:tcPr>
          <w:p w14:paraId="6A41D73C" w14:textId="77777777" w:rsidR="00BF18CF" w:rsidRDefault="00BF18CF">
            <w:pPr>
              <w:pBdr>
                <w:top w:val="nil"/>
                <w:left w:val="nil"/>
                <w:bottom w:val="nil"/>
                <w:right w:val="nil"/>
                <w:between w:val="nil"/>
              </w:pBdr>
              <w:spacing w:before="36" w:after="36"/>
              <w:rPr>
                <w:color w:val="000000"/>
              </w:rPr>
            </w:pPr>
          </w:p>
        </w:tc>
      </w:tr>
      <w:tr w:rsidR="00BF18CF" w14:paraId="53E5A5B0" w14:textId="77777777" w:rsidTr="00BF18CF">
        <w:tc>
          <w:tcPr>
            <w:tcW w:w="1908" w:type="dxa"/>
          </w:tcPr>
          <w:p w14:paraId="2722729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82" w:type="dxa"/>
          </w:tcPr>
          <w:p w14:paraId="6F922015" w14:textId="77777777" w:rsidR="00BF18CF" w:rsidRDefault="00E51347">
            <w:proofErr w:type="gramStart"/>
            <w:r>
              <w:t>plusieurs</w:t>
            </w:r>
            <w:proofErr w:type="gramEnd"/>
            <w:r>
              <w:t xml:space="preserve"> à plusieurs (0,n:0,n)</w:t>
            </w:r>
          </w:p>
        </w:tc>
      </w:tr>
      <w:tr w:rsidR="00BF18CF" w14:paraId="5C71ED8E" w14:textId="77777777" w:rsidTr="00BF18CF">
        <w:tc>
          <w:tcPr>
            <w:tcW w:w="1908" w:type="dxa"/>
          </w:tcPr>
          <w:p w14:paraId="2C1225A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82" w:type="dxa"/>
          </w:tcPr>
          <w:p w14:paraId="4F3C6EC2" w14:textId="77777777" w:rsidR="00BF18CF" w:rsidRDefault="00E51347">
            <w:r>
              <w:t xml:space="preserve">Cette propriété associe une instance de </w:t>
            </w:r>
            <w:r>
              <w:rPr>
                <w:rFonts w:ascii="Consolas" w:eastAsia="Consolas" w:hAnsi="Consolas" w:cs="Consolas"/>
                <w:sz w:val="22"/>
                <w:szCs w:val="22"/>
                <w:shd w:val="clear" w:color="auto" w:fill="EAEEF3"/>
              </w:rPr>
              <w:t>E39_Actant</w:t>
            </w:r>
            <w:r>
              <w:t xml:space="preserve"> à une instance de </w:t>
            </w:r>
            <w:r>
              <w:rPr>
                <w:rFonts w:ascii="Consolas" w:eastAsia="Consolas" w:hAnsi="Consolas" w:cs="Consolas"/>
                <w:sz w:val="22"/>
                <w:szCs w:val="22"/>
                <w:shd w:val="clear" w:color="auto" w:fill="EAEEF3"/>
              </w:rPr>
              <w:t>E41_Appellation</w:t>
            </w:r>
            <w:r>
              <w:t xml:space="preserve"> qu’un service de communication utilise pour adresser des communications directes à cet actant, comme une adresse de courrier électronique, un numéro de télécopieur ou une adresse postale.</w:t>
            </w:r>
          </w:p>
        </w:tc>
      </w:tr>
      <w:tr w:rsidR="00BF18CF" w14:paraId="60AFED98" w14:textId="77777777" w:rsidTr="00BF18CF">
        <w:tc>
          <w:tcPr>
            <w:tcW w:w="1908" w:type="dxa"/>
          </w:tcPr>
          <w:p w14:paraId="19B33BB4"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82" w:type="dxa"/>
          </w:tcPr>
          <w:p w14:paraId="0C061713" w14:textId="77777777" w:rsidR="00BF18CF" w:rsidRDefault="00E51347">
            <w:pPr>
              <w:numPr>
                <w:ilvl w:val="0"/>
                <w:numId w:val="19"/>
              </w:numPr>
            </w:pPr>
            <w:r>
              <w:t>Le groupe de bibliothèques de recherche (</w:t>
            </w:r>
            <w:r>
              <w:rPr>
                <w:rFonts w:ascii="Consolas" w:eastAsia="Consolas" w:hAnsi="Consolas" w:cs="Consolas"/>
                <w:sz w:val="22"/>
                <w:szCs w:val="22"/>
                <w:shd w:val="clear" w:color="auto" w:fill="EAEEF3"/>
              </w:rPr>
              <w:t>E74_Groupe</w:t>
            </w:r>
            <w:r>
              <w:t>) a pour coordonnées (</w:t>
            </w:r>
            <w:r>
              <w:rPr>
                <w:rFonts w:ascii="Consolas" w:eastAsia="Consolas" w:hAnsi="Consolas" w:cs="Consolas"/>
                <w:sz w:val="22"/>
                <w:szCs w:val="22"/>
                <w:shd w:val="clear" w:color="auto" w:fill="EAEEF3"/>
              </w:rPr>
              <w:t>P76_a_pour_coordonnées</w:t>
            </w:r>
            <w:r>
              <w:t>) « bl.ric@rlg.org » (</w:t>
            </w:r>
            <w:r>
              <w:rPr>
                <w:rFonts w:ascii="Consolas" w:eastAsia="Consolas" w:hAnsi="Consolas" w:cs="Consolas"/>
                <w:sz w:val="22"/>
                <w:szCs w:val="22"/>
                <w:shd w:val="clear" w:color="auto" w:fill="EAEEF3"/>
              </w:rPr>
              <w:t>E41_Appellation</w:t>
            </w:r>
            <w:r>
              <w:t>)</w:t>
            </w:r>
          </w:p>
        </w:tc>
      </w:tr>
      <w:tr w:rsidR="00BF18CF" w14:paraId="30CE0F84" w14:textId="77777777" w:rsidTr="00BF18CF">
        <w:tc>
          <w:tcPr>
            <w:tcW w:w="1908" w:type="dxa"/>
          </w:tcPr>
          <w:p w14:paraId="583ADB2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82" w:type="dxa"/>
          </w:tcPr>
          <w:p w14:paraId="64F729F5" w14:textId="77777777" w:rsidR="00BF18CF" w:rsidRDefault="00E51347">
            <w:r>
              <w:t>P76(</w:t>
            </w:r>
            <w:proofErr w:type="gramStart"/>
            <w:r>
              <w:t>x,y</w:t>
            </w:r>
            <w:proofErr w:type="gramEnd"/>
            <w:r>
              <w:t>) ⇒ E39(x)</w:t>
            </w:r>
          </w:p>
          <w:p w14:paraId="79118952" w14:textId="77777777" w:rsidR="00BF18CF" w:rsidRDefault="00E51347">
            <w:r>
              <w:t>P76(</w:t>
            </w:r>
            <w:proofErr w:type="gramStart"/>
            <w:r>
              <w:t>x,y</w:t>
            </w:r>
            <w:proofErr w:type="gramEnd"/>
            <w:r>
              <w:t>) ⇒ E41(y)</w:t>
            </w:r>
          </w:p>
        </w:tc>
      </w:tr>
      <w:tr w:rsidR="00BF18CF" w14:paraId="7CE6FBE9" w14:textId="77777777" w:rsidTr="00BF18CF">
        <w:tc>
          <w:tcPr>
            <w:tcW w:w="1908" w:type="dxa"/>
          </w:tcPr>
          <w:p w14:paraId="6C36173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82" w:type="dxa"/>
          </w:tcPr>
          <w:p w14:paraId="72247D47" w14:textId="77777777" w:rsidR="00BF18CF" w:rsidRDefault="00BF18CF">
            <w:pPr>
              <w:pBdr>
                <w:top w:val="nil"/>
                <w:left w:val="nil"/>
                <w:bottom w:val="nil"/>
                <w:right w:val="nil"/>
                <w:between w:val="nil"/>
              </w:pBdr>
              <w:spacing w:before="36" w:after="36"/>
              <w:rPr>
                <w:color w:val="000000"/>
              </w:rPr>
            </w:pPr>
          </w:p>
        </w:tc>
      </w:tr>
      <w:tr w:rsidR="00BF18CF" w14:paraId="7156901C" w14:textId="77777777" w:rsidTr="00BF18CF">
        <w:tc>
          <w:tcPr>
            <w:tcW w:w="1908" w:type="dxa"/>
          </w:tcPr>
          <w:p w14:paraId="445B01DF" w14:textId="29F71D1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82" w:type="dxa"/>
          </w:tcPr>
          <w:p w14:paraId="726394F6" w14:textId="77777777" w:rsidR="00BF18CF" w:rsidRDefault="00BF18CF">
            <w:pPr>
              <w:pBdr>
                <w:top w:val="nil"/>
                <w:left w:val="nil"/>
                <w:bottom w:val="nil"/>
                <w:right w:val="nil"/>
                <w:between w:val="nil"/>
              </w:pBdr>
              <w:spacing w:before="36" w:after="36"/>
              <w:rPr>
                <w:color w:val="000000"/>
              </w:rPr>
            </w:pPr>
          </w:p>
        </w:tc>
      </w:tr>
      <w:tr w:rsidR="00BF18CF" w14:paraId="1A8927DD" w14:textId="77777777" w:rsidTr="00BF18CF">
        <w:tc>
          <w:tcPr>
            <w:tcW w:w="1908" w:type="dxa"/>
          </w:tcPr>
          <w:p w14:paraId="20E36DF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82" w:type="dxa"/>
          </w:tcPr>
          <w:p w14:paraId="4FFF91CC" w14:textId="77777777" w:rsidR="00BF18CF" w:rsidRDefault="00BF18CF">
            <w:pPr>
              <w:pBdr>
                <w:top w:val="nil"/>
                <w:left w:val="nil"/>
                <w:bottom w:val="nil"/>
                <w:right w:val="nil"/>
                <w:between w:val="nil"/>
              </w:pBdr>
              <w:spacing w:before="36" w:after="36"/>
              <w:rPr>
                <w:color w:val="000000"/>
              </w:rPr>
            </w:pPr>
          </w:p>
        </w:tc>
      </w:tr>
    </w:tbl>
    <w:p w14:paraId="1ACAFA37" w14:textId="77777777" w:rsidR="00BF18CF" w:rsidRDefault="00E51347">
      <w:pPr>
        <w:pStyle w:val="Heading3"/>
      </w:pPr>
      <w:bookmarkStart w:id="397" w:name="bookmark=id.1j4nfs6" w:colFirst="0" w:colLast="0"/>
      <w:bookmarkStart w:id="398" w:name="_Toc144360942"/>
      <w:bookmarkEnd w:id="397"/>
      <w:r>
        <w:t>P79 a son début qualifié par</w:t>
      </w:r>
      <w:bookmarkEnd w:id="398"/>
    </w:p>
    <w:tbl>
      <w:tblPr>
        <w:tblStyle w:val="afffff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6"/>
        <w:gridCol w:w="8804"/>
      </w:tblGrid>
      <w:tr w:rsidR="00BF18CF" w14:paraId="7A32DC96" w14:textId="77777777" w:rsidTr="00BF18CF">
        <w:tc>
          <w:tcPr>
            <w:tcW w:w="1886" w:type="dxa"/>
          </w:tcPr>
          <w:p w14:paraId="77EDDAE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4" w:type="dxa"/>
          </w:tcPr>
          <w:p w14:paraId="7AF3E8B2" w14:textId="77777777" w:rsidR="00BF18CF" w:rsidRDefault="00E51347">
            <w:r>
              <w:rPr>
                <w:rFonts w:ascii="Consolas" w:eastAsia="Consolas" w:hAnsi="Consolas" w:cs="Consolas"/>
                <w:sz w:val="22"/>
                <w:szCs w:val="22"/>
                <w:shd w:val="clear" w:color="auto" w:fill="EAEEF3"/>
              </w:rPr>
              <w:t>E52_Intervalle_temporel</w:t>
            </w:r>
          </w:p>
        </w:tc>
      </w:tr>
      <w:tr w:rsidR="00BF18CF" w14:paraId="05273C01" w14:textId="77777777" w:rsidTr="00BF18CF">
        <w:tc>
          <w:tcPr>
            <w:tcW w:w="1886" w:type="dxa"/>
          </w:tcPr>
          <w:p w14:paraId="0C45644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4" w:type="dxa"/>
          </w:tcPr>
          <w:p w14:paraId="5D25908C" w14:textId="77777777" w:rsidR="00BF18CF" w:rsidRDefault="00E51347">
            <w:r>
              <w:rPr>
                <w:rFonts w:ascii="Consolas" w:eastAsia="Consolas" w:hAnsi="Consolas" w:cs="Consolas"/>
                <w:sz w:val="22"/>
                <w:szCs w:val="22"/>
                <w:shd w:val="clear" w:color="auto" w:fill="EAEEF3"/>
              </w:rPr>
              <w:t>E62_Chaîne_de_caractères</w:t>
            </w:r>
          </w:p>
        </w:tc>
      </w:tr>
      <w:tr w:rsidR="00BF18CF" w14:paraId="29DB3A29" w14:textId="77777777" w:rsidTr="00BF18CF">
        <w:tc>
          <w:tcPr>
            <w:tcW w:w="1886" w:type="dxa"/>
          </w:tcPr>
          <w:p w14:paraId="4D35B07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4" w:type="dxa"/>
          </w:tcPr>
          <w:p w14:paraId="1FC0286A"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P3_a_pour_note</w:t>
            </w:r>
            <w:r>
              <w:t xml:space="preserve"> : </w:t>
            </w:r>
            <w:r>
              <w:rPr>
                <w:rFonts w:ascii="Consolas" w:eastAsia="Consolas" w:hAnsi="Consolas" w:cs="Consolas"/>
                <w:sz w:val="22"/>
                <w:szCs w:val="22"/>
                <w:shd w:val="clear" w:color="auto" w:fill="EAEEF3"/>
              </w:rPr>
              <w:t>E62_Chaîne_de_caractères</w:t>
            </w:r>
          </w:p>
        </w:tc>
      </w:tr>
      <w:tr w:rsidR="00BF18CF" w14:paraId="35AB7DC3" w14:textId="77777777" w:rsidTr="00BF18CF">
        <w:tc>
          <w:tcPr>
            <w:tcW w:w="1886" w:type="dxa"/>
          </w:tcPr>
          <w:p w14:paraId="5A52ED9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4" w:type="dxa"/>
          </w:tcPr>
          <w:p w14:paraId="3A71AAA0" w14:textId="77777777" w:rsidR="00BF18CF" w:rsidRDefault="00BF18CF">
            <w:pPr>
              <w:pBdr>
                <w:top w:val="nil"/>
                <w:left w:val="nil"/>
                <w:bottom w:val="nil"/>
                <w:right w:val="nil"/>
                <w:between w:val="nil"/>
              </w:pBdr>
              <w:spacing w:before="36" w:after="36"/>
              <w:rPr>
                <w:color w:val="000000"/>
              </w:rPr>
            </w:pPr>
          </w:p>
        </w:tc>
      </w:tr>
      <w:tr w:rsidR="00BF18CF" w14:paraId="74FBEFEE" w14:textId="77777777" w:rsidTr="00BF18CF">
        <w:tc>
          <w:tcPr>
            <w:tcW w:w="1886" w:type="dxa"/>
          </w:tcPr>
          <w:p w14:paraId="0F04802E"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4" w:type="dxa"/>
          </w:tcPr>
          <w:p w14:paraId="3AB60C20" w14:textId="77777777" w:rsidR="00BF18CF" w:rsidRDefault="00E51347">
            <w:proofErr w:type="gramStart"/>
            <w:r>
              <w:t>plusieurs</w:t>
            </w:r>
            <w:proofErr w:type="gramEnd"/>
            <w:r>
              <w:t xml:space="preserve"> à un (0,1:0,n)</w:t>
            </w:r>
          </w:p>
        </w:tc>
      </w:tr>
      <w:tr w:rsidR="00BF18CF" w14:paraId="4591EB7A" w14:textId="77777777" w:rsidTr="00BF18CF">
        <w:tc>
          <w:tcPr>
            <w:tcW w:w="1886" w:type="dxa"/>
          </w:tcPr>
          <w:p w14:paraId="0030622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4" w:type="dxa"/>
          </w:tcPr>
          <w:p w14:paraId="5B32C3E4" w14:textId="77777777" w:rsidR="00BF18CF" w:rsidRDefault="00E51347">
            <w:r>
              <w:t xml:space="preserve">Cette propriété associe une instance de </w:t>
            </w:r>
            <w:r>
              <w:rPr>
                <w:rFonts w:ascii="Consolas" w:eastAsia="Consolas" w:hAnsi="Consolas" w:cs="Consolas"/>
                <w:sz w:val="22"/>
                <w:szCs w:val="22"/>
                <w:shd w:val="clear" w:color="auto" w:fill="EAEEF3"/>
              </w:rPr>
              <w:t>E52_Intervalle_temporel</w:t>
            </w:r>
            <w:r>
              <w:t xml:space="preserve"> à une note détaillant les opinions et justifications savantes ou scientifiques sur la certitude, la précision, les sources, etc. du début [n.d.t. de cet intervalle de temps]. Ces notes peuvent être utilisées pour élaborer des arguments à propos des contraintes ou pour donner des explications concernant des alternatives.</w:t>
            </w:r>
          </w:p>
        </w:tc>
      </w:tr>
      <w:tr w:rsidR="00BF18CF" w14:paraId="244AA3BC" w14:textId="77777777" w:rsidTr="00BF18CF">
        <w:tc>
          <w:tcPr>
            <w:tcW w:w="1886" w:type="dxa"/>
          </w:tcPr>
          <w:p w14:paraId="0A0393E5"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4" w:type="dxa"/>
          </w:tcPr>
          <w:p w14:paraId="464D733C" w14:textId="77777777" w:rsidR="00BF18CF" w:rsidRDefault="00E51347">
            <w:pPr>
              <w:numPr>
                <w:ilvl w:val="0"/>
                <w:numId w:val="19"/>
              </w:numPr>
            </w:pPr>
            <w:r>
              <w:t>L'intervalle de temps de l'Holocène (</w:t>
            </w:r>
            <w:r>
              <w:rPr>
                <w:rFonts w:ascii="Consolas" w:eastAsia="Consolas" w:hAnsi="Consolas" w:cs="Consolas"/>
                <w:sz w:val="22"/>
                <w:szCs w:val="22"/>
                <w:shd w:val="clear" w:color="auto" w:fill="EAEEF3"/>
              </w:rPr>
              <w:t>E52_Intervalle_temporel</w:t>
            </w:r>
            <w:r>
              <w:t>) a son début qualifié par (</w:t>
            </w:r>
            <w:r>
              <w:rPr>
                <w:rFonts w:ascii="Consolas" w:eastAsia="Consolas" w:hAnsi="Consolas" w:cs="Consolas"/>
                <w:sz w:val="22"/>
                <w:szCs w:val="22"/>
                <w:shd w:val="clear" w:color="auto" w:fill="EAEEF3"/>
              </w:rPr>
              <w:t>P79_a_son_début_qualifié_par</w:t>
            </w:r>
            <w:r>
              <w:t xml:space="preserve">) « La définition formelle et la datation du GSSP (GlobalStratotype Section and Point) pour la base de l'Holocène en utilisant la carotte de glace du Groenland NGRIP et des </w:t>
            </w:r>
            <w:r>
              <w:lastRenderedPageBreak/>
              <w:t>enregistrements auxiliaires sélectionnés » (</w:t>
            </w:r>
            <w:r>
              <w:rPr>
                <w:rFonts w:ascii="Consolas" w:eastAsia="Consolas" w:hAnsi="Consolas" w:cs="Consolas"/>
                <w:sz w:val="22"/>
                <w:szCs w:val="22"/>
                <w:shd w:val="clear" w:color="auto" w:fill="EAEEF3"/>
              </w:rPr>
              <w:t>E62_Chaîne_de_caractères</w:t>
            </w:r>
            <w:r>
              <w:t>) (Walker &amp; al, 2009)</w:t>
            </w:r>
          </w:p>
        </w:tc>
      </w:tr>
      <w:tr w:rsidR="00BF18CF" w14:paraId="33E44B8C" w14:textId="77777777" w:rsidTr="00BF18CF">
        <w:tc>
          <w:tcPr>
            <w:tcW w:w="1886" w:type="dxa"/>
          </w:tcPr>
          <w:p w14:paraId="5E781C17"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04" w:type="dxa"/>
          </w:tcPr>
          <w:p w14:paraId="40DA926B" w14:textId="77777777" w:rsidR="00BF18CF" w:rsidRDefault="00E51347">
            <w:r>
              <w:t>P79(</w:t>
            </w:r>
            <w:proofErr w:type="gramStart"/>
            <w:r>
              <w:t>x,y</w:t>
            </w:r>
            <w:proofErr w:type="gramEnd"/>
            <w:r>
              <w:t>) ⇒ E52(x)</w:t>
            </w:r>
          </w:p>
          <w:p w14:paraId="1C2FFA93" w14:textId="77777777" w:rsidR="00BF18CF" w:rsidRDefault="00E51347">
            <w:r>
              <w:t>P79(</w:t>
            </w:r>
            <w:proofErr w:type="gramStart"/>
            <w:r>
              <w:t>x,y</w:t>
            </w:r>
            <w:proofErr w:type="gramEnd"/>
            <w:r>
              <w:t>) ⇒ E62(y)</w:t>
            </w:r>
          </w:p>
          <w:p w14:paraId="77AC9BDC" w14:textId="77777777" w:rsidR="00BF18CF" w:rsidRDefault="00E51347">
            <w:r>
              <w:t>P79(</w:t>
            </w:r>
            <w:proofErr w:type="gramStart"/>
            <w:r>
              <w:t>x,y</w:t>
            </w:r>
            <w:proofErr w:type="gramEnd"/>
            <w:r>
              <w:t>) ⇒ P3(x,y)</w:t>
            </w:r>
          </w:p>
        </w:tc>
      </w:tr>
      <w:tr w:rsidR="00BF18CF" w14:paraId="6FB6EEF8" w14:textId="77777777" w:rsidTr="00BF18CF">
        <w:tc>
          <w:tcPr>
            <w:tcW w:w="1886" w:type="dxa"/>
          </w:tcPr>
          <w:p w14:paraId="583300D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4" w:type="dxa"/>
          </w:tcPr>
          <w:p w14:paraId="37B32C4A" w14:textId="77777777" w:rsidR="00BF18CF" w:rsidRDefault="00BF18CF">
            <w:pPr>
              <w:pBdr>
                <w:top w:val="nil"/>
                <w:left w:val="nil"/>
                <w:bottom w:val="nil"/>
                <w:right w:val="nil"/>
                <w:between w:val="nil"/>
              </w:pBdr>
              <w:spacing w:before="36" w:after="36"/>
              <w:rPr>
                <w:color w:val="000000"/>
              </w:rPr>
            </w:pPr>
          </w:p>
        </w:tc>
      </w:tr>
      <w:tr w:rsidR="00BF18CF" w14:paraId="191CC94D" w14:textId="77777777" w:rsidTr="00BF18CF">
        <w:tc>
          <w:tcPr>
            <w:tcW w:w="1886" w:type="dxa"/>
          </w:tcPr>
          <w:p w14:paraId="57FA82FF" w14:textId="4057B13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4" w:type="dxa"/>
          </w:tcPr>
          <w:p w14:paraId="408067D9" w14:textId="77777777" w:rsidR="00BF18CF" w:rsidRDefault="00E51347">
            <w:r>
              <w:t>La traduction de la citation en exemple (Walker &amp; al 2009) est une traduction libre.</w:t>
            </w:r>
          </w:p>
        </w:tc>
      </w:tr>
      <w:tr w:rsidR="00BF18CF" w14:paraId="0991FAF3" w14:textId="77777777" w:rsidTr="00BF18CF">
        <w:tc>
          <w:tcPr>
            <w:tcW w:w="1886" w:type="dxa"/>
          </w:tcPr>
          <w:p w14:paraId="00633DC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4" w:type="dxa"/>
          </w:tcPr>
          <w:p w14:paraId="7A46CF77" w14:textId="77777777" w:rsidR="00BF18CF" w:rsidRDefault="00BF18CF">
            <w:pPr>
              <w:pBdr>
                <w:top w:val="nil"/>
                <w:left w:val="nil"/>
                <w:bottom w:val="nil"/>
                <w:right w:val="nil"/>
                <w:between w:val="nil"/>
              </w:pBdr>
              <w:spacing w:before="36" w:after="36"/>
              <w:rPr>
                <w:color w:val="000000"/>
              </w:rPr>
            </w:pPr>
          </w:p>
        </w:tc>
      </w:tr>
    </w:tbl>
    <w:p w14:paraId="405501BC" w14:textId="77777777" w:rsidR="00BF18CF" w:rsidRDefault="00E51347">
      <w:pPr>
        <w:pStyle w:val="Heading3"/>
      </w:pPr>
      <w:bookmarkStart w:id="399" w:name="bookmark=id.434ayfz" w:colFirst="0" w:colLast="0"/>
      <w:bookmarkStart w:id="400" w:name="_Toc144360943"/>
      <w:bookmarkEnd w:id="399"/>
      <w:r>
        <w:t>P80 a sa fin qualifiée par</w:t>
      </w:r>
      <w:bookmarkEnd w:id="400"/>
    </w:p>
    <w:tbl>
      <w:tblPr>
        <w:tblStyle w:val="affff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0"/>
        <w:gridCol w:w="8800"/>
      </w:tblGrid>
      <w:tr w:rsidR="00BF18CF" w14:paraId="32C2E309" w14:textId="77777777" w:rsidTr="00BF18CF">
        <w:tc>
          <w:tcPr>
            <w:tcW w:w="1890" w:type="dxa"/>
          </w:tcPr>
          <w:p w14:paraId="183071C0"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0" w:type="dxa"/>
          </w:tcPr>
          <w:p w14:paraId="15888E2C" w14:textId="77777777" w:rsidR="00BF18CF" w:rsidRDefault="00E51347">
            <w:r>
              <w:rPr>
                <w:rFonts w:ascii="Consolas" w:eastAsia="Consolas" w:hAnsi="Consolas" w:cs="Consolas"/>
                <w:sz w:val="22"/>
                <w:szCs w:val="22"/>
                <w:shd w:val="clear" w:color="auto" w:fill="EAEEF3"/>
              </w:rPr>
              <w:t>E52_Intervalle_temporel</w:t>
            </w:r>
          </w:p>
        </w:tc>
      </w:tr>
      <w:tr w:rsidR="00BF18CF" w14:paraId="35A46750" w14:textId="77777777" w:rsidTr="00BF18CF">
        <w:tc>
          <w:tcPr>
            <w:tcW w:w="1890" w:type="dxa"/>
          </w:tcPr>
          <w:p w14:paraId="798C9AD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0" w:type="dxa"/>
          </w:tcPr>
          <w:p w14:paraId="221C603A" w14:textId="77777777" w:rsidR="00BF18CF" w:rsidRDefault="00E51347">
            <w:r>
              <w:rPr>
                <w:rFonts w:ascii="Consolas" w:eastAsia="Consolas" w:hAnsi="Consolas" w:cs="Consolas"/>
                <w:sz w:val="22"/>
                <w:szCs w:val="22"/>
                <w:shd w:val="clear" w:color="auto" w:fill="EAEEF3"/>
              </w:rPr>
              <w:t>E62_Chaîne_de_caractères</w:t>
            </w:r>
          </w:p>
        </w:tc>
      </w:tr>
      <w:tr w:rsidR="00BF18CF" w14:paraId="41A5507E" w14:textId="77777777" w:rsidTr="00BF18CF">
        <w:tc>
          <w:tcPr>
            <w:tcW w:w="1890" w:type="dxa"/>
          </w:tcPr>
          <w:p w14:paraId="7F1C448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0" w:type="dxa"/>
          </w:tcPr>
          <w:p w14:paraId="7A7DA80F"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P3_a_pour_note</w:t>
            </w:r>
            <w:r>
              <w:t xml:space="preserve"> : </w:t>
            </w:r>
            <w:r>
              <w:rPr>
                <w:rFonts w:ascii="Consolas" w:eastAsia="Consolas" w:hAnsi="Consolas" w:cs="Consolas"/>
                <w:sz w:val="22"/>
                <w:szCs w:val="22"/>
                <w:shd w:val="clear" w:color="auto" w:fill="EAEEF3"/>
              </w:rPr>
              <w:t>E62_Chaîne_de_caractères</w:t>
            </w:r>
          </w:p>
        </w:tc>
      </w:tr>
      <w:tr w:rsidR="00BF18CF" w14:paraId="147A7BAF" w14:textId="77777777" w:rsidTr="00BF18CF">
        <w:tc>
          <w:tcPr>
            <w:tcW w:w="1890" w:type="dxa"/>
          </w:tcPr>
          <w:p w14:paraId="7E0DD42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0" w:type="dxa"/>
          </w:tcPr>
          <w:p w14:paraId="7390C8F6" w14:textId="77777777" w:rsidR="00BF18CF" w:rsidRDefault="00BF18CF">
            <w:pPr>
              <w:pBdr>
                <w:top w:val="nil"/>
                <w:left w:val="nil"/>
                <w:bottom w:val="nil"/>
                <w:right w:val="nil"/>
                <w:between w:val="nil"/>
              </w:pBdr>
              <w:spacing w:before="36" w:after="36"/>
              <w:rPr>
                <w:color w:val="000000"/>
              </w:rPr>
            </w:pPr>
          </w:p>
        </w:tc>
      </w:tr>
      <w:tr w:rsidR="00BF18CF" w14:paraId="1F2EF694" w14:textId="77777777" w:rsidTr="00BF18CF">
        <w:tc>
          <w:tcPr>
            <w:tcW w:w="1890" w:type="dxa"/>
          </w:tcPr>
          <w:p w14:paraId="39E794D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0" w:type="dxa"/>
          </w:tcPr>
          <w:p w14:paraId="04467CD0" w14:textId="77777777" w:rsidR="00BF18CF" w:rsidRDefault="00E51347">
            <w:proofErr w:type="gramStart"/>
            <w:r>
              <w:t>plusieurs</w:t>
            </w:r>
            <w:proofErr w:type="gramEnd"/>
            <w:r>
              <w:t xml:space="preserve"> à un (0,1:0,n)</w:t>
            </w:r>
          </w:p>
        </w:tc>
      </w:tr>
      <w:tr w:rsidR="00BF18CF" w14:paraId="46DDE205" w14:textId="77777777" w:rsidTr="00BF18CF">
        <w:tc>
          <w:tcPr>
            <w:tcW w:w="1890" w:type="dxa"/>
          </w:tcPr>
          <w:p w14:paraId="67B65C6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0" w:type="dxa"/>
          </w:tcPr>
          <w:p w14:paraId="5A032CE3" w14:textId="77777777" w:rsidR="00BF18CF" w:rsidRDefault="00E51347">
            <w:r>
              <w:t xml:space="preserve">Cette propriété associe une instance de </w:t>
            </w:r>
            <w:r>
              <w:rPr>
                <w:rFonts w:ascii="Consolas" w:eastAsia="Consolas" w:hAnsi="Consolas" w:cs="Consolas"/>
                <w:sz w:val="22"/>
                <w:szCs w:val="22"/>
                <w:shd w:val="clear" w:color="auto" w:fill="EAEEF3"/>
              </w:rPr>
              <w:t>E52_Intervalle_temporel</w:t>
            </w:r>
            <w:r>
              <w:t xml:space="preserve"> à une note détaillant les opinions et justifications savantes ou scientifiques sur la certitude, la précision, les sources, etc. de la fin de cet intervalle de temps. Cette propriété peut également être utilisée pour décrire des arguments délimitant des dates possibles et pour distinguer les raisons des dates alternatives.</w:t>
            </w:r>
          </w:p>
        </w:tc>
      </w:tr>
      <w:tr w:rsidR="00BF18CF" w14:paraId="750DB401" w14:textId="77777777" w:rsidTr="00BF18CF">
        <w:tc>
          <w:tcPr>
            <w:tcW w:w="1890" w:type="dxa"/>
          </w:tcPr>
          <w:p w14:paraId="4934C6B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0" w:type="dxa"/>
          </w:tcPr>
          <w:p w14:paraId="08B724DC" w14:textId="77777777" w:rsidR="00BF18CF" w:rsidRDefault="00E51347">
            <w:pPr>
              <w:numPr>
                <w:ilvl w:val="0"/>
                <w:numId w:val="19"/>
              </w:numPr>
            </w:pPr>
            <w:r>
              <w:t>L'intervalle de temps de l'Holocène (</w:t>
            </w:r>
            <w:r>
              <w:rPr>
                <w:rFonts w:ascii="Consolas" w:eastAsia="Consolas" w:hAnsi="Consolas" w:cs="Consolas"/>
                <w:sz w:val="22"/>
                <w:szCs w:val="22"/>
                <w:shd w:val="clear" w:color="auto" w:fill="EAEEF3"/>
              </w:rPr>
              <w:t>E52_Intervalle_temporel</w:t>
            </w:r>
            <w:r>
              <w:t>) a sa fin qualifiée par (</w:t>
            </w:r>
            <w:r>
              <w:rPr>
                <w:rFonts w:ascii="Consolas" w:eastAsia="Consolas" w:hAnsi="Consolas" w:cs="Consolas"/>
                <w:sz w:val="22"/>
                <w:szCs w:val="22"/>
                <w:shd w:val="clear" w:color="auto" w:fill="EAEEF3"/>
              </w:rPr>
              <w:t>P80_a_sa_fin_qualifiée_par</w:t>
            </w:r>
            <w:r>
              <w:t>) « toujours en cours » (</w:t>
            </w:r>
            <w:r>
              <w:rPr>
                <w:rFonts w:ascii="Consolas" w:eastAsia="Consolas" w:hAnsi="Consolas" w:cs="Consolas"/>
                <w:sz w:val="22"/>
                <w:szCs w:val="22"/>
                <w:shd w:val="clear" w:color="auto" w:fill="EAEEF3"/>
              </w:rPr>
              <w:t>E62_Chaîne_de_caractères</w:t>
            </w:r>
            <w:r>
              <w:t>) (Walker &amp; al, 2009)</w:t>
            </w:r>
          </w:p>
        </w:tc>
      </w:tr>
      <w:tr w:rsidR="00BF18CF" w14:paraId="5AD9F522" w14:textId="77777777" w:rsidTr="00BF18CF">
        <w:tc>
          <w:tcPr>
            <w:tcW w:w="1890" w:type="dxa"/>
          </w:tcPr>
          <w:p w14:paraId="29BF916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0" w:type="dxa"/>
          </w:tcPr>
          <w:p w14:paraId="353942BB" w14:textId="77777777" w:rsidR="00BF18CF" w:rsidRDefault="00E51347">
            <w:r>
              <w:t>P80(</w:t>
            </w:r>
            <w:proofErr w:type="gramStart"/>
            <w:r>
              <w:t>x,y</w:t>
            </w:r>
            <w:proofErr w:type="gramEnd"/>
            <w:r>
              <w:t>) ⇒ E52(x)</w:t>
            </w:r>
          </w:p>
          <w:p w14:paraId="70C1C983" w14:textId="77777777" w:rsidR="00BF18CF" w:rsidRDefault="00E51347">
            <w:r>
              <w:t>P80(</w:t>
            </w:r>
            <w:proofErr w:type="gramStart"/>
            <w:r>
              <w:t>x,y</w:t>
            </w:r>
            <w:proofErr w:type="gramEnd"/>
            <w:r>
              <w:t>) ⇒ E62(y)</w:t>
            </w:r>
          </w:p>
          <w:p w14:paraId="555C8EAA" w14:textId="77777777" w:rsidR="00BF18CF" w:rsidRDefault="00E51347">
            <w:r>
              <w:t>P80(</w:t>
            </w:r>
            <w:proofErr w:type="gramStart"/>
            <w:r>
              <w:t>x,y</w:t>
            </w:r>
            <w:proofErr w:type="gramEnd"/>
            <w:r>
              <w:t>) ⇒ P3(x,y)</w:t>
            </w:r>
          </w:p>
        </w:tc>
      </w:tr>
      <w:tr w:rsidR="00BF18CF" w14:paraId="0BF192E5" w14:textId="77777777" w:rsidTr="00BF18CF">
        <w:tc>
          <w:tcPr>
            <w:tcW w:w="1890" w:type="dxa"/>
          </w:tcPr>
          <w:p w14:paraId="769E105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0" w:type="dxa"/>
          </w:tcPr>
          <w:p w14:paraId="28E59E2B" w14:textId="77777777" w:rsidR="00BF18CF" w:rsidRDefault="00BF18CF">
            <w:pPr>
              <w:pBdr>
                <w:top w:val="nil"/>
                <w:left w:val="nil"/>
                <w:bottom w:val="nil"/>
                <w:right w:val="nil"/>
                <w:between w:val="nil"/>
              </w:pBdr>
              <w:spacing w:before="36" w:after="36"/>
              <w:rPr>
                <w:color w:val="000000"/>
              </w:rPr>
            </w:pPr>
          </w:p>
        </w:tc>
      </w:tr>
      <w:tr w:rsidR="00BF18CF" w14:paraId="6F2C102C" w14:textId="77777777" w:rsidTr="00BF18CF">
        <w:tc>
          <w:tcPr>
            <w:tcW w:w="1890" w:type="dxa"/>
          </w:tcPr>
          <w:p w14:paraId="4D9D024E" w14:textId="43B25AF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0" w:type="dxa"/>
          </w:tcPr>
          <w:p w14:paraId="1B6E3D22" w14:textId="77777777" w:rsidR="00BF18CF" w:rsidRDefault="00BF18CF">
            <w:pPr>
              <w:pBdr>
                <w:top w:val="nil"/>
                <w:left w:val="nil"/>
                <w:bottom w:val="nil"/>
                <w:right w:val="nil"/>
                <w:between w:val="nil"/>
              </w:pBdr>
              <w:spacing w:before="36" w:after="36"/>
              <w:rPr>
                <w:color w:val="000000"/>
              </w:rPr>
            </w:pPr>
          </w:p>
        </w:tc>
      </w:tr>
      <w:tr w:rsidR="00BF18CF" w14:paraId="47DBDD9F" w14:textId="77777777" w:rsidTr="00BF18CF">
        <w:tc>
          <w:tcPr>
            <w:tcW w:w="1890" w:type="dxa"/>
          </w:tcPr>
          <w:p w14:paraId="08756B7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0" w:type="dxa"/>
          </w:tcPr>
          <w:p w14:paraId="1BA9457F" w14:textId="77777777" w:rsidR="00BF18CF" w:rsidRDefault="00BF18CF">
            <w:pPr>
              <w:pBdr>
                <w:top w:val="nil"/>
                <w:left w:val="nil"/>
                <w:bottom w:val="nil"/>
                <w:right w:val="nil"/>
                <w:between w:val="nil"/>
              </w:pBdr>
              <w:spacing w:before="36" w:after="36"/>
              <w:rPr>
                <w:color w:val="000000"/>
              </w:rPr>
            </w:pPr>
          </w:p>
        </w:tc>
      </w:tr>
    </w:tbl>
    <w:p w14:paraId="58D1F759" w14:textId="77777777" w:rsidR="00BF18CF" w:rsidRDefault="00E51347">
      <w:pPr>
        <w:pStyle w:val="Heading3"/>
      </w:pPr>
      <w:bookmarkStart w:id="401" w:name="bookmark=id.2i9l8ns" w:colFirst="0" w:colLast="0"/>
      <w:bookmarkStart w:id="402" w:name="_Toc144360944"/>
      <w:bookmarkEnd w:id="401"/>
      <w:r>
        <w:t>P81 a couvert</w:t>
      </w:r>
      <w:bookmarkEnd w:id="402"/>
    </w:p>
    <w:tbl>
      <w:tblPr>
        <w:tblStyle w:val="affff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3"/>
        <w:gridCol w:w="8797"/>
      </w:tblGrid>
      <w:tr w:rsidR="00BF18CF" w14:paraId="34D87EA3" w14:textId="77777777" w:rsidTr="00BF18CF">
        <w:tc>
          <w:tcPr>
            <w:tcW w:w="1893" w:type="dxa"/>
          </w:tcPr>
          <w:p w14:paraId="0A0B0254"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7" w:type="dxa"/>
          </w:tcPr>
          <w:p w14:paraId="636500B1" w14:textId="77777777" w:rsidR="00BF18CF" w:rsidRDefault="00E51347">
            <w:r>
              <w:rPr>
                <w:rFonts w:ascii="Consolas" w:eastAsia="Consolas" w:hAnsi="Consolas" w:cs="Consolas"/>
                <w:sz w:val="22"/>
                <w:szCs w:val="22"/>
                <w:shd w:val="clear" w:color="auto" w:fill="EAEEF3"/>
              </w:rPr>
              <w:t>E52_Intervalle_temporel</w:t>
            </w:r>
          </w:p>
        </w:tc>
      </w:tr>
      <w:tr w:rsidR="00BF18CF" w14:paraId="1582BED5" w14:textId="77777777" w:rsidTr="00BF18CF">
        <w:tc>
          <w:tcPr>
            <w:tcW w:w="1893" w:type="dxa"/>
          </w:tcPr>
          <w:p w14:paraId="707F021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7" w:type="dxa"/>
          </w:tcPr>
          <w:p w14:paraId="5380F6A3" w14:textId="77777777" w:rsidR="00BF18CF" w:rsidRDefault="00E51347">
            <w:r>
              <w:rPr>
                <w:rFonts w:ascii="Consolas" w:eastAsia="Consolas" w:hAnsi="Consolas" w:cs="Consolas"/>
                <w:sz w:val="22"/>
                <w:szCs w:val="22"/>
                <w:shd w:val="clear" w:color="auto" w:fill="EAEEF3"/>
              </w:rPr>
              <w:t>E61_Primitive_temporelle</w:t>
            </w:r>
          </w:p>
        </w:tc>
      </w:tr>
      <w:tr w:rsidR="00BF18CF" w14:paraId="73C32A9F" w14:textId="77777777" w:rsidTr="00BF18CF">
        <w:tc>
          <w:tcPr>
            <w:tcW w:w="1893" w:type="dxa"/>
          </w:tcPr>
          <w:p w14:paraId="53DFAF45" w14:textId="77777777" w:rsidR="00BF18CF" w:rsidRDefault="00E51347">
            <w:pPr>
              <w:pBdr>
                <w:top w:val="nil"/>
                <w:left w:val="nil"/>
                <w:bottom w:val="nil"/>
                <w:right w:val="nil"/>
                <w:between w:val="nil"/>
              </w:pBdr>
              <w:spacing w:before="36" w:after="36"/>
              <w:rPr>
                <w:color w:val="000000"/>
              </w:rPr>
            </w:pPr>
            <w:r>
              <w:rPr>
                <w:b/>
                <w:color w:val="000000"/>
              </w:rPr>
              <w:lastRenderedPageBreak/>
              <w:t>Sous-propriété de</w:t>
            </w:r>
          </w:p>
        </w:tc>
        <w:tc>
          <w:tcPr>
            <w:tcW w:w="8797" w:type="dxa"/>
          </w:tcPr>
          <w:p w14:paraId="4753C541" w14:textId="77777777" w:rsidR="00BF18CF" w:rsidRDefault="00BF18CF">
            <w:pPr>
              <w:pBdr>
                <w:top w:val="nil"/>
                <w:left w:val="nil"/>
                <w:bottom w:val="nil"/>
                <w:right w:val="nil"/>
                <w:between w:val="nil"/>
              </w:pBdr>
              <w:spacing w:before="36" w:after="36"/>
              <w:rPr>
                <w:color w:val="000000"/>
              </w:rPr>
            </w:pPr>
          </w:p>
        </w:tc>
      </w:tr>
      <w:tr w:rsidR="00BF18CF" w14:paraId="37DB9B9E" w14:textId="77777777" w:rsidTr="00BF18CF">
        <w:tc>
          <w:tcPr>
            <w:tcW w:w="1893" w:type="dxa"/>
          </w:tcPr>
          <w:p w14:paraId="2147181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7" w:type="dxa"/>
          </w:tcPr>
          <w:p w14:paraId="3F72F2DB" w14:textId="77777777" w:rsidR="00BF18CF" w:rsidRDefault="00BF18CF">
            <w:pPr>
              <w:pBdr>
                <w:top w:val="nil"/>
                <w:left w:val="nil"/>
                <w:bottom w:val="nil"/>
                <w:right w:val="nil"/>
                <w:between w:val="nil"/>
              </w:pBdr>
              <w:spacing w:before="36" w:after="36"/>
              <w:rPr>
                <w:color w:val="000000"/>
              </w:rPr>
            </w:pPr>
          </w:p>
        </w:tc>
      </w:tr>
      <w:tr w:rsidR="00BF18CF" w14:paraId="76FED76B" w14:textId="77777777" w:rsidTr="00BF18CF">
        <w:tc>
          <w:tcPr>
            <w:tcW w:w="1893" w:type="dxa"/>
          </w:tcPr>
          <w:p w14:paraId="7EEDD0F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7" w:type="dxa"/>
          </w:tcPr>
          <w:p w14:paraId="04777CE4" w14:textId="77777777" w:rsidR="00BF18CF" w:rsidRDefault="00E51347">
            <w:proofErr w:type="gramStart"/>
            <w:r>
              <w:t>plusieurs</w:t>
            </w:r>
            <w:proofErr w:type="gramEnd"/>
            <w:r>
              <w:t xml:space="preserve"> à un, nécessaire (1,1:0,n)</w:t>
            </w:r>
          </w:p>
        </w:tc>
      </w:tr>
      <w:tr w:rsidR="00BF18CF" w14:paraId="0C5EEB34" w14:textId="77777777" w:rsidTr="00BF18CF">
        <w:tc>
          <w:tcPr>
            <w:tcW w:w="1893" w:type="dxa"/>
          </w:tcPr>
          <w:p w14:paraId="299B249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7" w:type="dxa"/>
          </w:tcPr>
          <w:p w14:paraId="3FD7DDD2" w14:textId="77777777" w:rsidR="00BF18CF" w:rsidRDefault="00E51347">
            <w:r>
              <w:t xml:space="preserve">Cette propriété associe une instance de </w:t>
            </w:r>
            <w:r>
              <w:rPr>
                <w:rFonts w:ascii="Consolas" w:eastAsia="Consolas" w:hAnsi="Consolas" w:cs="Consolas"/>
                <w:sz w:val="22"/>
                <w:szCs w:val="22"/>
                <w:shd w:val="clear" w:color="auto" w:fill="EAEEF3"/>
              </w:rPr>
              <w:t>E52_Intervalle_temporel</w:t>
            </w:r>
            <w:r>
              <w:t xml:space="preserve"> à une instance de </w:t>
            </w:r>
            <w:r>
              <w:rPr>
                <w:rFonts w:ascii="Consolas" w:eastAsia="Consolas" w:hAnsi="Consolas" w:cs="Consolas"/>
                <w:sz w:val="22"/>
                <w:szCs w:val="22"/>
                <w:shd w:val="clear" w:color="auto" w:fill="EAEEF3"/>
              </w:rPr>
              <w:t>E61_Primitive_temporelle</w:t>
            </w:r>
            <w:r>
              <w:t xml:space="preserve"> qui spécifie une période minimale de temps couverte par l’intervalle en question. Puisque les intervalles temporels peuvent ne pas avoir d’étendue précisément connue, le CIDOC CRM permet les énoncés portant sur les étendues minimale et maximale d’un intervalle. Cette propriété permet donc l’assignation d’une valeur de </w:t>
            </w:r>
            <w:r>
              <w:rPr>
                <w:rFonts w:ascii="Consolas" w:eastAsia="Consolas" w:hAnsi="Consolas" w:cs="Consolas"/>
                <w:sz w:val="22"/>
                <w:szCs w:val="22"/>
                <w:shd w:val="clear" w:color="auto" w:fill="EAEEF3"/>
              </w:rPr>
              <w:t>E61_Primitive_temporelle</w:t>
            </w:r>
            <w:r>
              <w:t xml:space="preserve"> comme étendue temporelle minimale (c.-à-d. comme limite temporelle interne).</w:t>
            </w:r>
          </w:p>
          <w:p w14:paraId="57658BC4" w14:textId="77777777" w:rsidR="00BF18CF" w:rsidRDefault="00E51347">
            <w:r>
              <w:t>Les primitives temporelles sont traitées par le CIDOC CRM comme des intervalles de temps spécifiques à des systèmes ou à des applications; elles ne font pas l’objet d’analyses supplémentaires.</w:t>
            </w:r>
          </w:p>
          <w:p w14:paraId="6DAFCD2B" w14:textId="77777777" w:rsidR="00BF18CF" w:rsidRDefault="00E51347">
            <w:r>
              <w:t>Si différentes sources justifient des étendues minimales différentes sans pour autant se contredire, l’intervalle le plus petit incluant l’intégralité de ces étendues constitue la meilleure estimation. Ceci devrait être pris en compte lors de l’intégration de l’information.</w:t>
            </w:r>
          </w:p>
        </w:tc>
      </w:tr>
      <w:tr w:rsidR="00BF18CF" w14:paraId="0AEA27A0" w14:textId="77777777" w:rsidTr="00BF18CF">
        <w:tc>
          <w:tcPr>
            <w:tcW w:w="1893" w:type="dxa"/>
          </w:tcPr>
          <w:p w14:paraId="3071D1A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7" w:type="dxa"/>
          </w:tcPr>
          <w:p w14:paraId="1985C4FF" w14:textId="77777777" w:rsidR="00BF18CF" w:rsidRDefault="00E51347">
            <w:pPr>
              <w:numPr>
                <w:ilvl w:val="0"/>
                <w:numId w:val="19"/>
              </w:numPr>
            </w:pPr>
            <w:r>
              <w:t>L’intervalle temporel du développement du CIDOC CRM (</w:t>
            </w:r>
            <w:r>
              <w:rPr>
                <w:rFonts w:ascii="Consolas" w:eastAsia="Consolas" w:hAnsi="Consolas" w:cs="Consolas"/>
                <w:sz w:val="22"/>
                <w:szCs w:val="22"/>
                <w:shd w:val="clear" w:color="auto" w:fill="EAEEF3"/>
              </w:rPr>
              <w:t>E52_Intervalle_temporel</w:t>
            </w:r>
            <w:r>
              <w:t>) a couvert (</w:t>
            </w:r>
            <w:r>
              <w:rPr>
                <w:rFonts w:ascii="Consolas" w:eastAsia="Consolas" w:hAnsi="Consolas" w:cs="Consolas"/>
                <w:sz w:val="22"/>
                <w:szCs w:val="22"/>
                <w:shd w:val="clear" w:color="auto" w:fill="EAEEF3"/>
              </w:rPr>
              <w:t>P81_a_couvert</w:t>
            </w:r>
            <w:r>
              <w:t>) les années 1996 à 2020 (</w:t>
            </w:r>
            <w:r>
              <w:rPr>
                <w:rFonts w:ascii="Consolas" w:eastAsia="Consolas" w:hAnsi="Consolas" w:cs="Consolas"/>
                <w:sz w:val="22"/>
                <w:szCs w:val="22"/>
                <w:shd w:val="clear" w:color="auto" w:fill="EAEEF3"/>
              </w:rPr>
              <w:t>E61_Primitive_temporelle</w:t>
            </w:r>
            <w:r>
              <w:t>)</w:t>
            </w:r>
          </w:p>
          <w:p w14:paraId="3BE33ABC" w14:textId="77777777" w:rsidR="00BF18CF" w:rsidRDefault="00E51347">
            <w:pPr>
              <w:numPr>
                <w:ilvl w:val="0"/>
                <w:numId w:val="19"/>
              </w:numPr>
            </w:pPr>
            <w:r>
              <w:t>L’intervalle temporel de la guerre de Trente Ans (</w:t>
            </w:r>
            <w:r>
              <w:rPr>
                <w:rFonts w:ascii="Consolas" w:eastAsia="Consolas" w:hAnsi="Consolas" w:cs="Consolas"/>
                <w:sz w:val="22"/>
                <w:szCs w:val="22"/>
                <w:shd w:val="clear" w:color="auto" w:fill="EAEEF3"/>
              </w:rPr>
              <w:t>E52_Intervalle_temporel</w:t>
            </w:r>
            <w:r>
              <w:t>) a couvert (</w:t>
            </w:r>
            <w:r>
              <w:rPr>
                <w:rFonts w:ascii="Consolas" w:eastAsia="Consolas" w:hAnsi="Consolas" w:cs="Consolas"/>
                <w:sz w:val="22"/>
                <w:szCs w:val="22"/>
                <w:shd w:val="clear" w:color="auto" w:fill="EAEEF3"/>
              </w:rPr>
              <w:t>P81_a_couvert</w:t>
            </w:r>
            <w:r>
              <w:t>) la période allant du 23 mai 1618 EC au 24 octobre 1648 EC (</w:t>
            </w:r>
            <w:r>
              <w:rPr>
                <w:rFonts w:ascii="Consolas" w:eastAsia="Consolas" w:hAnsi="Consolas" w:cs="Consolas"/>
                <w:sz w:val="22"/>
                <w:szCs w:val="22"/>
                <w:shd w:val="clear" w:color="auto" w:fill="EAEEF3"/>
              </w:rPr>
              <w:t>E61_Primitive_temporelle</w:t>
            </w:r>
            <w:r>
              <w:t>) (Bonney, 2014)</w:t>
            </w:r>
          </w:p>
          <w:p w14:paraId="17511ECF" w14:textId="77777777" w:rsidR="00BF18CF" w:rsidRDefault="00E51347">
            <w:pPr>
              <w:numPr>
                <w:ilvl w:val="0"/>
                <w:numId w:val="19"/>
              </w:numPr>
            </w:pPr>
            <w:r>
              <w:t>L’intervalle temporel de la Première Période Intermédiaire de l’Égypte antique (de la VII</w:t>
            </w:r>
            <w:r>
              <w:rPr>
                <w:vertAlign w:val="superscript"/>
              </w:rPr>
              <w:t>e</w:t>
            </w:r>
            <w:r>
              <w:t xml:space="preserve"> à la X</w:t>
            </w:r>
            <w:r>
              <w:rPr>
                <w:vertAlign w:val="superscript"/>
              </w:rPr>
              <w:t>e</w:t>
            </w:r>
            <w:r>
              <w:t xml:space="preserve"> dynastie) (</w:t>
            </w:r>
            <w:r>
              <w:rPr>
                <w:rFonts w:ascii="Consolas" w:eastAsia="Consolas" w:hAnsi="Consolas" w:cs="Consolas"/>
                <w:sz w:val="22"/>
                <w:szCs w:val="22"/>
                <w:shd w:val="clear" w:color="auto" w:fill="EAEEF3"/>
              </w:rPr>
              <w:t>E52_Intervalle_temporel</w:t>
            </w:r>
            <w:r>
              <w:t>) a couvert (</w:t>
            </w:r>
            <w:r>
              <w:rPr>
                <w:rFonts w:ascii="Consolas" w:eastAsia="Consolas" w:hAnsi="Consolas" w:cs="Consolas"/>
                <w:sz w:val="22"/>
                <w:szCs w:val="22"/>
                <w:shd w:val="clear" w:color="auto" w:fill="EAEEF3"/>
              </w:rPr>
              <w:t>P81_a_couvert</w:t>
            </w:r>
            <w:r>
              <w:t>) les années 2181 AEC à 2160 AEC (</w:t>
            </w:r>
            <w:r>
              <w:rPr>
                <w:rFonts w:ascii="Consolas" w:eastAsia="Consolas" w:hAnsi="Consolas" w:cs="Consolas"/>
                <w:sz w:val="22"/>
                <w:szCs w:val="22"/>
                <w:shd w:val="clear" w:color="auto" w:fill="EAEEF3"/>
              </w:rPr>
              <w:t>E61_Primitive_temporelle</w:t>
            </w:r>
            <w:r>
              <w:t>) (Reid, 1993)</w:t>
            </w:r>
          </w:p>
          <w:p w14:paraId="1E179CE1" w14:textId="77777777" w:rsidR="00BF18CF" w:rsidRDefault="00E51347">
            <w:r>
              <w:t>[Ceci décrit le consensus minimal entre deux dates conflictuelles : James Henry Breasted situe la Première Période Intermédiaire de l’Égypte antique (de la VII</w:t>
            </w:r>
            <w:r>
              <w:rPr>
                <w:vertAlign w:val="superscript"/>
              </w:rPr>
              <w:t>e</w:t>
            </w:r>
            <w:r>
              <w:t xml:space="preserve"> à la X</w:t>
            </w:r>
            <w:r>
              <w:rPr>
                <w:vertAlign w:val="superscript"/>
              </w:rPr>
              <w:t>e</w:t>
            </w:r>
            <w:r>
              <w:t xml:space="preserve"> dynastie) de 2475 AEC à 2160 AEC dans son ouvrage </w:t>
            </w:r>
            <w:r>
              <w:rPr>
                <w:i/>
              </w:rPr>
              <w:t>Ancient Records</w:t>
            </w:r>
            <w:r>
              <w:t xml:space="preserve"> publié pour la première fois en 1906 (volume 1, sections 58-75). Ian Shaw, quant à lui, date cette même période de 2181 AEC à 2125 AEC dans son ouvrage </w:t>
            </w:r>
            <w:r>
              <w:rPr>
                <w:i/>
              </w:rPr>
              <w:t>Oxford History of Ancient Egypt</w:t>
            </w:r>
            <w:r>
              <w:t xml:space="preserve"> publié en 2000 (p. 479-483)].</w:t>
            </w:r>
          </w:p>
        </w:tc>
      </w:tr>
      <w:tr w:rsidR="00BF18CF" w14:paraId="0EC0A17D" w14:textId="77777777" w:rsidTr="00BF18CF">
        <w:tc>
          <w:tcPr>
            <w:tcW w:w="1893" w:type="dxa"/>
          </w:tcPr>
          <w:p w14:paraId="53FEEE5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7" w:type="dxa"/>
          </w:tcPr>
          <w:p w14:paraId="7609F81C" w14:textId="77777777" w:rsidR="00BF18CF" w:rsidRDefault="00E51347">
            <w:r>
              <w:t>P81(</w:t>
            </w:r>
            <w:proofErr w:type="gramStart"/>
            <w:r>
              <w:t>x,y</w:t>
            </w:r>
            <w:proofErr w:type="gramEnd"/>
            <w:r>
              <w:t>) ⇒ E52(x)</w:t>
            </w:r>
          </w:p>
          <w:p w14:paraId="77804414" w14:textId="77777777" w:rsidR="00BF18CF" w:rsidRDefault="00E51347">
            <w:r>
              <w:t>P81(</w:t>
            </w:r>
            <w:proofErr w:type="gramStart"/>
            <w:r>
              <w:t>x,y</w:t>
            </w:r>
            <w:proofErr w:type="gramEnd"/>
            <w:r>
              <w:t>) ⇒ E61(y)</w:t>
            </w:r>
          </w:p>
        </w:tc>
      </w:tr>
      <w:tr w:rsidR="00BF18CF" w14:paraId="0EC9B62D" w14:textId="77777777" w:rsidTr="00BF18CF">
        <w:tc>
          <w:tcPr>
            <w:tcW w:w="1893" w:type="dxa"/>
          </w:tcPr>
          <w:p w14:paraId="0EFFF36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7" w:type="dxa"/>
          </w:tcPr>
          <w:p w14:paraId="0C28A835" w14:textId="77777777" w:rsidR="00BF18CF" w:rsidRDefault="00BF18CF">
            <w:pPr>
              <w:pBdr>
                <w:top w:val="nil"/>
                <w:left w:val="nil"/>
                <w:bottom w:val="nil"/>
                <w:right w:val="nil"/>
                <w:between w:val="nil"/>
              </w:pBdr>
              <w:spacing w:before="36" w:after="36"/>
              <w:rPr>
                <w:color w:val="000000"/>
              </w:rPr>
            </w:pPr>
          </w:p>
        </w:tc>
      </w:tr>
      <w:tr w:rsidR="00BF18CF" w14:paraId="70C02CE0" w14:textId="77777777" w:rsidTr="00BF18CF">
        <w:tc>
          <w:tcPr>
            <w:tcW w:w="1893" w:type="dxa"/>
          </w:tcPr>
          <w:p w14:paraId="6B5E834F" w14:textId="4DE44E5A"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797" w:type="dxa"/>
          </w:tcPr>
          <w:p w14:paraId="23E058EC" w14:textId="77777777" w:rsidR="00BF18CF" w:rsidRDefault="00E51347">
            <w:r>
              <w:t xml:space="preserve">La traduction de « First Intermediate Period of Ancient Egypt » (« Première Période Intermédiaire de l’Égypte antique ») est issue de l'ouvrage de Nicolas-Christophe Grimal </w:t>
            </w:r>
            <w:r>
              <w:rPr>
                <w:i/>
              </w:rPr>
              <w:t>Histoire de l’Égypte ancienne</w:t>
            </w:r>
            <w:r>
              <w:t>.</w:t>
            </w:r>
          </w:p>
        </w:tc>
      </w:tr>
      <w:tr w:rsidR="00BF18CF" w14:paraId="528C79EA" w14:textId="77777777" w:rsidTr="00BF18CF">
        <w:tc>
          <w:tcPr>
            <w:tcW w:w="1893" w:type="dxa"/>
          </w:tcPr>
          <w:p w14:paraId="178670B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7" w:type="dxa"/>
          </w:tcPr>
          <w:p w14:paraId="1B9F8A61" w14:textId="77777777" w:rsidR="00BF18CF" w:rsidRDefault="00E51347">
            <w:r>
              <w:t xml:space="preserve">Grimal, Nicolas-Christophe. </w:t>
            </w:r>
            <w:r>
              <w:rPr>
                <w:i/>
              </w:rPr>
              <w:t>Histoire de l’Égypte ancienne</w:t>
            </w:r>
            <w:r>
              <w:t>. Paris: Fayard, 1988.</w:t>
            </w:r>
          </w:p>
        </w:tc>
      </w:tr>
    </w:tbl>
    <w:p w14:paraId="722DD534" w14:textId="77777777" w:rsidR="00BF18CF" w:rsidRDefault="00E51347">
      <w:pPr>
        <w:pStyle w:val="Heading3"/>
      </w:pPr>
      <w:bookmarkStart w:id="403" w:name="bookmark=id.xevivl" w:colFirst="0" w:colLast="0"/>
      <w:bookmarkStart w:id="404" w:name="_Toc144360945"/>
      <w:bookmarkEnd w:id="403"/>
      <w:r>
        <w:t>P82 a eu lieu durant</w:t>
      </w:r>
      <w:bookmarkEnd w:id="404"/>
    </w:p>
    <w:tbl>
      <w:tblPr>
        <w:tblStyle w:val="afffff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3"/>
        <w:gridCol w:w="8797"/>
      </w:tblGrid>
      <w:tr w:rsidR="00BF18CF" w14:paraId="3F7AA60C" w14:textId="77777777" w:rsidTr="00BF18CF">
        <w:tc>
          <w:tcPr>
            <w:tcW w:w="1893" w:type="dxa"/>
          </w:tcPr>
          <w:p w14:paraId="63592BDE"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7" w:type="dxa"/>
          </w:tcPr>
          <w:p w14:paraId="6EF4C6C7" w14:textId="77777777" w:rsidR="00BF18CF" w:rsidRDefault="00E51347">
            <w:r>
              <w:rPr>
                <w:rFonts w:ascii="Consolas" w:eastAsia="Consolas" w:hAnsi="Consolas" w:cs="Consolas"/>
                <w:sz w:val="22"/>
                <w:szCs w:val="22"/>
                <w:shd w:val="clear" w:color="auto" w:fill="EAEEF3"/>
              </w:rPr>
              <w:t>E52_Intervalle_temporel</w:t>
            </w:r>
          </w:p>
        </w:tc>
      </w:tr>
      <w:tr w:rsidR="00BF18CF" w14:paraId="66F57249" w14:textId="77777777" w:rsidTr="00BF18CF">
        <w:tc>
          <w:tcPr>
            <w:tcW w:w="1893" w:type="dxa"/>
          </w:tcPr>
          <w:p w14:paraId="5F40E79C"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7" w:type="dxa"/>
          </w:tcPr>
          <w:p w14:paraId="58022FED" w14:textId="77777777" w:rsidR="00BF18CF" w:rsidRDefault="00E51347">
            <w:r>
              <w:rPr>
                <w:rFonts w:ascii="Consolas" w:eastAsia="Consolas" w:hAnsi="Consolas" w:cs="Consolas"/>
                <w:sz w:val="22"/>
                <w:szCs w:val="22"/>
                <w:shd w:val="clear" w:color="auto" w:fill="EAEEF3"/>
              </w:rPr>
              <w:t>E61_Primitive_temporelle</w:t>
            </w:r>
          </w:p>
        </w:tc>
      </w:tr>
      <w:tr w:rsidR="00BF18CF" w14:paraId="2A619404" w14:textId="77777777" w:rsidTr="00BF18CF">
        <w:tc>
          <w:tcPr>
            <w:tcW w:w="1893" w:type="dxa"/>
          </w:tcPr>
          <w:p w14:paraId="712E3687"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7" w:type="dxa"/>
          </w:tcPr>
          <w:p w14:paraId="14EEDB59" w14:textId="77777777" w:rsidR="00BF18CF" w:rsidRDefault="00BF18CF">
            <w:pPr>
              <w:pBdr>
                <w:top w:val="nil"/>
                <w:left w:val="nil"/>
                <w:bottom w:val="nil"/>
                <w:right w:val="nil"/>
                <w:between w:val="nil"/>
              </w:pBdr>
              <w:spacing w:before="36" w:after="36"/>
              <w:rPr>
                <w:color w:val="000000"/>
              </w:rPr>
            </w:pPr>
          </w:p>
        </w:tc>
      </w:tr>
      <w:tr w:rsidR="00BF18CF" w14:paraId="3CFFE2BE" w14:textId="77777777" w:rsidTr="00BF18CF">
        <w:tc>
          <w:tcPr>
            <w:tcW w:w="1893" w:type="dxa"/>
          </w:tcPr>
          <w:p w14:paraId="7C78172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7" w:type="dxa"/>
          </w:tcPr>
          <w:p w14:paraId="261CE167" w14:textId="77777777" w:rsidR="00BF18CF" w:rsidRDefault="00BF18CF">
            <w:pPr>
              <w:pBdr>
                <w:top w:val="nil"/>
                <w:left w:val="nil"/>
                <w:bottom w:val="nil"/>
                <w:right w:val="nil"/>
                <w:between w:val="nil"/>
              </w:pBdr>
              <w:spacing w:before="36" w:after="36"/>
              <w:rPr>
                <w:color w:val="000000"/>
              </w:rPr>
            </w:pPr>
          </w:p>
        </w:tc>
      </w:tr>
      <w:tr w:rsidR="00BF18CF" w14:paraId="312A6AC7" w14:textId="77777777" w:rsidTr="00BF18CF">
        <w:tc>
          <w:tcPr>
            <w:tcW w:w="1893" w:type="dxa"/>
          </w:tcPr>
          <w:p w14:paraId="3FAA60F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7" w:type="dxa"/>
          </w:tcPr>
          <w:p w14:paraId="06562086" w14:textId="77777777" w:rsidR="00BF18CF" w:rsidRDefault="00E51347">
            <w:proofErr w:type="gramStart"/>
            <w:r>
              <w:t>plusieurs</w:t>
            </w:r>
            <w:proofErr w:type="gramEnd"/>
            <w:r>
              <w:t xml:space="preserve"> à un, nécessaire (1,1:0,n)</w:t>
            </w:r>
          </w:p>
        </w:tc>
      </w:tr>
      <w:tr w:rsidR="00BF18CF" w14:paraId="5F46E7C2" w14:textId="77777777" w:rsidTr="00BF18CF">
        <w:tc>
          <w:tcPr>
            <w:tcW w:w="1893" w:type="dxa"/>
          </w:tcPr>
          <w:p w14:paraId="434F33AD"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7" w:type="dxa"/>
          </w:tcPr>
          <w:p w14:paraId="507E5674" w14:textId="77777777" w:rsidR="00BF18CF" w:rsidRDefault="00E51347">
            <w:r>
              <w:t xml:space="preserve">Cette propriété décrit la </w:t>
            </w:r>
            <w:proofErr w:type="gramStart"/>
            <w:r>
              <w:t>période de temps</w:t>
            </w:r>
            <w:proofErr w:type="gramEnd"/>
            <w:r>
              <w:t xml:space="preserve"> maximale contenant une instance de </w:t>
            </w:r>
            <w:r>
              <w:rPr>
                <w:rFonts w:ascii="Consolas" w:eastAsia="Consolas" w:hAnsi="Consolas" w:cs="Consolas"/>
                <w:sz w:val="22"/>
                <w:szCs w:val="22"/>
                <w:shd w:val="clear" w:color="auto" w:fill="EAEEF3"/>
              </w:rPr>
              <w:t>E52_Intervalle_temporel</w:t>
            </w:r>
            <w:r>
              <w:t xml:space="preserve">. Puisque les intervalles temporels peuvent ne pas avoir d’étendue précisément connue, le CIDOC CRM permet les énoncés portant sur les étendues minimale et maximale d’un intervalle. Cette propriété permet donc l’assignation d’une valeur de </w:t>
            </w:r>
            <w:r>
              <w:rPr>
                <w:rFonts w:ascii="Consolas" w:eastAsia="Consolas" w:hAnsi="Consolas" w:cs="Consolas"/>
                <w:sz w:val="22"/>
                <w:szCs w:val="22"/>
                <w:shd w:val="clear" w:color="auto" w:fill="EAEEF3"/>
              </w:rPr>
              <w:t>E61_Primitive_temporelle</w:t>
            </w:r>
            <w:r>
              <w:t xml:space="preserve"> comme étendue temporelle maximale (c.-à-d. comme limite temporelle externe).</w:t>
            </w:r>
          </w:p>
          <w:p w14:paraId="19C77B7B" w14:textId="77777777" w:rsidR="00BF18CF" w:rsidRDefault="00E51347">
            <w:r>
              <w:t>Les primitives temporelles sont traitées par le CIDOC CRM comme des intervalles de temps spécifiques à des systèmes ou à des applications; elles ne font pas l’objet d’analyses supplémentaires.</w:t>
            </w:r>
          </w:p>
          <w:p w14:paraId="14D8E146" w14:textId="77777777" w:rsidR="00BF18CF" w:rsidRDefault="00E51347">
            <w:r>
              <w:t>Si différentes sources justifient des étendues maximales différentes sans pour autant se contredire, l’intersection de ces étendues constitue la meilleure estimation. Ceci devrait être pris en compte lors de l’intégration de l’information.</w:t>
            </w:r>
          </w:p>
        </w:tc>
      </w:tr>
      <w:tr w:rsidR="00BF18CF" w14:paraId="27EF373D" w14:textId="77777777" w:rsidTr="00BF18CF">
        <w:tc>
          <w:tcPr>
            <w:tcW w:w="1893" w:type="dxa"/>
          </w:tcPr>
          <w:p w14:paraId="3E35F98F"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7" w:type="dxa"/>
          </w:tcPr>
          <w:p w14:paraId="37B3B4FF" w14:textId="77777777" w:rsidR="00BF18CF" w:rsidRDefault="00E51347">
            <w:pPr>
              <w:numPr>
                <w:ilvl w:val="0"/>
                <w:numId w:val="19"/>
              </w:numPr>
            </w:pPr>
            <w:r>
              <w:t>L’intervalle temporel du développement du CIDOC CRM (</w:t>
            </w:r>
            <w:r>
              <w:rPr>
                <w:rFonts w:ascii="Consolas" w:eastAsia="Consolas" w:hAnsi="Consolas" w:cs="Consolas"/>
                <w:sz w:val="22"/>
                <w:szCs w:val="22"/>
                <w:shd w:val="clear" w:color="auto" w:fill="EAEEF3"/>
              </w:rPr>
              <w:t>E52_Intervalle_temporel</w:t>
            </w:r>
            <w:r>
              <w:t>) a eu lieu à un moment entre (</w:t>
            </w:r>
            <w:r>
              <w:rPr>
                <w:rFonts w:ascii="Consolas" w:eastAsia="Consolas" w:hAnsi="Consolas" w:cs="Consolas"/>
                <w:sz w:val="22"/>
                <w:szCs w:val="22"/>
                <w:shd w:val="clear" w:color="auto" w:fill="EAEEF3"/>
              </w:rPr>
              <w:t>P82_a_eu_lieu_durant</w:t>
            </w:r>
            <w:r>
              <w:t>) 1992 et l’infini (</w:t>
            </w:r>
            <w:r>
              <w:rPr>
                <w:rFonts w:ascii="Consolas" w:eastAsia="Consolas" w:hAnsi="Consolas" w:cs="Consolas"/>
                <w:sz w:val="22"/>
                <w:szCs w:val="22"/>
                <w:shd w:val="clear" w:color="auto" w:fill="EAEEF3"/>
              </w:rPr>
              <w:t>E61_Primitive_temporelle</w:t>
            </w:r>
            <w:r>
              <w:t>) (ICOM/CIDOC Documentation Standards Group, 2000)</w:t>
            </w:r>
          </w:p>
          <w:p w14:paraId="04337082" w14:textId="77777777" w:rsidR="00BF18CF" w:rsidRDefault="00E51347">
            <w:pPr>
              <w:numPr>
                <w:ilvl w:val="0"/>
                <w:numId w:val="19"/>
              </w:numPr>
            </w:pPr>
            <w:r>
              <w:t>L’intervalle temporel de la Bataille de Teutobourg (</w:t>
            </w:r>
            <w:r>
              <w:rPr>
                <w:rFonts w:ascii="Consolas" w:eastAsia="Consolas" w:hAnsi="Consolas" w:cs="Consolas"/>
                <w:sz w:val="22"/>
                <w:szCs w:val="22"/>
                <w:shd w:val="clear" w:color="auto" w:fill="EAEEF3"/>
              </w:rPr>
              <w:t>E52_Intervalle_temporel</w:t>
            </w:r>
            <w:r>
              <w:t>) a eu lieu à un moment durant (</w:t>
            </w:r>
            <w:r>
              <w:rPr>
                <w:rFonts w:ascii="Consolas" w:eastAsia="Consolas" w:hAnsi="Consolas" w:cs="Consolas"/>
                <w:sz w:val="22"/>
                <w:szCs w:val="22"/>
                <w:shd w:val="clear" w:color="auto" w:fill="EAEEF3"/>
              </w:rPr>
              <w:t>P82_a_eu_lieu_durant</w:t>
            </w:r>
            <w:r>
              <w:t>) le mois de septembre de l’an 9 EC (</w:t>
            </w:r>
            <w:r>
              <w:rPr>
                <w:rFonts w:ascii="Consolas" w:eastAsia="Consolas" w:hAnsi="Consolas" w:cs="Consolas"/>
                <w:sz w:val="22"/>
                <w:szCs w:val="22"/>
                <w:shd w:val="clear" w:color="auto" w:fill="EAEEF3"/>
              </w:rPr>
              <w:t>E61_Primitive_temporelle</w:t>
            </w:r>
            <w:r>
              <w:t>) (Andrews, 1977)</w:t>
            </w:r>
          </w:p>
          <w:p w14:paraId="446FE4D9" w14:textId="77777777" w:rsidR="00BF18CF" w:rsidRDefault="00E51347">
            <w:pPr>
              <w:numPr>
                <w:ilvl w:val="0"/>
                <w:numId w:val="19"/>
              </w:numPr>
            </w:pPr>
            <w:r>
              <w:t>L’intervalle temporel du décès de Toutânkhamon (</w:t>
            </w:r>
            <w:r>
              <w:rPr>
                <w:rFonts w:ascii="Consolas" w:eastAsia="Consolas" w:hAnsi="Consolas" w:cs="Consolas"/>
                <w:sz w:val="22"/>
                <w:szCs w:val="22"/>
                <w:shd w:val="clear" w:color="auto" w:fill="EAEEF3"/>
              </w:rPr>
              <w:t>E52_Intervalle_temporel</w:t>
            </w:r>
            <w:r>
              <w:t>) a eu lieu à un moment entre (</w:t>
            </w:r>
            <w:r>
              <w:rPr>
                <w:rFonts w:ascii="Consolas" w:eastAsia="Consolas" w:hAnsi="Consolas" w:cs="Consolas"/>
                <w:sz w:val="22"/>
                <w:szCs w:val="22"/>
                <w:shd w:val="clear" w:color="auto" w:fill="EAEEF3"/>
              </w:rPr>
              <w:t>P82_a_eu_lieu_durant</w:t>
            </w:r>
            <w:r>
              <w:t>) les mois de décembre 1324 AEC et février 1323 AEC (</w:t>
            </w:r>
            <w:r>
              <w:rPr>
                <w:rFonts w:ascii="Consolas" w:eastAsia="Consolas" w:hAnsi="Consolas" w:cs="Consolas"/>
                <w:sz w:val="22"/>
                <w:szCs w:val="22"/>
                <w:shd w:val="clear" w:color="auto" w:fill="EAEEF3"/>
              </w:rPr>
              <w:t>E61_Primitive_temporelle</w:t>
            </w:r>
            <w:r>
              <w:t>) (Murdoch, 2003)</w:t>
            </w:r>
          </w:p>
          <w:p w14:paraId="13AB2676" w14:textId="77777777" w:rsidR="00BF18CF" w:rsidRDefault="00E51347">
            <w:pPr>
              <w:numPr>
                <w:ilvl w:val="0"/>
                <w:numId w:val="19"/>
              </w:numPr>
            </w:pPr>
            <w:r>
              <w:t>L’intervalle temporel de la première Période intermédiaire de l’Égypte antique (de la VII</w:t>
            </w:r>
            <w:r>
              <w:rPr>
                <w:vertAlign w:val="superscript"/>
              </w:rPr>
              <w:t>e</w:t>
            </w:r>
            <w:r>
              <w:t xml:space="preserve"> à la X</w:t>
            </w:r>
            <w:r>
              <w:rPr>
                <w:vertAlign w:val="superscript"/>
              </w:rPr>
              <w:t>e</w:t>
            </w:r>
            <w:r>
              <w:t xml:space="preserve"> dynastie) (</w:t>
            </w:r>
            <w:r>
              <w:rPr>
                <w:rFonts w:ascii="Consolas" w:eastAsia="Consolas" w:hAnsi="Consolas" w:cs="Consolas"/>
                <w:sz w:val="22"/>
                <w:szCs w:val="22"/>
                <w:shd w:val="clear" w:color="auto" w:fill="EAEEF3"/>
              </w:rPr>
              <w:t>E52_Intervalle_temporel</w:t>
            </w:r>
            <w:r>
              <w:t xml:space="preserve">) a eu lieu à </w:t>
            </w:r>
            <w:r>
              <w:lastRenderedPageBreak/>
              <w:t>un moment durant (</w:t>
            </w:r>
            <w:r>
              <w:rPr>
                <w:rFonts w:ascii="Consolas" w:eastAsia="Consolas" w:hAnsi="Consolas" w:cs="Consolas"/>
                <w:sz w:val="22"/>
                <w:szCs w:val="22"/>
                <w:shd w:val="clear" w:color="auto" w:fill="EAEEF3"/>
              </w:rPr>
              <w:t>P82_a_eu_lieu_durant</w:t>
            </w:r>
            <w:r>
              <w:t>) la période allant des années 2475 AEC à 2125 AEC (</w:t>
            </w:r>
            <w:r>
              <w:rPr>
                <w:rFonts w:ascii="Consolas" w:eastAsia="Consolas" w:hAnsi="Consolas" w:cs="Consolas"/>
                <w:sz w:val="22"/>
                <w:szCs w:val="22"/>
                <w:shd w:val="clear" w:color="auto" w:fill="EAEEF3"/>
              </w:rPr>
              <w:t>E61_Primitive_temporelle</w:t>
            </w:r>
            <w:r>
              <w:t>) (Reid, 1993)</w:t>
            </w:r>
          </w:p>
        </w:tc>
      </w:tr>
      <w:tr w:rsidR="00BF18CF" w14:paraId="4FDB947D" w14:textId="77777777" w:rsidTr="00BF18CF">
        <w:tc>
          <w:tcPr>
            <w:tcW w:w="1893" w:type="dxa"/>
          </w:tcPr>
          <w:p w14:paraId="1F26E5BF"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797" w:type="dxa"/>
          </w:tcPr>
          <w:p w14:paraId="324887E9" w14:textId="77777777" w:rsidR="00BF18CF" w:rsidRDefault="00E51347">
            <w:r>
              <w:t>P82(</w:t>
            </w:r>
            <w:proofErr w:type="gramStart"/>
            <w:r>
              <w:t>x,y</w:t>
            </w:r>
            <w:proofErr w:type="gramEnd"/>
            <w:r>
              <w:t>) ⇒ E52(x)</w:t>
            </w:r>
          </w:p>
          <w:p w14:paraId="2392BFFA" w14:textId="77777777" w:rsidR="00BF18CF" w:rsidRDefault="00E51347">
            <w:r>
              <w:t>P82(</w:t>
            </w:r>
            <w:proofErr w:type="gramStart"/>
            <w:r>
              <w:t>x,y</w:t>
            </w:r>
            <w:proofErr w:type="gramEnd"/>
            <w:r>
              <w:t>) ⇒ E61(y)</w:t>
            </w:r>
          </w:p>
        </w:tc>
      </w:tr>
      <w:tr w:rsidR="00BF18CF" w14:paraId="2E1C718D" w14:textId="77777777" w:rsidTr="00BF18CF">
        <w:tc>
          <w:tcPr>
            <w:tcW w:w="1893" w:type="dxa"/>
          </w:tcPr>
          <w:p w14:paraId="35DC61D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7" w:type="dxa"/>
          </w:tcPr>
          <w:p w14:paraId="62A34F0C" w14:textId="77777777" w:rsidR="00BF18CF" w:rsidRDefault="00BF18CF">
            <w:pPr>
              <w:pBdr>
                <w:top w:val="nil"/>
                <w:left w:val="nil"/>
                <w:bottom w:val="nil"/>
                <w:right w:val="nil"/>
                <w:between w:val="nil"/>
              </w:pBdr>
              <w:spacing w:before="36" w:after="36"/>
              <w:rPr>
                <w:color w:val="000000"/>
              </w:rPr>
            </w:pPr>
          </w:p>
        </w:tc>
      </w:tr>
      <w:tr w:rsidR="00BF18CF" w14:paraId="7B55A37E" w14:textId="77777777" w:rsidTr="00BF18CF">
        <w:tc>
          <w:tcPr>
            <w:tcW w:w="1893" w:type="dxa"/>
          </w:tcPr>
          <w:p w14:paraId="143D012C" w14:textId="44AF910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7" w:type="dxa"/>
          </w:tcPr>
          <w:p w14:paraId="0362AB63" w14:textId="77777777" w:rsidR="00BF18CF" w:rsidRDefault="00E51347">
            <w:r>
              <w:t>La traduction de « First Intermediate Period of Ancient Egypt » (« Première Période Intermédiaire de l’Égypte antique </w:t>
            </w:r>
            <w:proofErr w:type="gramStart"/>
            <w:r>
              <w:t>»)est</w:t>
            </w:r>
            <w:proofErr w:type="gramEnd"/>
            <w:r>
              <w:t xml:space="preserve"> issue de l'ouvrage de Nicolas-Christophe Grimal </w:t>
            </w:r>
            <w:r>
              <w:rPr>
                <w:i/>
              </w:rPr>
              <w:t>Histoire de l’Égypte ancienne</w:t>
            </w:r>
            <w:r>
              <w:t>.</w:t>
            </w:r>
          </w:p>
        </w:tc>
      </w:tr>
      <w:tr w:rsidR="00BF18CF" w14:paraId="71E8206C" w14:textId="77777777" w:rsidTr="00BF18CF">
        <w:tc>
          <w:tcPr>
            <w:tcW w:w="1893" w:type="dxa"/>
          </w:tcPr>
          <w:p w14:paraId="1F6E114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7" w:type="dxa"/>
          </w:tcPr>
          <w:p w14:paraId="5C98EDD0" w14:textId="77777777" w:rsidR="00BF18CF" w:rsidRDefault="00E51347">
            <w:r>
              <w:t xml:space="preserve">Grimal, Nicolas-Christophe. </w:t>
            </w:r>
            <w:r>
              <w:rPr>
                <w:i/>
              </w:rPr>
              <w:t>Histoire de l’Égypte ancienne</w:t>
            </w:r>
            <w:r>
              <w:t>. Paris: Fayard, 1988.</w:t>
            </w:r>
          </w:p>
        </w:tc>
      </w:tr>
    </w:tbl>
    <w:p w14:paraId="7130C398" w14:textId="77777777" w:rsidR="00BF18CF" w:rsidRDefault="00E51347">
      <w:pPr>
        <w:pStyle w:val="Heading3"/>
      </w:pPr>
      <w:bookmarkStart w:id="405" w:name="bookmark=id.3hej1je" w:colFirst="0" w:colLast="0"/>
      <w:bookmarkStart w:id="406" w:name="_Toc144360946"/>
      <w:bookmarkEnd w:id="405"/>
      <w:r>
        <w:t>P86 s’insère dans (contient)</w:t>
      </w:r>
      <w:bookmarkEnd w:id="406"/>
    </w:p>
    <w:tbl>
      <w:tblPr>
        <w:tblStyle w:val="afff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5"/>
        <w:gridCol w:w="8795"/>
      </w:tblGrid>
      <w:tr w:rsidR="00BF18CF" w14:paraId="4CB09296" w14:textId="77777777" w:rsidTr="00BF18CF">
        <w:tc>
          <w:tcPr>
            <w:tcW w:w="1895" w:type="dxa"/>
          </w:tcPr>
          <w:p w14:paraId="76CCA1D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5" w:type="dxa"/>
          </w:tcPr>
          <w:p w14:paraId="236AA109" w14:textId="77777777" w:rsidR="00BF18CF" w:rsidRDefault="00E51347">
            <w:r>
              <w:rPr>
                <w:rFonts w:ascii="Consolas" w:eastAsia="Consolas" w:hAnsi="Consolas" w:cs="Consolas"/>
                <w:sz w:val="22"/>
                <w:szCs w:val="22"/>
                <w:shd w:val="clear" w:color="auto" w:fill="EAEEF3"/>
              </w:rPr>
              <w:t>E52_Intervalle_temporel</w:t>
            </w:r>
          </w:p>
        </w:tc>
      </w:tr>
      <w:tr w:rsidR="00BF18CF" w14:paraId="42D71C42" w14:textId="77777777" w:rsidTr="00BF18CF">
        <w:tc>
          <w:tcPr>
            <w:tcW w:w="1895" w:type="dxa"/>
          </w:tcPr>
          <w:p w14:paraId="2CF466C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5" w:type="dxa"/>
          </w:tcPr>
          <w:p w14:paraId="371885F0" w14:textId="77777777" w:rsidR="00BF18CF" w:rsidRDefault="00E51347">
            <w:r>
              <w:rPr>
                <w:rFonts w:ascii="Consolas" w:eastAsia="Consolas" w:hAnsi="Consolas" w:cs="Consolas"/>
                <w:sz w:val="22"/>
                <w:szCs w:val="22"/>
                <w:shd w:val="clear" w:color="auto" w:fill="EAEEF3"/>
              </w:rPr>
              <w:t>E52_Intervalle_temporel</w:t>
            </w:r>
          </w:p>
        </w:tc>
      </w:tr>
      <w:tr w:rsidR="00BF18CF" w14:paraId="18C73E20" w14:textId="77777777" w:rsidTr="00BF18CF">
        <w:tc>
          <w:tcPr>
            <w:tcW w:w="1895" w:type="dxa"/>
          </w:tcPr>
          <w:p w14:paraId="5163E22C"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5" w:type="dxa"/>
          </w:tcPr>
          <w:p w14:paraId="7FE895C9" w14:textId="77777777" w:rsidR="00BF18CF" w:rsidRDefault="00BF18CF">
            <w:pPr>
              <w:pBdr>
                <w:top w:val="nil"/>
                <w:left w:val="nil"/>
                <w:bottom w:val="nil"/>
                <w:right w:val="nil"/>
                <w:between w:val="nil"/>
              </w:pBdr>
              <w:spacing w:before="36" w:after="36"/>
              <w:rPr>
                <w:color w:val="000000"/>
              </w:rPr>
            </w:pPr>
          </w:p>
        </w:tc>
      </w:tr>
      <w:tr w:rsidR="00BF18CF" w14:paraId="2926A8EE" w14:textId="77777777" w:rsidTr="00BF18CF">
        <w:tc>
          <w:tcPr>
            <w:tcW w:w="1895" w:type="dxa"/>
          </w:tcPr>
          <w:p w14:paraId="2EA72014"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5" w:type="dxa"/>
          </w:tcPr>
          <w:p w14:paraId="5C86598F" w14:textId="77777777" w:rsidR="00BF18CF" w:rsidRDefault="00BF18CF">
            <w:pPr>
              <w:pBdr>
                <w:top w:val="nil"/>
                <w:left w:val="nil"/>
                <w:bottom w:val="nil"/>
                <w:right w:val="nil"/>
                <w:between w:val="nil"/>
              </w:pBdr>
              <w:spacing w:before="36" w:after="36"/>
              <w:rPr>
                <w:color w:val="000000"/>
              </w:rPr>
            </w:pPr>
          </w:p>
        </w:tc>
      </w:tr>
      <w:tr w:rsidR="00BF18CF" w14:paraId="1734DC65" w14:textId="77777777" w:rsidTr="00BF18CF">
        <w:tc>
          <w:tcPr>
            <w:tcW w:w="1895" w:type="dxa"/>
          </w:tcPr>
          <w:p w14:paraId="4B2B6E1A"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5" w:type="dxa"/>
          </w:tcPr>
          <w:p w14:paraId="5C2BCBC3" w14:textId="77777777" w:rsidR="00BF18CF" w:rsidRDefault="00E51347">
            <w:proofErr w:type="gramStart"/>
            <w:r>
              <w:t>plusieurs</w:t>
            </w:r>
            <w:proofErr w:type="gramEnd"/>
            <w:r>
              <w:t xml:space="preserve"> à plusieurs (0,n:0,n)</w:t>
            </w:r>
          </w:p>
        </w:tc>
      </w:tr>
      <w:tr w:rsidR="00BF18CF" w14:paraId="46A41A95" w14:textId="77777777" w:rsidTr="00BF18CF">
        <w:tc>
          <w:tcPr>
            <w:tcW w:w="1895" w:type="dxa"/>
          </w:tcPr>
          <w:p w14:paraId="61F7DF6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5" w:type="dxa"/>
          </w:tcPr>
          <w:p w14:paraId="7D41CADA" w14:textId="77777777" w:rsidR="00BF18CF" w:rsidRDefault="00E51347">
            <w:r>
              <w:t xml:space="preserve">Cette propriété décrit la relation d’inclusion entre deux instances de </w:t>
            </w:r>
            <w:r>
              <w:rPr>
                <w:rFonts w:ascii="Consolas" w:eastAsia="Consolas" w:hAnsi="Consolas" w:cs="Consolas"/>
                <w:sz w:val="22"/>
                <w:szCs w:val="22"/>
                <w:shd w:val="clear" w:color="auto" w:fill="EAEEF3"/>
              </w:rPr>
              <w:t>E52_Intervalle_temporel</w:t>
            </w:r>
            <w:r>
              <w:t>.</w:t>
            </w:r>
          </w:p>
          <w:p w14:paraId="601010FE" w14:textId="77777777" w:rsidR="00BF18CF" w:rsidRDefault="00E51347">
            <w:r>
              <w:t xml:space="preserve">Cette propriété soutient l’idée que l’étendue temporelle d’une instance de </w:t>
            </w:r>
            <w:r>
              <w:rPr>
                <w:rFonts w:ascii="Consolas" w:eastAsia="Consolas" w:hAnsi="Consolas" w:cs="Consolas"/>
                <w:sz w:val="22"/>
                <w:szCs w:val="22"/>
                <w:shd w:val="clear" w:color="auto" w:fill="EAEEF3"/>
              </w:rPr>
              <w:t>E52_Intervalle_temporel</w:t>
            </w:r>
            <w:r>
              <w:t xml:space="preserve"> s’insère dans l’étendue temporelle d’une autre instance de </w:t>
            </w:r>
            <w:r>
              <w:rPr>
                <w:rFonts w:ascii="Consolas" w:eastAsia="Consolas" w:hAnsi="Consolas" w:cs="Consolas"/>
                <w:sz w:val="22"/>
                <w:szCs w:val="22"/>
                <w:shd w:val="clear" w:color="auto" w:fill="EAEEF3"/>
              </w:rPr>
              <w:t>E52_Intervalle_temporel</w:t>
            </w:r>
            <w:r>
              <w:t xml:space="preserve">. La propriété </w:t>
            </w:r>
            <w:r>
              <w:rPr>
                <w:rFonts w:ascii="Consolas" w:eastAsia="Consolas" w:hAnsi="Consolas" w:cs="Consolas"/>
                <w:sz w:val="22"/>
                <w:szCs w:val="22"/>
                <w:shd w:val="clear" w:color="auto" w:fill="EAEEF3"/>
              </w:rPr>
              <w:t>P86_s’insère_dans (contient)</w:t>
            </w:r>
            <w:r>
              <w:t xml:space="preserve"> ne traite que de l’inclusion temporelle, et n’implique aucun lien contextuel entre les deux instances de </w:t>
            </w:r>
            <w:r>
              <w:rPr>
                <w:rFonts w:ascii="Consolas" w:eastAsia="Consolas" w:hAnsi="Consolas" w:cs="Consolas"/>
                <w:sz w:val="22"/>
                <w:szCs w:val="22"/>
                <w:shd w:val="clear" w:color="auto" w:fill="EAEEF3"/>
              </w:rPr>
              <w:t>E52_Intervalle_temporel</w:t>
            </w:r>
            <w:r>
              <w:t>.</w:t>
            </w:r>
          </w:p>
          <w:p w14:paraId="6368CD98" w14:textId="77777777" w:rsidR="00BF18CF" w:rsidRDefault="00E51347">
            <w:r>
              <w:t>Cette propriété est transitive.</w:t>
            </w:r>
          </w:p>
        </w:tc>
      </w:tr>
      <w:tr w:rsidR="00BF18CF" w14:paraId="3130A750" w14:textId="77777777" w:rsidTr="00BF18CF">
        <w:tc>
          <w:tcPr>
            <w:tcW w:w="1895" w:type="dxa"/>
          </w:tcPr>
          <w:p w14:paraId="209CA23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5" w:type="dxa"/>
          </w:tcPr>
          <w:p w14:paraId="3407FAE3" w14:textId="77777777" w:rsidR="00BF18CF" w:rsidRDefault="00E51347">
            <w:pPr>
              <w:numPr>
                <w:ilvl w:val="0"/>
                <w:numId w:val="19"/>
              </w:numPr>
            </w:pPr>
            <w:r>
              <w:t>L’intervalle temporel de la mission lunaire Apollo 11 (</w:t>
            </w:r>
            <w:r>
              <w:rPr>
                <w:rFonts w:ascii="Consolas" w:eastAsia="Consolas" w:hAnsi="Consolas" w:cs="Consolas"/>
                <w:sz w:val="22"/>
                <w:szCs w:val="22"/>
                <w:shd w:val="clear" w:color="auto" w:fill="EAEEF3"/>
              </w:rPr>
              <w:t>E52_Intervalle_temporel</w:t>
            </w:r>
            <w:r>
              <w:t>) s’insère dans (</w:t>
            </w:r>
            <w:r>
              <w:rPr>
                <w:rFonts w:ascii="Consolas" w:eastAsia="Consolas" w:hAnsi="Consolas" w:cs="Consolas"/>
                <w:sz w:val="22"/>
                <w:szCs w:val="22"/>
                <w:shd w:val="clear" w:color="auto" w:fill="EAEEF3"/>
              </w:rPr>
              <w:t>P86_s’insère_dans</w:t>
            </w:r>
            <w:r>
              <w:t>) le règne de la reine Elizabeth II (</w:t>
            </w:r>
            <w:r>
              <w:rPr>
                <w:rFonts w:ascii="Consolas" w:eastAsia="Consolas" w:hAnsi="Consolas" w:cs="Consolas"/>
                <w:sz w:val="22"/>
                <w:szCs w:val="22"/>
                <w:shd w:val="clear" w:color="auto" w:fill="EAEEF3"/>
              </w:rPr>
              <w:t>E52_Intervalle_temporel</w:t>
            </w:r>
            <w:r>
              <w:t>) (Riley, 2009) (Robinson, 2000)</w:t>
            </w:r>
          </w:p>
        </w:tc>
      </w:tr>
      <w:tr w:rsidR="00BF18CF" w14:paraId="5BFD1871" w14:textId="77777777" w:rsidTr="00BF18CF">
        <w:tc>
          <w:tcPr>
            <w:tcW w:w="1895" w:type="dxa"/>
          </w:tcPr>
          <w:p w14:paraId="328F818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5" w:type="dxa"/>
          </w:tcPr>
          <w:p w14:paraId="4668ED3D" w14:textId="77777777" w:rsidR="00BF18CF" w:rsidRDefault="00E51347">
            <w:r>
              <w:t>P86(</w:t>
            </w:r>
            <w:proofErr w:type="gramStart"/>
            <w:r>
              <w:t>x,y</w:t>
            </w:r>
            <w:proofErr w:type="gramEnd"/>
            <w:r>
              <w:t>) ⇒ E52(x)</w:t>
            </w:r>
          </w:p>
          <w:p w14:paraId="426204CB" w14:textId="77777777" w:rsidR="00BF18CF" w:rsidRDefault="00E51347">
            <w:r>
              <w:t>P86(</w:t>
            </w:r>
            <w:proofErr w:type="gramStart"/>
            <w:r>
              <w:t>x,y</w:t>
            </w:r>
            <w:proofErr w:type="gramEnd"/>
            <w:r>
              <w:t>) ⇒ E52(y)</w:t>
            </w:r>
          </w:p>
          <w:p w14:paraId="455EAC19" w14:textId="77777777" w:rsidR="00BF18CF" w:rsidRDefault="00E51347">
            <w:r>
              <w:t>[P86(</w:t>
            </w:r>
            <w:proofErr w:type="gramStart"/>
            <w:r>
              <w:t>x,y</w:t>
            </w:r>
            <w:proofErr w:type="gramEnd"/>
            <w:r>
              <w:t>) ∧ P86(y,z)] ⇒ P86(x,z)</w:t>
            </w:r>
          </w:p>
        </w:tc>
      </w:tr>
      <w:tr w:rsidR="00BF18CF" w14:paraId="43FDBDBD" w14:textId="77777777" w:rsidTr="00BF18CF">
        <w:tc>
          <w:tcPr>
            <w:tcW w:w="1895" w:type="dxa"/>
          </w:tcPr>
          <w:p w14:paraId="179F8D5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5" w:type="dxa"/>
          </w:tcPr>
          <w:p w14:paraId="5EFDA708" w14:textId="77777777" w:rsidR="00BF18CF" w:rsidRDefault="00BF18CF">
            <w:pPr>
              <w:pBdr>
                <w:top w:val="nil"/>
                <w:left w:val="nil"/>
                <w:bottom w:val="nil"/>
                <w:right w:val="nil"/>
                <w:between w:val="nil"/>
              </w:pBdr>
              <w:spacing w:before="36" w:after="36"/>
              <w:rPr>
                <w:color w:val="000000"/>
              </w:rPr>
            </w:pPr>
          </w:p>
        </w:tc>
      </w:tr>
      <w:tr w:rsidR="00BF18CF" w14:paraId="4FF51AA0" w14:textId="77777777" w:rsidTr="00BF18CF">
        <w:tc>
          <w:tcPr>
            <w:tcW w:w="1895" w:type="dxa"/>
          </w:tcPr>
          <w:p w14:paraId="7864E1B6" w14:textId="531F492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5" w:type="dxa"/>
          </w:tcPr>
          <w:p w14:paraId="5133EC17" w14:textId="77777777" w:rsidR="00BF18CF" w:rsidRDefault="00BF18CF">
            <w:pPr>
              <w:pBdr>
                <w:top w:val="nil"/>
                <w:left w:val="nil"/>
                <w:bottom w:val="nil"/>
                <w:right w:val="nil"/>
                <w:between w:val="nil"/>
              </w:pBdr>
              <w:spacing w:before="36" w:after="36"/>
              <w:rPr>
                <w:color w:val="000000"/>
              </w:rPr>
            </w:pPr>
          </w:p>
        </w:tc>
      </w:tr>
      <w:tr w:rsidR="00BF18CF" w14:paraId="18E88676" w14:textId="77777777" w:rsidTr="00BF18CF">
        <w:tc>
          <w:tcPr>
            <w:tcW w:w="1895" w:type="dxa"/>
          </w:tcPr>
          <w:p w14:paraId="090B580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5" w:type="dxa"/>
          </w:tcPr>
          <w:p w14:paraId="133CA73D" w14:textId="77777777" w:rsidR="00BF18CF" w:rsidRDefault="00BF18CF">
            <w:pPr>
              <w:pBdr>
                <w:top w:val="nil"/>
                <w:left w:val="nil"/>
                <w:bottom w:val="nil"/>
                <w:right w:val="nil"/>
                <w:between w:val="nil"/>
              </w:pBdr>
              <w:spacing w:before="36" w:after="36"/>
              <w:rPr>
                <w:color w:val="000000"/>
              </w:rPr>
            </w:pPr>
          </w:p>
        </w:tc>
      </w:tr>
    </w:tbl>
    <w:p w14:paraId="2B7B124B" w14:textId="77777777" w:rsidR="00BF18CF" w:rsidRDefault="00E51347">
      <w:pPr>
        <w:pStyle w:val="Heading3"/>
      </w:pPr>
      <w:bookmarkStart w:id="407" w:name="bookmark=id.1wjtbr7" w:colFirst="0" w:colLast="0"/>
      <w:bookmarkStart w:id="408" w:name="_Toc144360947"/>
      <w:bookmarkEnd w:id="407"/>
      <w:r>
        <w:lastRenderedPageBreak/>
        <w:t>P89 s'insère dans (contient)</w:t>
      </w:r>
      <w:bookmarkEnd w:id="408"/>
    </w:p>
    <w:tbl>
      <w:tblPr>
        <w:tblStyle w:val="afff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94"/>
        <w:gridCol w:w="8696"/>
      </w:tblGrid>
      <w:tr w:rsidR="00BF18CF" w14:paraId="42A17297" w14:textId="77777777" w:rsidTr="00BF18CF">
        <w:tc>
          <w:tcPr>
            <w:tcW w:w="1994" w:type="dxa"/>
          </w:tcPr>
          <w:p w14:paraId="2B798E4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696" w:type="dxa"/>
          </w:tcPr>
          <w:p w14:paraId="71541B1F" w14:textId="77777777" w:rsidR="00BF18CF" w:rsidRDefault="00E51347">
            <w:r>
              <w:rPr>
                <w:rFonts w:ascii="Consolas" w:eastAsia="Consolas" w:hAnsi="Consolas" w:cs="Consolas"/>
                <w:sz w:val="22"/>
                <w:szCs w:val="22"/>
                <w:shd w:val="clear" w:color="auto" w:fill="EAEEF3"/>
              </w:rPr>
              <w:t>E53_Lieu</w:t>
            </w:r>
          </w:p>
        </w:tc>
      </w:tr>
      <w:tr w:rsidR="00BF18CF" w14:paraId="627F78A2" w14:textId="77777777" w:rsidTr="00BF18CF">
        <w:tc>
          <w:tcPr>
            <w:tcW w:w="1994" w:type="dxa"/>
          </w:tcPr>
          <w:p w14:paraId="46B5EE4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696" w:type="dxa"/>
          </w:tcPr>
          <w:p w14:paraId="4C8341C8" w14:textId="77777777" w:rsidR="00BF18CF" w:rsidRDefault="00E51347">
            <w:r>
              <w:rPr>
                <w:rFonts w:ascii="Consolas" w:eastAsia="Consolas" w:hAnsi="Consolas" w:cs="Consolas"/>
                <w:sz w:val="22"/>
                <w:szCs w:val="22"/>
                <w:shd w:val="clear" w:color="auto" w:fill="EAEEF3"/>
              </w:rPr>
              <w:t>E53_Lieu</w:t>
            </w:r>
          </w:p>
        </w:tc>
      </w:tr>
      <w:tr w:rsidR="00BF18CF" w14:paraId="3DD0D9D2" w14:textId="77777777" w:rsidTr="00BF18CF">
        <w:tc>
          <w:tcPr>
            <w:tcW w:w="1994" w:type="dxa"/>
          </w:tcPr>
          <w:p w14:paraId="4F43DD0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696" w:type="dxa"/>
          </w:tcPr>
          <w:p w14:paraId="7983513F" w14:textId="77777777" w:rsidR="00BF18CF" w:rsidRDefault="00BF18CF">
            <w:pPr>
              <w:pBdr>
                <w:top w:val="nil"/>
                <w:left w:val="nil"/>
                <w:bottom w:val="nil"/>
                <w:right w:val="nil"/>
                <w:between w:val="nil"/>
              </w:pBdr>
              <w:spacing w:before="36" w:after="36"/>
              <w:rPr>
                <w:color w:val="000000"/>
              </w:rPr>
            </w:pPr>
          </w:p>
        </w:tc>
      </w:tr>
      <w:tr w:rsidR="00BF18CF" w14:paraId="7A478245" w14:textId="77777777" w:rsidTr="00BF18CF">
        <w:tc>
          <w:tcPr>
            <w:tcW w:w="1994" w:type="dxa"/>
          </w:tcPr>
          <w:p w14:paraId="1041118D"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696" w:type="dxa"/>
          </w:tcPr>
          <w:p w14:paraId="2B4B13E8" w14:textId="77777777" w:rsidR="00BF18CF" w:rsidRDefault="00BF18CF">
            <w:pPr>
              <w:pBdr>
                <w:top w:val="nil"/>
                <w:left w:val="nil"/>
                <w:bottom w:val="nil"/>
                <w:right w:val="nil"/>
                <w:between w:val="nil"/>
              </w:pBdr>
              <w:spacing w:before="36" w:after="36"/>
              <w:rPr>
                <w:color w:val="000000"/>
              </w:rPr>
            </w:pPr>
          </w:p>
        </w:tc>
      </w:tr>
      <w:tr w:rsidR="00BF18CF" w14:paraId="48CC2580" w14:textId="77777777" w:rsidTr="00BF18CF">
        <w:tc>
          <w:tcPr>
            <w:tcW w:w="1994" w:type="dxa"/>
          </w:tcPr>
          <w:p w14:paraId="245D8CDA"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696" w:type="dxa"/>
          </w:tcPr>
          <w:p w14:paraId="33F13D5F" w14:textId="77777777" w:rsidR="00BF18CF" w:rsidRDefault="00E51347">
            <w:proofErr w:type="gramStart"/>
            <w:r>
              <w:t>plusieurs</w:t>
            </w:r>
            <w:proofErr w:type="gramEnd"/>
            <w:r>
              <w:t xml:space="preserve"> à plusieurs, nécessaire, dépendant (1,n:0,n)</w:t>
            </w:r>
          </w:p>
        </w:tc>
      </w:tr>
      <w:tr w:rsidR="00BF18CF" w14:paraId="1854889B" w14:textId="77777777" w:rsidTr="00BF18CF">
        <w:tc>
          <w:tcPr>
            <w:tcW w:w="1994" w:type="dxa"/>
          </w:tcPr>
          <w:p w14:paraId="5AC77DF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696" w:type="dxa"/>
          </w:tcPr>
          <w:p w14:paraId="32390843" w14:textId="77777777" w:rsidR="00BF18CF" w:rsidRDefault="00E51347">
            <w:r>
              <w:t xml:space="preserve">Cette propriété identifie une instance de </w:t>
            </w:r>
            <w:r>
              <w:rPr>
                <w:rFonts w:ascii="Consolas" w:eastAsia="Consolas" w:hAnsi="Consolas" w:cs="Consolas"/>
                <w:sz w:val="22"/>
                <w:szCs w:val="22"/>
                <w:shd w:val="clear" w:color="auto" w:fill="EAEEF3"/>
              </w:rPr>
              <w:t>E53_Lieu</w:t>
            </w:r>
            <w:r>
              <w:t xml:space="preserve"> qui s’insère complètement dans l’étendue d’une autre instance de </w:t>
            </w:r>
            <w:r>
              <w:rPr>
                <w:rFonts w:ascii="Consolas" w:eastAsia="Consolas" w:hAnsi="Consolas" w:cs="Consolas"/>
                <w:sz w:val="22"/>
                <w:szCs w:val="22"/>
                <w:shd w:val="clear" w:color="auto" w:fill="EAEEF3"/>
              </w:rPr>
              <w:t>E53_Lieu</w:t>
            </w:r>
            <w:r>
              <w:t>.</w:t>
            </w:r>
          </w:p>
          <w:p w14:paraId="50FEB267" w14:textId="77777777" w:rsidR="00BF18CF" w:rsidRDefault="00E51347">
            <w:r>
              <w:t>Cette propriété ne concerne que le confinement d’un lieu dans un autre, et n’implique aucune relation entre les choses présentes dans ces lieux ou les phénomènes s’y produisant.</w:t>
            </w:r>
          </w:p>
          <w:p w14:paraId="560EFEDF" w14:textId="77777777" w:rsidR="00BF18CF" w:rsidRDefault="00E51347">
            <w:r>
              <w:t>Cette propriété est transitive et réflexive.</w:t>
            </w:r>
          </w:p>
        </w:tc>
      </w:tr>
      <w:tr w:rsidR="00BF18CF" w14:paraId="230ADBDA" w14:textId="77777777" w:rsidTr="00BF18CF">
        <w:tc>
          <w:tcPr>
            <w:tcW w:w="1994" w:type="dxa"/>
          </w:tcPr>
          <w:p w14:paraId="7E0962B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696" w:type="dxa"/>
          </w:tcPr>
          <w:p w14:paraId="491E1B51" w14:textId="77777777" w:rsidR="00BF18CF" w:rsidRDefault="00E51347">
            <w:pPr>
              <w:numPr>
                <w:ilvl w:val="0"/>
                <w:numId w:val="19"/>
              </w:numPr>
            </w:pPr>
            <w:r>
              <w:t>Le lieu couvert par le site du patrimoine mondial Stonehenge (</w:t>
            </w:r>
            <w:r>
              <w:rPr>
                <w:rFonts w:ascii="Consolas" w:eastAsia="Consolas" w:hAnsi="Consolas" w:cs="Consolas"/>
                <w:sz w:val="22"/>
                <w:szCs w:val="22"/>
                <w:shd w:val="clear" w:color="auto" w:fill="EAEEF3"/>
              </w:rPr>
              <w:t>E53_Lieu</w:t>
            </w:r>
            <w:r>
              <w:t>) s’insère dans (</w:t>
            </w:r>
            <w:r>
              <w:rPr>
                <w:rFonts w:ascii="Consolas" w:eastAsia="Consolas" w:hAnsi="Consolas" w:cs="Consolas"/>
                <w:sz w:val="22"/>
                <w:szCs w:val="22"/>
                <w:shd w:val="clear" w:color="auto" w:fill="EAEEF3"/>
              </w:rPr>
              <w:t>P89_s’insère_dans</w:t>
            </w:r>
            <w:r>
              <w:t>) l’espace de Salisbury Plain (</w:t>
            </w:r>
            <w:r>
              <w:rPr>
                <w:rFonts w:ascii="Consolas" w:eastAsia="Consolas" w:hAnsi="Consolas" w:cs="Consolas"/>
                <w:sz w:val="22"/>
                <w:szCs w:val="22"/>
                <w:shd w:val="clear" w:color="auto" w:fill="EAEEF3"/>
              </w:rPr>
              <w:t>E53_Lieu</w:t>
            </w:r>
            <w:r>
              <w:t>) (Pryor, 2016)</w:t>
            </w:r>
          </w:p>
        </w:tc>
      </w:tr>
      <w:tr w:rsidR="00BF18CF" w14:paraId="3154AB38" w14:textId="77777777" w:rsidTr="00BF18CF">
        <w:tc>
          <w:tcPr>
            <w:tcW w:w="1994" w:type="dxa"/>
          </w:tcPr>
          <w:p w14:paraId="72A1037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696" w:type="dxa"/>
          </w:tcPr>
          <w:p w14:paraId="260F2B86" w14:textId="77777777" w:rsidR="00BF18CF" w:rsidRDefault="00E51347">
            <w:r>
              <w:t>P89(</w:t>
            </w:r>
            <w:proofErr w:type="gramStart"/>
            <w:r>
              <w:t>x,y</w:t>
            </w:r>
            <w:proofErr w:type="gramEnd"/>
            <w:r>
              <w:t>) ⇒ E53(x)</w:t>
            </w:r>
          </w:p>
          <w:p w14:paraId="2F05832E" w14:textId="77777777" w:rsidR="00BF18CF" w:rsidRDefault="00E51347">
            <w:r>
              <w:t>P89(</w:t>
            </w:r>
            <w:proofErr w:type="gramStart"/>
            <w:r>
              <w:t>x,y</w:t>
            </w:r>
            <w:proofErr w:type="gramEnd"/>
            <w:r>
              <w:t>) ⇒ E53(y)</w:t>
            </w:r>
          </w:p>
          <w:p w14:paraId="01864AD7" w14:textId="77777777" w:rsidR="00BF18CF" w:rsidRDefault="00E51347">
            <w:r>
              <w:t>[P89(</w:t>
            </w:r>
            <w:proofErr w:type="gramStart"/>
            <w:r>
              <w:t>x,y</w:t>
            </w:r>
            <w:proofErr w:type="gramEnd"/>
            <w:r>
              <w:t>) ∧ P89(y,z)] ⇒ P89(x,z)</w:t>
            </w:r>
          </w:p>
          <w:p w14:paraId="17F1C664" w14:textId="77777777" w:rsidR="00BF18CF" w:rsidRDefault="00E51347">
            <w:r>
              <w:t>P89(</w:t>
            </w:r>
            <w:proofErr w:type="gramStart"/>
            <w:r>
              <w:t>x,x</w:t>
            </w:r>
            <w:proofErr w:type="gramEnd"/>
            <w:r>
              <w:t>)</w:t>
            </w:r>
          </w:p>
        </w:tc>
      </w:tr>
      <w:tr w:rsidR="00BF18CF" w14:paraId="0E7BD324" w14:textId="77777777" w:rsidTr="00BF18CF">
        <w:tc>
          <w:tcPr>
            <w:tcW w:w="1994" w:type="dxa"/>
          </w:tcPr>
          <w:p w14:paraId="18394DD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696" w:type="dxa"/>
          </w:tcPr>
          <w:p w14:paraId="696CD031" w14:textId="77777777" w:rsidR="00BF18CF" w:rsidRDefault="00BF18CF">
            <w:pPr>
              <w:pBdr>
                <w:top w:val="nil"/>
                <w:left w:val="nil"/>
                <w:bottom w:val="nil"/>
                <w:right w:val="nil"/>
                <w:between w:val="nil"/>
              </w:pBdr>
              <w:spacing w:before="36" w:after="36"/>
              <w:rPr>
                <w:color w:val="000000"/>
              </w:rPr>
            </w:pPr>
          </w:p>
        </w:tc>
      </w:tr>
      <w:tr w:rsidR="00BF18CF" w14:paraId="114A8019" w14:textId="77777777" w:rsidTr="00BF18CF">
        <w:tc>
          <w:tcPr>
            <w:tcW w:w="1994" w:type="dxa"/>
          </w:tcPr>
          <w:p w14:paraId="3F5FB417" w14:textId="24A92EA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696" w:type="dxa"/>
          </w:tcPr>
          <w:p w14:paraId="558CB00B" w14:textId="77777777" w:rsidR="00BF18CF" w:rsidRDefault="00BF18CF">
            <w:pPr>
              <w:pBdr>
                <w:top w:val="nil"/>
                <w:left w:val="nil"/>
                <w:bottom w:val="nil"/>
                <w:right w:val="nil"/>
                <w:between w:val="nil"/>
              </w:pBdr>
              <w:spacing w:before="36" w:after="36"/>
              <w:rPr>
                <w:color w:val="000000"/>
              </w:rPr>
            </w:pPr>
          </w:p>
        </w:tc>
      </w:tr>
      <w:tr w:rsidR="00BF18CF" w14:paraId="551296EE" w14:textId="77777777" w:rsidTr="00BF18CF">
        <w:tc>
          <w:tcPr>
            <w:tcW w:w="1994" w:type="dxa"/>
          </w:tcPr>
          <w:p w14:paraId="7220FA5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696" w:type="dxa"/>
          </w:tcPr>
          <w:p w14:paraId="76311C2B" w14:textId="77777777" w:rsidR="00BF18CF" w:rsidRDefault="00BF18CF">
            <w:pPr>
              <w:pBdr>
                <w:top w:val="nil"/>
                <w:left w:val="nil"/>
                <w:bottom w:val="nil"/>
                <w:right w:val="nil"/>
                <w:between w:val="nil"/>
              </w:pBdr>
              <w:spacing w:before="36" w:after="36"/>
              <w:rPr>
                <w:color w:val="000000"/>
              </w:rPr>
            </w:pPr>
          </w:p>
        </w:tc>
      </w:tr>
    </w:tbl>
    <w:p w14:paraId="4535054C" w14:textId="77777777" w:rsidR="00BF18CF" w:rsidRDefault="00E51347">
      <w:pPr>
        <w:pStyle w:val="Heading3"/>
      </w:pPr>
      <w:bookmarkStart w:id="409" w:name="bookmark=id.4gjguf0" w:colFirst="0" w:colLast="0"/>
      <w:bookmarkStart w:id="410" w:name="_Toc144360948"/>
      <w:bookmarkEnd w:id="409"/>
      <w:r>
        <w:t>P90 a pour valeur</w:t>
      </w:r>
      <w:bookmarkEnd w:id="410"/>
    </w:p>
    <w:tbl>
      <w:tblPr>
        <w:tblStyle w:val="affff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79"/>
        <w:gridCol w:w="8711"/>
      </w:tblGrid>
      <w:tr w:rsidR="00BF18CF" w14:paraId="1F65F738" w14:textId="77777777" w:rsidTr="00BF18CF">
        <w:tc>
          <w:tcPr>
            <w:tcW w:w="1979" w:type="dxa"/>
          </w:tcPr>
          <w:p w14:paraId="1E19107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11" w:type="dxa"/>
          </w:tcPr>
          <w:p w14:paraId="4299BFF5" w14:textId="77777777" w:rsidR="00BF18CF" w:rsidRDefault="00E51347">
            <w:r>
              <w:rPr>
                <w:rFonts w:ascii="Consolas" w:eastAsia="Consolas" w:hAnsi="Consolas" w:cs="Consolas"/>
                <w:sz w:val="22"/>
                <w:szCs w:val="22"/>
                <w:shd w:val="clear" w:color="auto" w:fill="EAEEF3"/>
              </w:rPr>
              <w:t>E54_Dimension</w:t>
            </w:r>
          </w:p>
        </w:tc>
      </w:tr>
      <w:tr w:rsidR="00BF18CF" w14:paraId="491DD7F1" w14:textId="77777777" w:rsidTr="00BF18CF">
        <w:tc>
          <w:tcPr>
            <w:tcW w:w="1979" w:type="dxa"/>
          </w:tcPr>
          <w:p w14:paraId="25C9D15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11" w:type="dxa"/>
          </w:tcPr>
          <w:p w14:paraId="4A70168C" w14:textId="77777777" w:rsidR="00BF18CF" w:rsidRDefault="00E51347">
            <w:r>
              <w:rPr>
                <w:rFonts w:ascii="Consolas" w:eastAsia="Consolas" w:hAnsi="Consolas" w:cs="Consolas"/>
                <w:sz w:val="22"/>
                <w:szCs w:val="22"/>
                <w:shd w:val="clear" w:color="auto" w:fill="EAEEF3"/>
              </w:rPr>
              <w:t>E60_Nombre</w:t>
            </w:r>
          </w:p>
        </w:tc>
      </w:tr>
      <w:tr w:rsidR="00BF18CF" w14:paraId="04C51F4B" w14:textId="77777777" w:rsidTr="00BF18CF">
        <w:tc>
          <w:tcPr>
            <w:tcW w:w="1979" w:type="dxa"/>
          </w:tcPr>
          <w:p w14:paraId="18F225A6"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11" w:type="dxa"/>
          </w:tcPr>
          <w:p w14:paraId="1C9B16C4" w14:textId="77777777" w:rsidR="00BF18CF" w:rsidRDefault="00BF18CF">
            <w:pPr>
              <w:pBdr>
                <w:top w:val="nil"/>
                <w:left w:val="nil"/>
                <w:bottom w:val="nil"/>
                <w:right w:val="nil"/>
                <w:between w:val="nil"/>
              </w:pBdr>
              <w:spacing w:before="36" w:after="36"/>
              <w:rPr>
                <w:color w:val="000000"/>
              </w:rPr>
            </w:pPr>
          </w:p>
        </w:tc>
      </w:tr>
      <w:tr w:rsidR="00BF18CF" w14:paraId="4D99968A" w14:textId="77777777" w:rsidTr="00BF18CF">
        <w:tc>
          <w:tcPr>
            <w:tcW w:w="1979" w:type="dxa"/>
          </w:tcPr>
          <w:p w14:paraId="194E3BAB"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11" w:type="dxa"/>
          </w:tcPr>
          <w:p w14:paraId="6953C42B" w14:textId="77777777" w:rsidR="00BF18CF" w:rsidRDefault="00BF18CF">
            <w:pPr>
              <w:pBdr>
                <w:top w:val="nil"/>
                <w:left w:val="nil"/>
                <w:bottom w:val="nil"/>
                <w:right w:val="nil"/>
                <w:between w:val="nil"/>
              </w:pBdr>
              <w:spacing w:before="36" w:after="36"/>
              <w:rPr>
                <w:color w:val="000000"/>
              </w:rPr>
            </w:pPr>
          </w:p>
        </w:tc>
      </w:tr>
      <w:tr w:rsidR="00BF18CF" w14:paraId="53D3675B" w14:textId="77777777" w:rsidTr="00BF18CF">
        <w:tc>
          <w:tcPr>
            <w:tcW w:w="1979" w:type="dxa"/>
          </w:tcPr>
          <w:p w14:paraId="1830FBB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11" w:type="dxa"/>
          </w:tcPr>
          <w:p w14:paraId="2A3524D9" w14:textId="77777777" w:rsidR="00BF18CF" w:rsidRDefault="00E51347">
            <w:proofErr w:type="gramStart"/>
            <w:r>
              <w:t>plusieurs</w:t>
            </w:r>
            <w:proofErr w:type="gramEnd"/>
            <w:r>
              <w:t xml:space="preserve"> à un, nécessaire (1,1:0,n)</w:t>
            </w:r>
          </w:p>
        </w:tc>
      </w:tr>
      <w:tr w:rsidR="00BF18CF" w14:paraId="4CA58A7E" w14:textId="77777777" w:rsidTr="00BF18CF">
        <w:tc>
          <w:tcPr>
            <w:tcW w:w="1979" w:type="dxa"/>
          </w:tcPr>
          <w:p w14:paraId="7030F5A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11" w:type="dxa"/>
          </w:tcPr>
          <w:p w14:paraId="214E1C6F" w14:textId="77777777" w:rsidR="00BF18CF" w:rsidRDefault="00E51347">
            <w:r>
              <w:t xml:space="preserve">Cette propriété permet à une instance de </w:t>
            </w:r>
            <w:r>
              <w:rPr>
                <w:rFonts w:ascii="Consolas" w:eastAsia="Consolas" w:hAnsi="Consolas" w:cs="Consolas"/>
                <w:sz w:val="22"/>
                <w:szCs w:val="22"/>
                <w:shd w:val="clear" w:color="auto" w:fill="EAEEF3"/>
              </w:rPr>
              <w:t>E54_Dimension</w:t>
            </w:r>
            <w:r>
              <w:t xml:space="preserve"> d’être approximée par une instance de </w:t>
            </w:r>
            <w:r>
              <w:rPr>
                <w:rFonts w:ascii="Consolas" w:eastAsia="Consolas" w:hAnsi="Consolas" w:cs="Consolas"/>
                <w:sz w:val="22"/>
                <w:szCs w:val="22"/>
                <w:shd w:val="clear" w:color="auto" w:fill="EAEEF3"/>
              </w:rPr>
              <w:t>E60_Nombre</w:t>
            </w:r>
            <w:r>
              <w:t>.</w:t>
            </w:r>
          </w:p>
        </w:tc>
      </w:tr>
      <w:tr w:rsidR="00BF18CF" w14:paraId="23AE58DE" w14:textId="77777777" w:rsidTr="00BF18CF">
        <w:tc>
          <w:tcPr>
            <w:tcW w:w="1979" w:type="dxa"/>
          </w:tcPr>
          <w:p w14:paraId="05BED826"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11" w:type="dxa"/>
          </w:tcPr>
          <w:p w14:paraId="0576CB27" w14:textId="77777777" w:rsidR="00BF18CF" w:rsidRDefault="00E51347">
            <w:pPr>
              <w:numPr>
                <w:ilvl w:val="0"/>
                <w:numId w:val="19"/>
              </w:numPr>
            </w:pPr>
            <w:r>
              <w:t>Hauteur de la coupe en argent « 232 » (</w:t>
            </w:r>
            <w:r>
              <w:rPr>
                <w:rFonts w:ascii="Consolas" w:eastAsia="Consolas" w:hAnsi="Consolas" w:cs="Consolas"/>
                <w:sz w:val="22"/>
                <w:szCs w:val="22"/>
                <w:shd w:val="clear" w:color="auto" w:fill="EAEEF3"/>
              </w:rPr>
              <w:t>E54_Dimension</w:t>
            </w:r>
            <w:r>
              <w:t>) a pour valefur (</w:t>
            </w:r>
            <w:r>
              <w:rPr>
                <w:rFonts w:ascii="Consolas" w:eastAsia="Consolas" w:hAnsi="Consolas" w:cs="Consolas"/>
                <w:sz w:val="22"/>
                <w:szCs w:val="22"/>
                <w:shd w:val="clear" w:color="auto" w:fill="EAEEF3"/>
              </w:rPr>
              <w:t>P90_a_pour_valeur</w:t>
            </w:r>
            <w:r>
              <w:t>) 226 (</w:t>
            </w:r>
            <w:r>
              <w:rPr>
                <w:rFonts w:ascii="Consolas" w:eastAsia="Consolas" w:hAnsi="Consolas" w:cs="Consolas"/>
                <w:sz w:val="22"/>
                <w:szCs w:val="22"/>
                <w:shd w:val="clear" w:color="auto" w:fill="EAEEF3"/>
              </w:rPr>
              <w:t>E60_Nombre</w:t>
            </w:r>
            <w:r>
              <w:t>) (fictif)</w:t>
            </w:r>
          </w:p>
          <w:p w14:paraId="395C4420" w14:textId="77777777" w:rsidR="00BF18CF" w:rsidRDefault="00E51347">
            <w:pPr>
              <w:numPr>
                <w:ilvl w:val="0"/>
                <w:numId w:val="19"/>
              </w:numPr>
            </w:pPr>
            <w:r>
              <w:t xml:space="preserve">Le prix d’adjudication par Christie's de l’œuvre peinte </w:t>
            </w:r>
            <w:r>
              <w:rPr>
                <w:i/>
              </w:rPr>
              <w:t>Vase avec quinze tournesols</w:t>
            </w:r>
            <w:r>
              <w:t xml:space="preserve"> (</w:t>
            </w:r>
            <w:r>
              <w:rPr>
                <w:rFonts w:ascii="Consolas" w:eastAsia="Consolas" w:hAnsi="Consolas" w:cs="Consolas"/>
                <w:sz w:val="22"/>
                <w:szCs w:val="22"/>
                <w:shd w:val="clear" w:color="auto" w:fill="EAEEF3"/>
              </w:rPr>
              <w:t>E97_Valeur_monétaire</w:t>
            </w:r>
            <w:r>
              <w:t>) a pour valeur (</w:t>
            </w:r>
            <w:r>
              <w:rPr>
                <w:rFonts w:ascii="Consolas" w:eastAsia="Consolas" w:hAnsi="Consolas" w:cs="Consolas"/>
                <w:sz w:val="22"/>
                <w:szCs w:val="22"/>
                <w:shd w:val="clear" w:color="auto" w:fill="EAEEF3"/>
              </w:rPr>
              <w:t>P90_a_pour_valeur</w:t>
            </w:r>
            <w:r>
              <w:t>) 24 750 000 (</w:t>
            </w:r>
            <w:r>
              <w:rPr>
                <w:rFonts w:ascii="Consolas" w:eastAsia="Consolas" w:hAnsi="Consolas" w:cs="Consolas"/>
                <w:sz w:val="22"/>
                <w:szCs w:val="22"/>
                <w:shd w:val="clear" w:color="auto" w:fill="EAEEF3"/>
              </w:rPr>
              <w:t>E60_Nombre</w:t>
            </w:r>
            <w:r>
              <w:t>) (fictif)</w:t>
            </w:r>
          </w:p>
        </w:tc>
      </w:tr>
      <w:tr w:rsidR="00BF18CF" w14:paraId="45065EC5" w14:textId="77777777" w:rsidTr="00BF18CF">
        <w:tc>
          <w:tcPr>
            <w:tcW w:w="1979" w:type="dxa"/>
          </w:tcPr>
          <w:p w14:paraId="7293FCE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11" w:type="dxa"/>
          </w:tcPr>
          <w:p w14:paraId="325B572F" w14:textId="77777777" w:rsidR="00BF18CF" w:rsidRDefault="00E51347">
            <w:r>
              <w:t>P90(</w:t>
            </w:r>
            <w:proofErr w:type="gramStart"/>
            <w:r>
              <w:t>x,y</w:t>
            </w:r>
            <w:proofErr w:type="gramEnd"/>
            <w:r>
              <w:t>) ⇒ E54(x)</w:t>
            </w:r>
          </w:p>
          <w:p w14:paraId="752C7160" w14:textId="77777777" w:rsidR="00BF18CF" w:rsidRDefault="00E51347">
            <w:r>
              <w:t>P90(</w:t>
            </w:r>
            <w:proofErr w:type="gramStart"/>
            <w:r>
              <w:t>x,y</w:t>
            </w:r>
            <w:proofErr w:type="gramEnd"/>
            <w:r>
              <w:t>) ⇒ E60(y)</w:t>
            </w:r>
          </w:p>
        </w:tc>
      </w:tr>
      <w:tr w:rsidR="00BF18CF" w14:paraId="0D7CAD28" w14:textId="77777777" w:rsidTr="00BF18CF">
        <w:tc>
          <w:tcPr>
            <w:tcW w:w="1979" w:type="dxa"/>
          </w:tcPr>
          <w:p w14:paraId="206E7ED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11" w:type="dxa"/>
          </w:tcPr>
          <w:p w14:paraId="4A03C3D5" w14:textId="77777777" w:rsidR="00BF18CF" w:rsidRDefault="00BF18CF">
            <w:pPr>
              <w:pBdr>
                <w:top w:val="nil"/>
                <w:left w:val="nil"/>
                <w:bottom w:val="nil"/>
                <w:right w:val="nil"/>
                <w:between w:val="nil"/>
              </w:pBdr>
              <w:spacing w:before="36" w:after="36"/>
              <w:rPr>
                <w:color w:val="000000"/>
              </w:rPr>
            </w:pPr>
          </w:p>
        </w:tc>
      </w:tr>
      <w:tr w:rsidR="00BF18CF" w14:paraId="3F2ED686" w14:textId="77777777" w:rsidTr="00BF18CF">
        <w:tc>
          <w:tcPr>
            <w:tcW w:w="1979" w:type="dxa"/>
          </w:tcPr>
          <w:p w14:paraId="030B84CB" w14:textId="1DC7930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11" w:type="dxa"/>
          </w:tcPr>
          <w:p w14:paraId="6BF20821" w14:textId="77777777" w:rsidR="00BF18CF" w:rsidRDefault="00BF18CF">
            <w:pPr>
              <w:pBdr>
                <w:top w:val="nil"/>
                <w:left w:val="nil"/>
                <w:bottom w:val="nil"/>
                <w:right w:val="nil"/>
                <w:between w:val="nil"/>
              </w:pBdr>
              <w:spacing w:before="36" w:after="36"/>
              <w:rPr>
                <w:color w:val="000000"/>
              </w:rPr>
            </w:pPr>
          </w:p>
        </w:tc>
      </w:tr>
      <w:tr w:rsidR="00BF18CF" w14:paraId="5A0CD2F2" w14:textId="77777777" w:rsidTr="00BF18CF">
        <w:tc>
          <w:tcPr>
            <w:tcW w:w="1979" w:type="dxa"/>
          </w:tcPr>
          <w:p w14:paraId="02E898E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11" w:type="dxa"/>
          </w:tcPr>
          <w:p w14:paraId="303E1DDF" w14:textId="77777777" w:rsidR="00BF18CF" w:rsidRDefault="00BF18CF">
            <w:pPr>
              <w:pBdr>
                <w:top w:val="nil"/>
                <w:left w:val="nil"/>
                <w:bottom w:val="nil"/>
                <w:right w:val="nil"/>
                <w:between w:val="nil"/>
              </w:pBdr>
              <w:spacing w:before="36" w:after="36"/>
              <w:rPr>
                <w:color w:val="000000"/>
              </w:rPr>
            </w:pPr>
          </w:p>
        </w:tc>
      </w:tr>
    </w:tbl>
    <w:p w14:paraId="39058414" w14:textId="77777777" w:rsidR="00BF18CF" w:rsidRDefault="00E51347">
      <w:pPr>
        <w:pStyle w:val="Heading3"/>
      </w:pPr>
      <w:bookmarkStart w:id="411" w:name="bookmark=id.2vor4mt" w:colFirst="0" w:colLast="0"/>
      <w:bookmarkStart w:id="412" w:name="_Toc144360949"/>
      <w:bookmarkEnd w:id="411"/>
      <w:r>
        <w:t>P91 a pour unité de mesure (est l’unité de mesure de)</w:t>
      </w:r>
      <w:bookmarkEnd w:id="412"/>
    </w:p>
    <w:tbl>
      <w:tblPr>
        <w:tblStyle w:val="affff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00"/>
        <w:gridCol w:w="8690"/>
      </w:tblGrid>
      <w:tr w:rsidR="00BF18CF" w14:paraId="1B187705" w14:textId="77777777" w:rsidTr="00BF18CF">
        <w:tc>
          <w:tcPr>
            <w:tcW w:w="2000" w:type="dxa"/>
          </w:tcPr>
          <w:p w14:paraId="23A8B7E7"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690" w:type="dxa"/>
          </w:tcPr>
          <w:p w14:paraId="1AA3DB15" w14:textId="77777777" w:rsidR="00BF18CF" w:rsidRDefault="00E51347">
            <w:r>
              <w:rPr>
                <w:rFonts w:ascii="Consolas" w:eastAsia="Consolas" w:hAnsi="Consolas" w:cs="Consolas"/>
                <w:sz w:val="22"/>
                <w:szCs w:val="22"/>
                <w:shd w:val="clear" w:color="auto" w:fill="EAEEF3"/>
              </w:rPr>
              <w:t>E54_Dimension</w:t>
            </w:r>
          </w:p>
        </w:tc>
      </w:tr>
      <w:tr w:rsidR="00BF18CF" w14:paraId="118FB47B" w14:textId="77777777" w:rsidTr="00BF18CF">
        <w:tc>
          <w:tcPr>
            <w:tcW w:w="2000" w:type="dxa"/>
          </w:tcPr>
          <w:p w14:paraId="149AABB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690" w:type="dxa"/>
          </w:tcPr>
          <w:p w14:paraId="0CBB8952" w14:textId="77777777" w:rsidR="00BF18CF" w:rsidRDefault="00E51347">
            <w:r>
              <w:rPr>
                <w:rFonts w:ascii="Consolas" w:eastAsia="Consolas" w:hAnsi="Consolas" w:cs="Consolas"/>
                <w:sz w:val="22"/>
                <w:szCs w:val="22"/>
                <w:shd w:val="clear" w:color="auto" w:fill="EAEEF3"/>
              </w:rPr>
              <w:t>E58_Unité_de_mesure</w:t>
            </w:r>
          </w:p>
        </w:tc>
      </w:tr>
      <w:tr w:rsidR="00BF18CF" w14:paraId="6CF3819E" w14:textId="77777777" w:rsidTr="00BF18CF">
        <w:tc>
          <w:tcPr>
            <w:tcW w:w="2000" w:type="dxa"/>
          </w:tcPr>
          <w:p w14:paraId="510B942C"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690" w:type="dxa"/>
          </w:tcPr>
          <w:p w14:paraId="44402C62" w14:textId="77777777" w:rsidR="00BF18CF" w:rsidRDefault="00BF18CF">
            <w:pPr>
              <w:pBdr>
                <w:top w:val="nil"/>
                <w:left w:val="nil"/>
                <w:bottom w:val="nil"/>
                <w:right w:val="nil"/>
                <w:between w:val="nil"/>
              </w:pBdr>
              <w:spacing w:before="36" w:after="36"/>
              <w:rPr>
                <w:color w:val="000000"/>
              </w:rPr>
            </w:pPr>
          </w:p>
        </w:tc>
      </w:tr>
      <w:tr w:rsidR="00BF18CF" w14:paraId="57210456" w14:textId="77777777" w:rsidTr="00BF18CF">
        <w:tc>
          <w:tcPr>
            <w:tcW w:w="2000" w:type="dxa"/>
          </w:tcPr>
          <w:p w14:paraId="54C07851"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690" w:type="dxa"/>
          </w:tcPr>
          <w:p w14:paraId="76D4A73F" w14:textId="77777777" w:rsidR="00BF18CF" w:rsidRDefault="00E51347">
            <w:r>
              <w:rPr>
                <w:rFonts w:ascii="Consolas" w:eastAsia="Consolas" w:hAnsi="Consolas" w:cs="Consolas"/>
                <w:sz w:val="22"/>
                <w:szCs w:val="22"/>
                <w:shd w:val="clear" w:color="auto" w:fill="EAEEF3"/>
              </w:rPr>
              <w:t>E97_Valeur_monétaire</w:t>
            </w:r>
            <w:r>
              <w:t xml:space="preserve">. </w:t>
            </w:r>
            <w:r>
              <w:rPr>
                <w:rFonts w:ascii="Consolas" w:eastAsia="Consolas" w:hAnsi="Consolas" w:cs="Consolas"/>
                <w:sz w:val="22"/>
                <w:szCs w:val="22"/>
                <w:shd w:val="clear" w:color="auto" w:fill="EAEEF3"/>
              </w:rPr>
              <w:t xml:space="preserve">P180_a_pour_unité_monétaire </w:t>
            </w:r>
            <w:r>
              <w:t xml:space="preserve">: </w:t>
            </w:r>
            <w:r>
              <w:rPr>
                <w:rFonts w:ascii="Consolas" w:eastAsia="Consolas" w:hAnsi="Consolas" w:cs="Consolas"/>
                <w:sz w:val="22"/>
                <w:szCs w:val="22"/>
                <w:shd w:val="clear" w:color="auto" w:fill="EAEEF3"/>
              </w:rPr>
              <w:t>E98_Unité_monétaire</w:t>
            </w:r>
          </w:p>
        </w:tc>
      </w:tr>
      <w:tr w:rsidR="00BF18CF" w14:paraId="69C7438D" w14:textId="77777777" w:rsidTr="00BF18CF">
        <w:tc>
          <w:tcPr>
            <w:tcW w:w="2000" w:type="dxa"/>
          </w:tcPr>
          <w:p w14:paraId="28B0392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690" w:type="dxa"/>
          </w:tcPr>
          <w:p w14:paraId="0B8E3656" w14:textId="77777777" w:rsidR="00BF18CF" w:rsidRDefault="00E51347">
            <w:proofErr w:type="gramStart"/>
            <w:r>
              <w:t>plusieurs</w:t>
            </w:r>
            <w:proofErr w:type="gramEnd"/>
            <w:r>
              <w:t xml:space="preserve"> à un, nécessaire (1,1:0,n)</w:t>
            </w:r>
          </w:p>
        </w:tc>
      </w:tr>
      <w:tr w:rsidR="00BF18CF" w14:paraId="28EF0B58" w14:textId="77777777" w:rsidTr="00BF18CF">
        <w:tc>
          <w:tcPr>
            <w:tcW w:w="2000" w:type="dxa"/>
          </w:tcPr>
          <w:p w14:paraId="1C776EE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690" w:type="dxa"/>
          </w:tcPr>
          <w:p w14:paraId="2CE6AFB2" w14:textId="77777777" w:rsidR="00BF18CF" w:rsidRDefault="00E51347">
            <w:r>
              <w:t xml:space="preserve">Cette propriété indique le type d'unité dans lequel une instance de </w:t>
            </w:r>
            <w:r>
              <w:rPr>
                <w:rFonts w:ascii="Consolas" w:eastAsia="Consolas" w:hAnsi="Consolas" w:cs="Consolas"/>
                <w:sz w:val="22"/>
                <w:szCs w:val="22"/>
                <w:shd w:val="clear" w:color="auto" w:fill="EAEEF3"/>
              </w:rPr>
              <w:t>E54_Dimension</w:t>
            </w:r>
            <w:r>
              <w:t xml:space="preserve"> a été exprimée.</w:t>
            </w:r>
          </w:p>
        </w:tc>
      </w:tr>
      <w:tr w:rsidR="00BF18CF" w14:paraId="10C14CCD" w14:textId="77777777" w:rsidTr="00BF18CF">
        <w:tc>
          <w:tcPr>
            <w:tcW w:w="2000" w:type="dxa"/>
          </w:tcPr>
          <w:p w14:paraId="7592F3F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690" w:type="dxa"/>
          </w:tcPr>
          <w:p w14:paraId="21A6A2D3" w14:textId="77777777" w:rsidR="00BF18CF" w:rsidRDefault="00E51347">
            <w:pPr>
              <w:numPr>
                <w:ilvl w:val="0"/>
                <w:numId w:val="19"/>
              </w:numPr>
            </w:pPr>
            <w:r>
              <w:t>Hauteur de la coupe en argent « 232 » (</w:t>
            </w:r>
            <w:r>
              <w:rPr>
                <w:rFonts w:ascii="Consolas" w:eastAsia="Consolas" w:hAnsi="Consolas" w:cs="Consolas"/>
                <w:sz w:val="22"/>
                <w:szCs w:val="22"/>
                <w:shd w:val="clear" w:color="auto" w:fill="EAEEF3"/>
              </w:rPr>
              <w:t>E54_Dimension</w:t>
            </w:r>
            <w:r>
              <w:t>) a pour unité de mesure (</w:t>
            </w:r>
            <w:r>
              <w:rPr>
                <w:rFonts w:ascii="Consolas" w:eastAsia="Consolas" w:hAnsi="Consolas" w:cs="Consolas"/>
                <w:sz w:val="22"/>
                <w:szCs w:val="22"/>
                <w:shd w:val="clear" w:color="auto" w:fill="EAEEF3"/>
              </w:rPr>
              <w:t>P91_a_pour_unité_de_mesure</w:t>
            </w:r>
            <w:r>
              <w:t>) mm (</w:t>
            </w:r>
            <w:r>
              <w:rPr>
                <w:rFonts w:ascii="Consolas" w:eastAsia="Consolas" w:hAnsi="Consolas" w:cs="Consolas"/>
                <w:sz w:val="22"/>
                <w:szCs w:val="22"/>
                <w:shd w:val="clear" w:color="auto" w:fill="EAEEF3"/>
              </w:rPr>
              <w:t>E58_Unité_de_mesure</w:t>
            </w:r>
            <w:r>
              <w:t>) (fictif)</w:t>
            </w:r>
          </w:p>
        </w:tc>
      </w:tr>
      <w:tr w:rsidR="00BF18CF" w14:paraId="7D596985" w14:textId="77777777" w:rsidTr="00BF18CF">
        <w:tc>
          <w:tcPr>
            <w:tcW w:w="2000" w:type="dxa"/>
          </w:tcPr>
          <w:p w14:paraId="62AC0746"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690" w:type="dxa"/>
          </w:tcPr>
          <w:p w14:paraId="7C9FE81C" w14:textId="77777777" w:rsidR="00BF18CF" w:rsidRDefault="00E51347">
            <w:r>
              <w:t>P91(</w:t>
            </w:r>
            <w:proofErr w:type="gramStart"/>
            <w:r>
              <w:t>x,y</w:t>
            </w:r>
            <w:proofErr w:type="gramEnd"/>
            <w:r>
              <w:t>) ⇒ E54(x)</w:t>
            </w:r>
          </w:p>
          <w:p w14:paraId="1D9878A7" w14:textId="77777777" w:rsidR="00BF18CF" w:rsidRDefault="00E51347">
            <w:r>
              <w:t>P91(</w:t>
            </w:r>
            <w:proofErr w:type="gramStart"/>
            <w:r>
              <w:t>x,y</w:t>
            </w:r>
            <w:proofErr w:type="gramEnd"/>
            <w:r>
              <w:t>) ⇒ E58(y)</w:t>
            </w:r>
          </w:p>
        </w:tc>
      </w:tr>
      <w:tr w:rsidR="00BF18CF" w14:paraId="069F3D55" w14:textId="77777777" w:rsidTr="00BF18CF">
        <w:tc>
          <w:tcPr>
            <w:tcW w:w="2000" w:type="dxa"/>
          </w:tcPr>
          <w:p w14:paraId="6A31FEC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690" w:type="dxa"/>
          </w:tcPr>
          <w:p w14:paraId="1B076AF7" w14:textId="77777777" w:rsidR="00BF18CF" w:rsidRDefault="00BF18CF">
            <w:pPr>
              <w:pBdr>
                <w:top w:val="nil"/>
                <w:left w:val="nil"/>
                <w:bottom w:val="nil"/>
                <w:right w:val="nil"/>
                <w:between w:val="nil"/>
              </w:pBdr>
              <w:spacing w:before="36" w:after="36"/>
              <w:rPr>
                <w:color w:val="000000"/>
              </w:rPr>
            </w:pPr>
          </w:p>
        </w:tc>
      </w:tr>
      <w:tr w:rsidR="00BF18CF" w14:paraId="340EFCCA" w14:textId="77777777" w:rsidTr="00BF18CF">
        <w:tc>
          <w:tcPr>
            <w:tcW w:w="2000" w:type="dxa"/>
          </w:tcPr>
          <w:p w14:paraId="260090D1" w14:textId="68DE13B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690" w:type="dxa"/>
          </w:tcPr>
          <w:p w14:paraId="7EC05878" w14:textId="77777777" w:rsidR="00BF18CF" w:rsidRDefault="00BF18CF">
            <w:pPr>
              <w:pBdr>
                <w:top w:val="nil"/>
                <w:left w:val="nil"/>
                <w:bottom w:val="nil"/>
                <w:right w:val="nil"/>
                <w:between w:val="nil"/>
              </w:pBdr>
              <w:spacing w:before="36" w:after="36"/>
              <w:rPr>
                <w:color w:val="000000"/>
              </w:rPr>
            </w:pPr>
          </w:p>
        </w:tc>
      </w:tr>
      <w:tr w:rsidR="00BF18CF" w14:paraId="041F60D0" w14:textId="77777777" w:rsidTr="00BF18CF">
        <w:tc>
          <w:tcPr>
            <w:tcW w:w="2000" w:type="dxa"/>
          </w:tcPr>
          <w:p w14:paraId="3E049B5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690" w:type="dxa"/>
          </w:tcPr>
          <w:p w14:paraId="51C816CC" w14:textId="77777777" w:rsidR="00BF18CF" w:rsidRDefault="00BF18CF">
            <w:pPr>
              <w:pBdr>
                <w:top w:val="nil"/>
                <w:left w:val="nil"/>
                <w:bottom w:val="nil"/>
                <w:right w:val="nil"/>
                <w:between w:val="nil"/>
              </w:pBdr>
              <w:spacing w:before="36" w:after="36"/>
              <w:rPr>
                <w:color w:val="000000"/>
              </w:rPr>
            </w:pPr>
          </w:p>
        </w:tc>
      </w:tr>
    </w:tbl>
    <w:p w14:paraId="42D1B0BA" w14:textId="77777777" w:rsidR="00BF18CF" w:rsidRDefault="00E51347">
      <w:pPr>
        <w:pStyle w:val="Heading3"/>
      </w:pPr>
      <w:bookmarkStart w:id="413" w:name="bookmark=id.1au1eum" w:colFirst="0" w:colLast="0"/>
      <w:bookmarkStart w:id="414" w:name="_Toc144360950"/>
      <w:bookmarkEnd w:id="413"/>
      <w:r>
        <w:t>P92 a fait exister (a commencé à exister par)</w:t>
      </w:r>
      <w:bookmarkEnd w:id="414"/>
    </w:p>
    <w:tbl>
      <w:tblPr>
        <w:tblStyle w:val="afffff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14"/>
        <w:gridCol w:w="8776"/>
      </w:tblGrid>
      <w:tr w:rsidR="00BF18CF" w14:paraId="78D3F011" w14:textId="77777777" w:rsidTr="00BF18CF">
        <w:tc>
          <w:tcPr>
            <w:tcW w:w="1914" w:type="dxa"/>
          </w:tcPr>
          <w:p w14:paraId="0175AD0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76" w:type="dxa"/>
          </w:tcPr>
          <w:p w14:paraId="1A7AEC9D" w14:textId="77777777" w:rsidR="00BF18CF" w:rsidRDefault="00E51347">
            <w:r>
              <w:rPr>
                <w:rFonts w:ascii="Consolas" w:eastAsia="Consolas" w:hAnsi="Consolas" w:cs="Consolas"/>
                <w:sz w:val="22"/>
                <w:szCs w:val="22"/>
                <w:shd w:val="clear" w:color="auto" w:fill="EAEEF3"/>
              </w:rPr>
              <w:t>E63_Début_d’existence</w:t>
            </w:r>
          </w:p>
        </w:tc>
      </w:tr>
      <w:tr w:rsidR="00BF18CF" w14:paraId="207760F3" w14:textId="77777777" w:rsidTr="00BF18CF">
        <w:tc>
          <w:tcPr>
            <w:tcW w:w="1914" w:type="dxa"/>
          </w:tcPr>
          <w:p w14:paraId="75ADA7E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76" w:type="dxa"/>
          </w:tcPr>
          <w:p w14:paraId="220E7A52" w14:textId="77777777" w:rsidR="00BF18CF" w:rsidRDefault="00E51347">
            <w:r>
              <w:rPr>
                <w:rFonts w:ascii="Consolas" w:eastAsia="Consolas" w:hAnsi="Consolas" w:cs="Consolas"/>
                <w:sz w:val="22"/>
                <w:szCs w:val="22"/>
                <w:shd w:val="clear" w:color="auto" w:fill="EAEEF3"/>
              </w:rPr>
              <w:t>E77_Entité_persistante</w:t>
            </w:r>
          </w:p>
        </w:tc>
      </w:tr>
      <w:tr w:rsidR="00BF18CF" w14:paraId="3DD4D7C8" w14:textId="77777777" w:rsidTr="00BF18CF">
        <w:tc>
          <w:tcPr>
            <w:tcW w:w="1914" w:type="dxa"/>
          </w:tcPr>
          <w:p w14:paraId="1ECF16D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76" w:type="dxa"/>
          </w:tcPr>
          <w:p w14:paraId="09AC9B77"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P12_a_eu_lieu_en_présence_de (a_été_présent_à)</w:t>
            </w:r>
            <w:r>
              <w:t xml:space="preserve"> : </w:t>
            </w:r>
            <w:r>
              <w:rPr>
                <w:rFonts w:ascii="Consolas" w:eastAsia="Consolas" w:hAnsi="Consolas" w:cs="Consolas"/>
                <w:sz w:val="22"/>
                <w:szCs w:val="22"/>
                <w:shd w:val="clear" w:color="auto" w:fill="EAEEF3"/>
              </w:rPr>
              <w:t>E77_Entité_persistante</w:t>
            </w:r>
          </w:p>
        </w:tc>
      </w:tr>
      <w:tr w:rsidR="00BF18CF" w14:paraId="40D2B761" w14:textId="77777777" w:rsidTr="00BF18CF">
        <w:tc>
          <w:tcPr>
            <w:tcW w:w="1914" w:type="dxa"/>
          </w:tcPr>
          <w:p w14:paraId="2966EC4C" w14:textId="77777777" w:rsidR="00BF18CF" w:rsidRDefault="00E51347">
            <w:pPr>
              <w:pBdr>
                <w:top w:val="nil"/>
                <w:left w:val="nil"/>
                <w:bottom w:val="nil"/>
                <w:right w:val="nil"/>
                <w:between w:val="nil"/>
              </w:pBdr>
              <w:spacing w:before="36" w:after="36"/>
              <w:rPr>
                <w:color w:val="000000"/>
              </w:rPr>
            </w:pPr>
            <w:r>
              <w:rPr>
                <w:b/>
                <w:color w:val="000000"/>
              </w:rPr>
              <w:lastRenderedPageBreak/>
              <w:t>Super-propriété de</w:t>
            </w:r>
          </w:p>
        </w:tc>
        <w:tc>
          <w:tcPr>
            <w:tcW w:w="8776" w:type="dxa"/>
          </w:tcPr>
          <w:p w14:paraId="6C83F4E0" w14:textId="77777777" w:rsidR="00BF18CF" w:rsidRDefault="00E51347">
            <w:r>
              <w:rPr>
                <w:rFonts w:ascii="Consolas" w:eastAsia="Consolas" w:hAnsi="Consolas" w:cs="Consolas"/>
                <w:sz w:val="22"/>
                <w:szCs w:val="22"/>
                <w:shd w:val="clear" w:color="auto" w:fill="EAEEF3"/>
              </w:rPr>
              <w:t>E65_Création</w:t>
            </w:r>
            <w:r>
              <w:t xml:space="preserve">. </w:t>
            </w:r>
            <w:r>
              <w:rPr>
                <w:rFonts w:ascii="Consolas" w:eastAsia="Consolas" w:hAnsi="Consolas" w:cs="Consolas"/>
                <w:sz w:val="22"/>
                <w:szCs w:val="22"/>
                <w:shd w:val="clear" w:color="auto" w:fill="EAEEF3"/>
              </w:rPr>
              <w:t>P94_a_créé (a_été_créé_par)</w:t>
            </w:r>
            <w:r>
              <w:t xml:space="preserve"> : </w:t>
            </w:r>
            <w:r>
              <w:rPr>
                <w:rFonts w:ascii="Consolas" w:eastAsia="Consolas" w:hAnsi="Consolas" w:cs="Consolas"/>
                <w:sz w:val="22"/>
                <w:szCs w:val="22"/>
                <w:shd w:val="clear" w:color="auto" w:fill="EAEEF3"/>
              </w:rPr>
              <w:t>E28_Objet_conceptuel</w:t>
            </w:r>
          </w:p>
          <w:p w14:paraId="1D562A57" w14:textId="77777777" w:rsidR="00BF18CF" w:rsidRDefault="00E51347">
            <w:r>
              <w:rPr>
                <w:rFonts w:ascii="Consolas" w:eastAsia="Consolas" w:hAnsi="Consolas" w:cs="Consolas"/>
                <w:sz w:val="22"/>
                <w:szCs w:val="22"/>
                <w:shd w:val="clear" w:color="auto" w:fill="EAEEF3"/>
              </w:rPr>
              <w:t>E66_Formation</w:t>
            </w:r>
            <w:r>
              <w:t xml:space="preserve">. </w:t>
            </w:r>
            <w:r>
              <w:rPr>
                <w:rFonts w:ascii="Consolas" w:eastAsia="Consolas" w:hAnsi="Consolas" w:cs="Consolas"/>
                <w:sz w:val="22"/>
                <w:szCs w:val="22"/>
                <w:shd w:val="clear" w:color="auto" w:fill="EAEEF3"/>
              </w:rPr>
              <w:t>P95_a_fondé (a_été_fondé_par)</w:t>
            </w:r>
            <w:r>
              <w:t xml:space="preserve"> : </w:t>
            </w:r>
            <w:r>
              <w:rPr>
                <w:rFonts w:ascii="Consolas" w:eastAsia="Consolas" w:hAnsi="Consolas" w:cs="Consolas"/>
                <w:sz w:val="22"/>
                <w:szCs w:val="22"/>
                <w:shd w:val="clear" w:color="auto" w:fill="EAEEF3"/>
              </w:rPr>
              <w:t>E74_Groupe</w:t>
            </w:r>
          </w:p>
          <w:p w14:paraId="0DA313EA" w14:textId="77777777" w:rsidR="00BF18CF" w:rsidRDefault="00E51347">
            <w:r>
              <w:rPr>
                <w:rFonts w:ascii="Consolas" w:eastAsia="Consolas" w:hAnsi="Consolas" w:cs="Consolas"/>
                <w:sz w:val="22"/>
                <w:szCs w:val="22"/>
                <w:shd w:val="clear" w:color="auto" w:fill="EAEEF3"/>
              </w:rPr>
              <w:t>E67_Naissance</w:t>
            </w:r>
            <w:r>
              <w:t xml:space="preserve">. </w:t>
            </w:r>
            <w:r>
              <w:rPr>
                <w:rFonts w:ascii="Consolas" w:eastAsia="Consolas" w:hAnsi="Consolas" w:cs="Consolas"/>
                <w:sz w:val="22"/>
                <w:szCs w:val="22"/>
                <w:shd w:val="clear" w:color="auto" w:fill="EAEEF3"/>
              </w:rPr>
              <w:t>P98_a_donné_vie_à (est_né)</w:t>
            </w:r>
            <w:r>
              <w:t xml:space="preserve"> : </w:t>
            </w:r>
            <w:r>
              <w:rPr>
                <w:rFonts w:ascii="Consolas" w:eastAsia="Consolas" w:hAnsi="Consolas" w:cs="Consolas"/>
                <w:sz w:val="22"/>
                <w:szCs w:val="22"/>
                <w:shd w:val="clear" w:color="auto" w:fill="EAEEF3"/>
              </w:rPr>
              <w:t>E21_Personne</w:t>
            </w:r>
          </w:p>
          <w:p w14:paraId="443FB659" w14:textId="77777777" w:rsidR="00BF18CF" w:rsidRDefault="00E51347">
            <w:r>
              <w:rPr>
                <w:rFonts w:ascii="Consolas" w:eastAsia="Consolas" w:hAnsi="Consolas" w:cs="Consolas"/>
                <w:sz w:val="22"/>
                <w:szCs w:val="22"/>
                <w:shd w:val="clear" w:color="auto" w:fill="EAEEF3"/>
              </w:rPr>
              <w:t>E12_Production</w:t>
            </w:r>
            <w:r>
              <w:t xml:space="preserve">. </w:t>
            </w:r>
            <w:r>
              <w:rPr>
                <w:rFonts w:ascii="Consolas" w:eastAsia="Consolas" w:hAnsi="Consolas" w:cs="Consolas"/>
                <w:sz w:val="22"/>
                <w:szCs w:val="22"/>
                <w:shd w:val="clear" w:color="auto" w:fill="EAEEF3"/>
              </w:rPr>
              <w:t>P108_a_produit (a_été_produit_par)</w:t>
            </w:r>
            <w:r>
              <w:t xml:space="preserve"> : </w:t>
            </w:r>
            <w:r>
              <w:rPr>
                <w:rFonts w:ascii="Consolas" w:eastAsia="Consolas" w:hAnsi="Consolas" w:cs="Consolas"/>
                <w:sz w:val="22"/>
                <w:szCs w:val="22"/>
                <w:shd w:val="clear" w:color="auto" w:fill="EAEEF3"/>
              </w:rPr>
              <w:t>E24_Chose_matérielle_élaborée_par_l’humain</w:t>
            </w:r>
          </w:p>
          <w:p w14:paraId="5B4352F7" w14:textId="77777777" w:rsidR="00BF18CF" w:rsidRDefault="00E51347">
            <w:r>
              <w:rPr>
                <w:rFonts w:ascii="Consolas" w:eastAsia="Consolas" w:hAnsi="Consolas" w:cs="Consolas"/>
                <w:sz w:val="22"/>
                <w:szCs w:val="22"/>
                <w:shd w:val="clear" w:color="auto" w:fill="EAEEF3"/>
              </w:rPr>
              <w:t>E81_Transformation</w:t>
            </w:r>
            <w:r>
              <w:t xml:space="preserve">. </w:t>
            </w:r>
            <w:r>
              <w:rPr>
                <w:rFonts w:ascii="Consolas" w:eastAsia="Consolas" w:hAnsi="Consolas" w:cs="Consolas"/>
                <w:sz w:val="22"/>
                <w:szCs w:val="22"/>
                <w:shd w:val="clear" w:color="auto" w:fill="EAEEF3"/>
              </w:rPr>
              <w:t>P123_a_eu_pour_résultat (a_résulté_de)</w:t>
            </w:r>
            <w:r>
              <w:t xml:space="preserve"> : </w:t>
            </w:r>
            <w:r>
              <w:rPr>
                <w:rFonts w:ascii="Consolas" w:eastAsia="Consolas" w:hAnsi="Consolas" w:cs="Consolas"/>
                <w:sz w:val="22"/>
                <w:szCs w:val="22"/>
                <w:shd w:val="clear" w:color="auto" w:fill="EAEEF3"/>
              </w:rPr>
              <w:t>E18_Chose_matérielle</w:t>
            </w:r>
          </w:p>
        </w:tc>
      </w:tr>
      <w:tr w:rsidR="00BF18CF" w14:paraId="5A70AC3C" w14:textId="77777777" w:rsidTr="00BF18CF">
        <w:tc>
          <w:tcPr>
            <w:tcW w:w="1914" w:type="dxa"/>
          </w:tcPr>
          <w:p w14:paraId="6ED1E26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76" w:type="dxa"/>
          </w:tcPr>
          <w:p w14:paraId="04E82F71" w14:textId="77777777" w:rsidR="00BF18CF" w:rsidRDefault="00E51347">
            <w:proofErr w:type="gramStart"/>
            <w:r>
              <w:t>un</w:t>
            </w:r>
            <w:proofErr w:type="gramEnd"/>
            <w:r>
              <w:t xml:space="preserve"> à plusieurs, nécessaire, dépendant (1,n:1,1)</w:t>
            </w:r>
          </w:p>
        </w:tc>
      </w:tr>
      <w:tr w:rsidR="00BF18CF" w14:paraId="35D98128" w14:textId="77777777" w:rsidTr="00BF18CF">
        <w:tc>
          <w:tcPr>
            <w:tcW w:w="1914" w:type="dxa"/>
          </w:tcPr>
          <w:p w14:paraId="2F8C5DC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76" w:type="dxa"/>
          </w:tcPr>
          <w:p w14:paraId="36F5746E" w14:textId="77777777" w:rsidR="00BF18CF" w:rsidRDefault="00E51347">
            <w:r>
              <w:t xml:space="preserve">Cette propriété lie une instance de </w:t>
            </w:r>
            <w:r>
              <w:rPr>
                <w:rFonts w:ascii="Consolas" w:eastAsia="Consolas" w:hAnsi="Consolas" w:cs="Consolas"/>
                <w:sz w:val="22"/>
                <w:szCs w:val="22"/>
                <w:shd w:val="clear" w:color="auto" w:fill="EAEEF3"/>
              </w:rPr>
              <w:t>E63_Début_d’existence</w:t>
            </w:r>
            <w:r>
              <w:t xml:space="preserve"> à une instance de </w:t>
            </w:r>
            <w:r>
              <w:rPr>
                <w:rFonts w:ascii="Consolas" w:eastAsia="Consolas" w:hAnsi="Consolas" w:cs="Consolas"/>
                <w:sz w:val="22"/>
                <w:szCs w:val="22"/>
                <w:shd w:val="clear" w:color="auto" w:fill="EAEEF3"/>
              </w:rPr>
              <w:t>E77_Entité_persistante</w:t>
            </w:r>
            <w:r>
              <w:t xml:space="preserve"> ayant été mise au monde par la première.</w:t>
            </w:r>
          </w:p>
          <w:p w14:paraId="01806619" w14:textId="77777777" w:rsidR="00BF18CF" w:rsidRDefault="00E51347">
            <w:r>
              <w:t xml:space="preserve">Elle permet d’associer un « début » à une instance documentée de </w:t>
            </w:r>
            <w:r>
              <w:rPr>
                <w:rFonts w:ascii="Consolas" w:eastAsia="Consolas" w:hAnsi="Consolas" w:cs="Consolas"/>
                <w:sz w:val="22"/>
                <w:szCs w:val="22"/>
                <w:shd w:val="clear" w:color="auto" w:fill="EAEEF3"/>
              </w:rPr>
              <w:t>E77_Entité_persistante</w:t>
            </w:r>
            <w:r>
              <w:t xml:space="preserve">, c.-à-d. à une instance de </w:t>
            </w:r>
            <w:r>
              <w:rPr>
                <w:rFonts w:ascii="Consolas" w:eastAsia="Consolas" w:hAnsi="Consolas" w:cs="Consolas"/>
                <w:sz w:val="22"/>
                <w:szCs w:val="22"/>
                <w:shd w:val="clear" w:color="auto" w:fill="EAEEF3"/>
              </w:rPr>
              <w:t>E70_Chose</w:t>
            </w:r>
            <w:r>
              <w:t xml:space="preserve">, </w:t>
            </w:r>
            <w:r>
              <w:rPr>
                <w:rFonts w:ascii="Consolas" w:eastAsia="Consolas" w:hAnsi="Consolas" w:cs="Consolas"/>
                <w:sz w:val="22"/>
                <w:szCs w:val="22"/>
                <w:shd w:val="clear" w:color="auto" w:fill="EAEEF3"/>
              </w:rPr>
              <w:t>E72_Objet_juridique</w:t>
            </w:r>
            <w:r>
              <w:t xml:space="preserve">, </w:t>
            </w:r>
            <w:r>
              <w:rPr>
                <w:rFonts w:ascii="Consolas" w:eastAsia="Consolas" w:hAnsi="Consolas" w:cs="Consolas"/>
                <w:sz w:val="22"/>
                <w:szCs w:val="22"/>
                <w:shd w:val="clear" w:color="auto" w:fill="EAEEF3"/>
              </w:rPr>
              <w:t>E39_Actant</w:t>
            </w:r>
            <w:r>
              <w:t xml:space="preserve">, </w:t>
            </w:r>
            <w:r>
              <w:rPr>
                <w:rFonts w:ascii="Consolas" w:eastAsia="Consolas" w:hAnsi="Consolas" w:cs="Consolas"/>
                <w:sz w:val="22"/>
                <w:szCs w:val="22"/>
                <w:shd w:val="clear" w:color="auto" w:fill="EAEEF3"/>
              </w:rPr>
              <w:t>E41_Appellation</w:t>
            </w:r>
            <w:r>
              <w:t xml:space="preserve"> ou </w:t>
            </w:r>
            <w:r>
              <w:rPr>
                <w:rFonts w:ascii="Consolas" w:eastAsia="Consolas" w:hAnsi="Consolas" w:cs="Consolas"/>
                <w:sz w:val="22"/>
                <w:szCs w:val="22"/>
                <w:shd w:val="clear" w:color="auto" w:fill="EAEEF3"/>
              </w:rPr>
              <w:t>E55_Type</w:t>
            </w:r>
            <w:r>
              <w:t>, par exemple.</w:t>
            </w:r>
          </w:p>
        </w:tc>
      </w:tr>
      <w:tr w:rsidR="00BF18CF" w14:paraId="15D3C462" w14:textId="77777777" w:rsidTr="00BF18CF">
        <w:tc>
          <w:tcPr>
            <w:tcW w:w="1914" w:type="dxa"/>
          </w:tcPr>
          <w:p w14:paraId="743CBE9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76" w:type="dxa"/>
          </w:tcPr>
          <w:p w14:paraId="59686ABD" w14:textId="77777777" w:rsidR="00BF18CF" w:rsidRDefault="00E51347">
            <w:pPr>
              <w:numPr>
                <w:ilvl w:val="0"/>
                <w:numId w:val="19"/>
              </w:numPr>
            </w:pPr>
            <w:r>
              <w:t>La naissance de Mozart (</w:t>
            </w:r>
            <w:r>
              <w:rPr>
                <w:rFonts w:ascii="Consolas" w:eastAsia="Consolas" w:hAnsi="Consolas" w:cs="Consolas"/>
                <w:sz w:val="22"/>
                <w:szCs w:val="22"/>
                <w:shd w:val="clear" w:color="auto" w:fill="EAEEF3"/>
              </w:rPr>
              <w:t>E67_Naissance</w:t>
            </w:r>
            <w:r>
              <w:t>) a fait exister (</w:t>
            </w:r>
            <w:r>
              <w:rPr>
                <w:rFonts w:ascii="Consolas" w:eastAsia="Consolas" w:hAnsi="Consolas" w:cs="Consolas"/>
                <w:sz w:val="22"/>
                <w:szCs w:val="22"/>
                <w:shd w:val="clear" w:color="auto" w:fill="EAEEF3"/>
              </w:rPr>
              <w:t>P92_a_fait_exister</w:t>
            </w:r>
            <w:r>
              <w:t>) Mozart (</w:t>
            </w:r>
            <w:r>
              <w:rPr>
                <w:rFonts w:ascii="Consolas" w:eastAsia="Consolas" w:hAnsi="Consolas" w:cs="Consolas"/>
                <w:sz w:val="22"/>
                <w:szCs w:val="22"/>
                <w:shd w:val="clear" w:color="auto" w:fill="EAEEF3"/>
              </w:rPr>
              <w:t>E21_Personne</w:t>
            </w:r>
            <w:r>
              <w:t>) (Deutsch, 1965)</w:t>
            </w:r>
          </w:p>
        </w:tc>
      </w:tr>
      <w:tr w:rsidR="00BF18CF" w14:paraId="24653C14" w14:textId="77777777" w:rsidTr="00BF18CF">
        <w:tc>
          <w:tcPr>
            <w:tcW w:w="1914" w:type="dxa"/>
          </w:tcPr>
          <w:p w14:paraId="7821906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76" w:type="dxa"/>
          </w:tcPr>
          <w:p w14:paraId="3AADD773" w14:textId="77777777" w:rsidR="00BF18CF" w:rsidRDefault="00E51347">
            <w:r>
              <w:t>P92(</w:t>
            </w:r>
            <w:proofErr w:type="gramStart"/>
            <w:r>
              <w:t>x,y</w:t>
            </w:r>
            <w:proofErr w:type="gramEnd"/>
            <w:r>
              <w:t>) ⇒ E63(x)</w:t>
            </w:r>
          </w:p>
          <w:p w14:paraId="3A2F1F62" w14:textId="77777777" w:rsidR="00BF18CF" w:rsidRDefault="00E51347">
            <w:r>
              <w:t>P92(</w:t>
            </w:r>
            <w:proofErr w:type="gramStart"/>
            <w:r>
              <w:t>x,y</w:t>
            </w:r>
            <w:proofErr w:type="gramEnd"/>
            <w:r>
              <w:t>) ⇒ E77(y)</w:t>
            </w:r>
          </w:p>
          <w:p w14:paraId="3CD3CCD1" w14:textId="77777777" w:rsidR="00BF18CF" w:rsidRDefault="00E51347">
            <w:r>
              <w:t>P92(</w:t>
            </w:r>
            <w:proofErr w:type="gramStart"/>
            <w:r>
              <w:t>x,y</w:t>
            </w:r>
            <w:proofErr w:type="gramEnd"/>
            <w:r>
              <w:t>) ⇒ P12(x,y)</w:t>
            </w:r>
          </w:p>
        </w:tc>
      </w:tr>
      <w:tr w:rsidR="00BF18CF" w14:paraId="0043E2CD" w14:textId="77777777" w:rsidTr="00BF18CF">
        <w:tc>
          <w:tcPr>
            <w:tcW w:w="1914" w:type="dxa"/>
          </w:tcPr>
          <w:p w14:paraId="5ABE900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76" w:type="dxa"/>
          </w:tcPr>
          <w:p w14:paraId="5BA912D2" w14:textId="77777777" w:rsidR="00BF18CF" w:rsidRDefault="00BF18CF">
            <w:pPr>
              <w:pBdr>
                <w:top w:val="nil"/>
                <w:left w:val="nil"/>
                <w:bottom w:val="nil"/>
                <w:right w:val="nil"/>
                <w:between w:val="nil"/>
              </w:pBdr>
              <w:spacing w:before="36" w:after="36"/>
              <w:rPr>
                <w:color w:val="000000"/>
              </w:rPr>
            </w:pPr>
          </w:p>
        </w:tc>
      </w:tr>
      <w:tr w:rsidR="00BF18CF" w14:paraId="7C3540AC" w14:textId="77777777" w:rsidTr="00BF18CF">
        <w:tc>
          <w:tcPr>
            <w:tcW w:w="1914" w:type="dxa"/>
          </w:tcPr>
          <w:p w14:paraId="47608426" w14:textId="071EAAF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76" w:type="dxa"/>
          </w:tcPr>
          <w:p w14:paraId="5CBA900E" w14:textId="77777777" w:rsidR="00BF18CF" w:rsidRDefault="00BF18CF">
            <w:pPr>
              <w:pBdr>
                <w:top w:val="nil"/>
                <w:left w:val="nil"/>
                <w:bottom w:val="nil"/>
                <w:right w:val="nil"/>
                <w:between w:val="nil"/>
              </w:pBdr>
              <w:spacing w:before="36" w:after="36"/>
              <w:rPr>
                <w:color w:val="000000"/>
              </w:rPr>
            </w:pPr>
          </w:p>
        </w:tc>
      </w:tr>
      <w:tr w:rsidR="00BF18CF" w14:paraId="41E64C25" w14:textId="77777777" w:rsidTr="00BF18CF">
        <w:tc>
          <w:tcPr>
            <w:tcW w:w="1914" w:type="dxa"/>
          </w:tcPr>
          <w:p w14:paraId="21FF13A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76" w:type="dxa"/>
          </w:tcPr>
          <w:p w14:paraId="51A1A93C" w14:textId="77777777" w:rsidR="00BF18CF" w:rsidRDefault="00BF18CF">
            <w:pPr>
              <w:pBdr>
                <w:top w:val="nil"/>
                <w:left w:val="nil"/>
                <w:bottom w:val="nil"/>
                <w:right w:val="nil"/>
                <w:between w:val="nil"/>
              </w:pBdr>
              <w:spacing w:before="36" w:after="36"/>
              <w:rPr>
                <w:color w:val="000000"/>
              </w:rPr>
            </w:pPr>
          </w:p>
        </w:tc>
      </w:tr>
    </w:tbl>
    <w:p w14:paraId="3B04101E" w14:textId="77777777" w:rsidR="00BF18CF" w:rsidRDefault="00E51347">
      <w:pPr>
        <w:pStyle w:val="Heading3"/>
      </w:pPr>
      <w:bookmarkStart w:id="415" w:name="bookmark=id.3utoxif" w:colFirst="0" w:colLast="0"/>
      <w:bookmarkStart w:id="416" w:name="_Toc144360951"/>
      <w:bookmarkEnd w:id="415"/>
      <w:r>
        <w:t>P93 a mis fin à l’existence de (a cessé d’exister par)</w:t>
      </w:r>
      <w:bookmarkEnd w:id="416"/>
    </w:p>
    <w:tbl>
      <w:tblPr>
        <w:tblStyle w:val="affff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2"/>
        <w:gridCol w:w="8808"/>
      </w:tblGrid>
      <w:tr w:rsidR="00BF18CF" w14:paraId="199F8A28" w14:textId="77777777" w:rsidTr="00BF18CF">
        <w:tc>
          <w:tcPr>
            <w:tcW w:w="1882" w:type="dxa"/>
          </w:tcPr>
          <w:p w14:paraId="25EB1F3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8" w:type="dxa"/>
          </w:tcPr>
          <w:p w14:paraId="48199CC2" w14:textId="77777777" w:rsidR="00BF18CF" w:rsidRDefault="00E51347">
            <w:r>
              <w:rPr>
                <w:rFonts w:ascii="Consolas" w:eastAsia="Consolas" w:hAnsi="Consolas" w:cs="Consolas"/>
                <w:sz w:val="22"/>
                <w:szCs w:val="22"/>
                <w:shd w:val="clear" w:color="auto" w:fill="EAEEF3"/>
              </w:rPr>
              <w:t>E64_Fin_d’existence</w:t>
            </w:r>
          </w:p>
        </w:tc>
      </w:tr>
      <w:tr w:rsidR="00BF18CF" w14:paraId="6CB646DB" w14:textId="77777777" w:rsidTr="00BF18CF">
        <w:tc>
          <w:tcPr>
            <w:tcW w:w="1882" w:type="dxa"/>
          </w:tcPr>
          <w:p w14:paraId="1883E58B"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8" w:type="dxa"/>
          </w:tcPr>
          <w:p w14:paraId="1709C424" w14:textId="77777777" w:rsidR="00BF18CF" w:rsidRDefault="00E51347">
            <w:r>
              <w:rPr>
                <w:rFonts w:ascii="Consolas" w:eastAsia="Consolas" w:hAnsi="Consolas" w:cs="Consolas"/>
                <w:sz w:val="22"/>
                <w:szCs w:val="22"/>
                <w:shd w:val="clear" w:color="auto" w:fill="EAEEF3"/>
              </w:rPr>
              <w:t>E77_Entité_persistante</w:t>
            </w:r>
          </w:p>
        </w:tc>
      </w:tr>
      <w:tr w:rsidR="00BF18CF" w14:paraId="27F39AB5" w14:textId="77777777" w:rsidTr="00BF18CF">
        <w:tc>
          <w:tcPr>
            <w:tcW w:w="1882" w:type="dxa"/>
          </w:tcPr>
          <w:p w14:paraId="27C93F17"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8" w:type="dxa"/>
          </w:tcPr>
          <w:p w14:paraId="6E860ED3"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P12_a_eu_lieu_en_présence_de (a_été_présent_à)</w:t>
            </w:r>
            <w:r>
              <w:t xml:space="preserve"> : </w:t>
            </w:r>
            <w:r>
              <w:rPr>
                <w:rFonts w:ascii="Consolas" w:eastAsia="Consolas" w:hAnsi="Consolas" w:cs="Consolas"/>
                <w:sz w:val="22"/>
                <w:szCs w:val="22"/>
                <w:shd w:val="clear" w:color="auto" w:fill="EAEEF3"/>
              </w:rPr>
              <w:t>E77_Entité_persistante</w:t>
            </w:r>
          </w:p>
        </w:tc>
      </w:tr>
      <w:tr w:rsidR="00BF18CF" w14:paraId="56946DB9" w14:textId="77777777" w:rsidTr="00BF18CF">
        <w:tc>
          <w:tcPr>
            <w:tcW w:w="1882" w:type="dxa"/>
          </w:tcPr>
          <w:p w14:paraId="4782D484"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8" w:type="dxa"/>
          </w:tcPr>
          <w:p w14:paraId="011F9FBA" w14:textId="77777777" w:rsidR="00BF18CF" w:rsidRDefault="00E51347">
            <w:r>
              <w:rPr>
                <w:rFonts w:ascii="Consolas" w:eastAsia="Consolas" w:hAnsi="Consolas" w:cs="Consolas"/>
                <w:sz w:val="22"/>
                <w:szCs w:val="22"/>
                <w:shd w:val="clear" w:color="auto" w:fill="EAEEF3"/>
              </w:rPr>
              <w:t>E6_Destruction</w:t>
            </w:r>
            <w:r>
              <w:t xml:space="preserve">. </w:t>
            </w:r>
            <w:r>
              <w:rPr>
                <w:rFonts w:ascii="Consolas" w:eastAsia="Consolas" w:hAnsi="Consolas" w:cs="Consolas"/>
                <w:sz w:val="22"/>
                <w:szCs w:val="22"/>
                <w:shd w:val="clear" w:color="auto" w:fill="EAEEF3"/>
              </w:rPr>
              <w:t>P13_a_détruit (a_été_détruit_par)</w:t>
            </w:r>
            <w:r>
              <w:t xml:space="preserve"> : </w:t>
            </w:r>
            <w:r>
              <w:rPr>
                <w:rFonts w:ascii="Consolas" w:eastAsia="Consolas" w:hAnsi="Consolas" w:cs="Consolas"/>
                <w:sz w:val="22"/>
                <w:szCs w:val="22"/>
                <w:shd w:val="clear" w:color="auto" w:fill="EAEEF3"/>
              </w:rPr>
              <w:t>E18_Chose_matérielle</w:t>
            </w:r>
          </w:p>
          <w:p w14:paraId="353F58E5" w14:textId="77777777" w:rsidR="00BF18CF" w:rsidRDefault="00E51347">
            <w:r>
              <w:rPr>
                <w:rFonts w:ascii="Consolas" w:eastAsia="Consolas" w:hAnsi="Consolas" w:cs="Consolas"/>
                <w:sz w:val="22"/>
                <w:szCs w:val="22"/>
                <w:shd w:val="clear" w:color="auto" w:fill="EAEEF3"/>
              </w:rPr>
              <w:t>E68_Dissolution</w:t>
            </w:r>
            <w:r>
              <w:t xml:space="preserve">. </w:t>
            </w:r>
            <w:r>
              <w:rPr>
                <w:rFonts w:ascii="Consolas" w:eastAsia="Consolas" w:hAnsi="Consolas" w:cs="Consolas"/>
                <w:sz w:val="22"/>
                <w:szCs w:val="22"/>
                <w:shd w:val="clear" w:color="auto" w:fill="EAEEF3"/>
              </w:rPr>
              <w:t>P99_a_dissous (a_été_dissous_par)</w:t>
            </w:r>
            <w:r>
              <w:t xml:space="preserve"> : </w:t>
            </w:r>
            <w:r>
              <w:rPr>
                <w:rFonts w:ascii="Consolas" w:eastAsia="Consolas" w:hAnsi="Consolas" w:cs="Consolas"/>
                <w:sz w:val="22"/>
                <w:szCs w:val="22"/>
                <w:shd w:val="clear" w:color="auto" w:fill="EAEEF3"/>
              </w:rPr>
              <w:t>E74_Groupe</w:t>
            </w:r>
          </w:p>
          <w:p w14:paraId="5A42171E" w14:textId="77777777" w:rsidR="00BF18CF" w:rsidRDefault="00E51347">
            <w:r>
              <w:rPr>
                <w:rFonts w:ascii="Consolas" w:eastAsia="Consolas" w:hAnsi="Consolas" w:cs="Consolas"/>
                <w:sz w:val="22"/>
                <w:szCs w:val="22"/>
                <w:shd w:val="clear" w:color="auto" w:fill="EAEEF3"/>
              </w:rPr>
              <w:t>E69_Mort</w:t>
            </w:r>
            <w:r>
              <w:t xml:space="preserve">. </w:t>
            </w:r>
            <w:r>
              <w:rPr>
                <w:rFonts w:ascii="Consolas" w:eastAsia="Consolas" w:hAnsi="Consolas" w:cs="Consolas"/>
                <w:sz w:val="22"/>
                <w:szCs w:val="22"/>
                <w:shd w:val="clear" w:color="auto" w:fill="EAEEF3"/>
              </w:rPr>
              <w:t>P100_a_été_la_mort_de (est_mort_par)</w:t>
            </w:r>
            <w:r>
              <w:t xml:space="preserve"> : </w:t>
            </w:r>
            <w:r>
              <w:rPr>
                <w:rFonts w:ascii="Consolas" w:eastAsia="Consolas" w:hAnsi="Consolas" w:cs="Consolas"/>
                <w:sz w:val="22"/>
                <w:szCs w:val="22"/>
                <w:shd w:val="clear" w:color="auto" w:fill="EAEEF3"/>
              </w:rPr>
              <w:t>E21_Personne</w:t>
            </w:r>
          </w:p>
          <w:p w14:paraId="347DBBA5" w14:textId="77777777" w:rsidR="00BF18CF" w:rsidRDefault="00E51347">
            <w:r>
              <w:rPr>
                <w:rFonts w:ascii="Consolas" w:eastAsia="Consolas" w:hAnsi="Consolas" w:cs="Consolas"/>
                <w:sz w:val="22"/>
                <w:szCs w:val="22"/>
                <w:shd w:val="clear" w:color="auto" w:fill="EAEEF3"/>
              </w:rPr>
              <w:t>E81_Transformation</w:t>
            </w:r>
            <w:r>
              <w:t xml:space="preserve">. </w:t>
            </w:r>
            <w:r>
              <w:rPr>
                <w:rFonts w:ascii="Consolas" w:eastAsia="Consolas" w:hAnsi="Consolas" w:cs="Consolas"/>
                <w:sz w:val="22"/>
                <w:szCs w:val="22"/>
                <w:shd w:val="clear" w:color="auto" w:fill="EAEEF3"/>
              </w:rPr>
              <w:t>P124_a_transformé (a_été_transformé_par)</w:t>
            </w:r>
            <w:r>
              <w:t xml:space="preserve"> : </w:t>
            </w:r>
            <w:r>
              <w:rPr>
                <w:rFonts w:ascii="Consolas" w:eastAsia="Consolas" w:hAnsi="Consolas" w:cs="Consolas"/>
                <w:sz w:val="22"/>
                <w:szCs w:val="22"/>
                <w:shd w:val="clear" w:color="auto" w:fill="EAEEF3"/>
              </w:rPr>
              <w:t>E18_Chose_matérielle</w:t>
            </w:r>
          </w:p>
        </w:tc>
      </w:tr>
      <w:tr w:rsidR="00BF18CF" w14:paraId="19540088" w14:textId="77777777" w:rsidTr="00BF18CF">
        <w:tc>
          <w:tcPr>
            <w:tcW w:w="1882" w:type="dxa"/>
          </w:tcPr>
          <w:p w14:paraId="174248A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8" w:type="dxa"/>
          </w:tcPr>
          <w:p w14:paraId="64EAA8A0" w14:textId="77777777" w:rsidR="00BF18CF" w:rsidRDefault="00E51347">
            <w:proofErr w:type="gramStart"/>
            <w:r>
              <w:t>un</w:t>
            </w:r>
            <w:proofErr w:type="gramEnd"/>
            <w:r>
              <w:t xml:space="preserve"> à plusieurs, nécessaire (1,n:0,1)</w:t>
            </w:r>
          </w:p>
        </w:tc>
      </w:tr>
      <w:tr w:rsidR="00BF18CF" w14:paraId="029D95C0" w14:textId="77777777" w:rsidTr="00BF18CF">
        <w:tc>
          <w:tcPr>
            <w:tcW w:w="1882" w:type="dxa"/>
          </w:tcPr>
          <w:p w14:paraId="46A5254B"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808" w:type="dxa"/>
          </w:tcPr>
          <w:p w14:paraId="48947773" w14:textId="77777777" w:rsidR="00BF18CF" w:rsidRDefault="00E51347">
            <w:r>
              <w:t xml:space="preserve">Cette propriété lie une instance de </w:t>
            </w:r>
            <w:r>
              <w:rPr>
                <w:rFonts w:ascii="Consolas" w:eastAsia="Consolas" w:hAnsi="Consolas" w:cs="Consolas"/>
                <w:sz w:val="22"/>
                <w:szCs w:val="22"/>
                <w:shd w:val="clear" w:color="auto" w:fill="EAEEF3"/>
              </w:rPr>
              <w:t>E64_Fin_d’existence</w:t>
            </w:r>
            <w:r>
              <w:t xml:space="preserve"> à l’instance de </w:t>
            </w:r>
            <w:r>
              <w:rPr>
                <w:rFonts w:ascii="Consolas" w:eastAsia="Consolas" w:hAnsi="Consolas" w:cs="Consolas"/>
                <w:sz w:val="22"/>
                <w:szCs w:val="22"/>
                <w:shd w:val="clear" w:color="auto" w:fill="EAEEF3"/>
              </w:rPr>
              <w:t>E77_Entité_persistante</w:t>
            </w:r>
            <w:r>
              <w:t xml:space="preserve"> qu'elle a fait cesser d’exister.</w:t>
            </w:r>
          </w:p>
          <w:p w14:paraId="02B76261" w14:textId="77777777" w:rsidR="00BF18CF" w:rsidRDefault="00E51347">
            <w:r>
              <w:t xml:space="preserve">Dans le cas des choses immatérielles, il est considéré que l'instance de </w:t>
            </w:r>
            <w:r>
              <w:rPr>
                <w:rFonts w:ascii="Consolas" w:eastAsia="Consolas" w:hAnsi="Consolas" w:cs="Consolas"/>
                <w:sz w:val="22"/>
                <w:szCs w:val="22"/>
                <w:shd w:val="clear" w:color="auto" w:fill="EAEEF3"/>
              </w:rPr>
              <w:t>E64_Fin_d’existence</w:t>
            </w:r>
            <w:r>
              <w:t xml:space="preserve"> a lieu au moment de la destruction du dernier support physique.</w:t>
            </w:r>
          </w:p>
          <w:p w14:paraId="5045D06B" w14:textId="77777777" w:rsidR="00BF18CF" w:rsidRDefault="00E51347">
            <w:r>
              <w:t xml:space="preserve">Cette propriété permet d’associer une « fin » à une instance documentée de </w:t>
            </w:r>
            <w:r>
              <w:rPr>
                <w:rFonts w:ascii="Consolas" w:eastAsia="Consolas" w:hAnsi="Consolas" w:cs="Consolas"/>
                <w:sz w:val="22"/>
                <w:szCs w:val="22"/>
                <w:shd w:val="clear" w:color="auto" w:fill="EAEEF3"/>
              </w:rPr>
              <w:t>E77_Entité_persistante</w:t>
            </w:r>
            <w:r>
              <w:t xml:space="preserve">, c.-à-d. à une instance de </w:t>
            </w:r>
            <w:r>
              <w:rPr>
                <w:rFonts w:ascii="Consolas" w:eastAsia="Consolas" w:hAnsi="Consolas" w:cs="Consolas"/>
                <w:sz w:val="22"/>
                <w:szCs w:val="22"/>
                <w:shd w:val="clear" w:color="auto" w:fill="EAEEF3"/>
              </w:rPr>
              <w:t>E70_Chose</w:t>
            </w:r>
            <w:r>
              <w:t xml:space="preserve">, </w:t>
            </w:r>
            <w:r>
              <w:rPr>
                <w:rFonts w:ascii="Consolas" w:eastAsia="Consolas" w:hAnsi="Consolas" w:cs="Consolas"/>
                <w:sz w:val="22"/>
                <w:szCs w:val="22"/>
                <w:shd w:val="clear" w:color="auto" w:fill="EAEEF3"/>
              </w:rPr>
              <w:t>E72_Objet_juridique</w:t>
            </w:r>
            <w:r>
              <w:t xml:space="preserve">, </w:t>
            </w:r>
            <w:r>
              <w:rPr>
                <w:rFonts w:ascii="Consolas" w:eastAsia="Consolas" w:hAnsi="Consolas" w:cs="Consolas"/>
                <w:sz w:val="22"/>
                <w:szCs w:val="22"/>
                <w:shd w:val="clear" w:color="auto" w:fill="EAEEF3"/>
              </w:rPr>
              <w:t>E39_Actant</w:t>
            </w:r>
            <w:r>
              <w:t xml:space="preserve">, </w:t>
            </w:r>
            <w:r>
              <w:rPr>
                <w:rFonts w:ascii="Consolas" w:eastAsia="Consolas" w:hAnsi="Consolas" w:cs="Consolas"/>
                <w:sz w:val="22"/>
                <w:szCs w:val="22"/>
                <w:shd w:val="clear" w:color="auto" w:fill="EAEEF3"/>
              </w:rPr>
              <w:t>E41_Appellation</w:t>
            </w:r>
            <w:r>
              <w:t xml:space="preserve"> ou </w:t>
            </w:r>
            <w:r>
              <w:rPr>
                <w:rFonts w:ascii="Consolas" w:eastAsia="Consolas" w:hAnsi="Consolas" w:cs="Consolas"/>
                <w:sz w:val="22"/>
                <w:szCs w:val="22"/>
                <w:shd w:val="clear" w:color="auto" w:fill="EAEEF3"/>
              </w:rPr>
              <w:t>E55_Type</w:t>
            </w:r>
            <w:r>
              <w:t>.</w:t>
            </w:r>
          </w:p>
          <w:p w14:paraId="21598705" w14:textId="77777777" w:rsidR="00BF18CF" w:rsidRDefault="00E51347">
            <w:r>
              <w:t xml:space="preserve">La durée de vie maximale de nombreuses instances de </w:t>
            </w:r>
            <w:r>
              <w:rPr>
                <w:rFonts w:ascii="Consolas" w:eastAsia="Consolas" w:hAnsi="Consolas" w:cs="Consolas"/>
                <w:sz w:val="22"/>
                <w:szCs w:val="22"/>
                <w:shd w:val="clear" w:color="auto" w:fill="EAEEF3"/>
              </w:rPr>
              <w:t>E77_Entité_persistante</w:t>
            </w:r>
            <w:r>
              <w:t xml:space="preserve"> étant connue, il est possible d’inférer qu’elles doivent avoir cessé d’exister. Dans ce cas, l’instance de </w:t>
            </w:r>
            <w:r>
              <w:rPr>
                <w:rFonts w:ascii="Consolas" w:eastAsia="Consolas" w:hAnsi="Consolas" w:cs="Consolas"/>
                <w:sz w:val="22"/>
                <w:szCs w:val="22"/>
                <w:shd w:val="clear" w:color="auto" w:fill="EAEEF3"/>
              </w:rPr>
              <w:t>E64_Fin_d’existence</w:t>
            </w:r>
            <w:r>
              <w:t xml:space="preserve"> est présumée et elle peut être aussi imperceptible que l'oubli par le dernier représentant d'une nation autochtone d’un savoir secret.</w:t>
            </w:r>
          </w:p>
        </w:tc>
      </w:tr>
      <w:tr w:rsidR="00BF18CF" w14:paraId="120A719D" w14:textId="77777777" w:rsidTr="00BF18CF">
        <w:tc>
          <w:tcPr>
            <w:tcW w:w="1882" w:type="dxa"/>
          </w:tcPr>
          <w:p w14:paraId="72868C7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8" w:type="dxa"/>
          </w:tcPr>
          <w:p w14:paraId="2EC68C8B" w14:textId="77777777" w:rsidR="00BF18CF" w:rsidRDefault="00E51347">
            <w:pPr>
              <w:numPr>
                <w:ilvl w:val="0"/>
                <w:numId w:val="19"/>
              </w:numPr>
            </w:pPr>
            <w:r>
              <w:t>La mort de Mozart (</w:t>
            </w:r>
            <w:r>
              <w:rPr>
                <w:rFonts w:ascii="Consolas" w:eastAsia="Consolas" w:hAnsi="Consolas" w:cs="Consolas"/>
                <w:sz w:val="22"/>
                <w:szCs w:val="22"/>
                <w:shd w:val="clear" w:color="auto" w:fill="EAEEF3"/>
              </w:rPr>
              <w:t>E69_Mort</w:t>
            </w:r>
            <w:r>
              <w:t>) a mis fin à l’existence de (</w:t>
            </w:r>
            <w:r>
              <w:rPr>
                <w:rFonts w:ascii="Consolas" w:eastAsia="Consolas" w:hAnsi="Consolas" w:cs="Consolas"/>
                <w:sz w:val="22"/>
                <w:szCs w:val="22"/>
                <w:shd w:val="clear" w:color="auto" w:fill="EAEEF3"/>
              </w:rPr>
              <w:t>P93_a_mis_fin_à_l’existence_de</w:t>
            </w:r>
            <w:r>
              <w:t>) Mozart (</w:t>
            </w:r>
            <w:r>
              <w:rPr>
                <w:rFonts w:ascii="Consolas" w:eastAsia="Consolas" w:hAnsi="Consolas" w:cs="Consolas"/>
                <w:sz w:val="22"/>
                <w:szCs w:val="22"/>
                <w:shd w:val="clear" w:color="auto" w:fill="EAEEF3"/>
              </w:rPr>
              <w:t>E21_Personne</w:t>
            </w:r>
            <w:r>
              <w:t>) (Deutsch, 1965)</w:t>
            </w:r>
          </w:p>
        </w:tc>
      </w:tr>
      <w:tr w:rsidR="00BF18CF" w14:paraId="5756EF7F" w14:textId="77777777" w:rsidTr="00BF18CF">
        <w:tc>
          <w:tcPr>
            <w:tcW w:w="1882" w:type="dxa"/>
          </w:tcPr>
          <w:p w14:paraId="35B5419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8" w:type="dxa"/>
          </w:tcPr>
          <w:p w14:paraId="05A2287B" w14:textId="77777777" w:rsidR="00BF18CF" w:rsidRDefault="00E51347">
            <w:r>
              <w:t>P93(</w:t>
            </w:r>
            <w:proofErr w:type="gramStart"/>
            <w:r>
              <w:t>x,y</w:t>
            </w:r>
            <w:proofErr w:type="gramEnd"/>
            <w:r>
              <w:t>) ⇒ E64(x)</w:t>
            </w:r>
          </w:p>
          <w:p w14:paraId="38F7BC5E" w14:textId="77777777" w:rsidR="00BF18CF" w:rsidRDefault="00E51347">
            <w:r>
              <w:t>P93(</w:t>
            </w:r>
            <w:proofErr w:type="gramStart"/>
            <w:r>
              <w:t>x,y</w:t>
            </w:r>
            <w:proofErr w:type="gramEnd"/>
            <w:r>
              <w:t>) ⇒ E77(y)</w:t>
            </w:r>
          </w:p>
          <w:p w14:paraId="13023925" w14:textId="77777777" w:rsidR="00BF18CF" w:rsidRDefault="00E51347">
            <w:r>
              <w:t>P93(</w:t>
            </w:r>
            <w:proofErr w:type="gramStart"/>
            <w:r>
              <w:t>x,y</w:t>
            </w:r>
            <w:proofErr w:type="gramEnd"/>
            <w:r>
              <w:t>) ⇒ P12(x,y)</w:t>
            </w:r>
          </w:p>
        </w:tc>
      </w:tr>
      <w:tr w:rsidR="00BF18CF" w14:paraId="458A1B3A" w14:textId="77777777" w:rsidTr="00BF18CF">
        <w:tc>
          <w:tcPr>
            <w:tcW w:w="1882" w:type="dxa"/>
          </w:tcPr>
          <w:p w14:paraId="3D2EB7A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8" w:type="dxa"/>
          </w:tcPr>
          <w:p w14:paraId="444927D6" w14:textId="77777777" w:rsidR="00BF18CF" w:rsidRDefault="00BF18CF">
            <w:pPr>
              <w:pBdr>
                <w:top w:val="nil"/>
                <w:left w:val="nil"/>
                <w:bottom w:val="nil"/>
                <w:right w:val="nil"/>
                <w:between w:val="nil"/>
              </w:pBdr>
              <w:spacing w:before="36" w:after="36"/>
              <w:rPr>
                <w:color w:val="000000"/>
              </w:rPr>
            </w:pPr>
          </w:p>
        </w:tc>
      </w:tr>
      <w:tr w:rsidR="00BF18CF" w14:paraId="78CE8114" w14:textId="77777777" w:rsidTr="00BF18CF">
        <w:tc>
          <w:tcPr>
            <w:tcW w:w="1882" w:type="dxa"/>
          </w:tcPr>
          <w:p w14:paraId="5E435BC8" w14:textId="4CFD72D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8" w:type="dxa"/>
          </w:tcPr>
          <w:p w14:paraId="5924EE15" w14:textId="77777777" w:rsidR="00BF18CF" w:rsidRDefault="00BF18CF">
            <w:pPr>
              <w:pBdr>
                <w:top w:val="nil"/>
                <w:left w:val="nil"/>
                <w:bottom w:val="nil"/>
                <w:right w:val="nil"/>
                <w:between w:val="nil"/>
              </w:pBdr>
              <w:spacing w:before="36" w:after="36"/>
              <w:rPr>
                <w:color w:val="000000"/>
              </w:rPr>
            </w:pPr>
          </w:p>
        </w:tc>
      </w:tr>
      <w:tr w:rsidR="00BF18CF" w14:paraId="6F1AB63E" w14:textId="77777777" w:rsidTr="00BF18CF">
        <w:tc>
          <w:tcPr>
            <w:tcW w:w="1882" w:type="dxa"/>
          </w:tcPr>
          <w:p w14:paraId="253ADA3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8" w:type="dxa"/>
          </w:tcPr>
          <w:p w14:paraId="5DD27D38" w14:textId="77777777" w:rsidR="00BF18CF" w:rsidRDefault="00BF18CF">
            <w:pPr>
              <w:pBdr>
                <w:top w:val="nil"/>
                <w:left w:val="nil"/>
                <w:bottom w:val="nil"/>
                <w:right w:val="nil"/>
                <w:between w:val="nil"/>
              </w:pBdr>
              <w:spacing w:before="36" w:after="36"/>
              <w:rPr>
                <w:color w:val="000000"/>
              </w:rPr>
            </w:pPr>
          </w:p>
        </w:tc>
      </w:tr>
    </w:tbl>
    <w:p w14:paraId="6ECE4DC0" w14:textId="77777777" w:rsidR="00BF18CF" w:rsidRDefault="00E51347">
      <w:pPr>
        <w:pStyle w:val="Heading3"/>
      </w:pPr>
      <w:bookmarkStart w:id="417" w:name="bookmark=id.29yz7q8" w:colFirst="0" w:colLast="0"/>
      <w:bookmarkStart w:id="418" w:name="_Toc144360952"/>
      <w:bookmarkEnd w:id="417"/>
      <w:r>
        <w:t>P94 a créé (a été créé par)</w:t>
      </w:r>
      <w:bookmarkEnd w:id="418"/>
    </w:p>
    <w:tbl>
      <w:tblPr>
        <w:tblStyle w:val="affff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1"/>
        <w:gridCol w:w="8789"/>
      </w:tblGrid>
      <w:tr w:rsidR="00BF18CF" w14:paraId="164D1814" w14:textId="77777777" w:rsidTr="00BF18CF">
        <w:tc>
          <w:tcPr>
            <w:tcW w:w="1901" w:type="dxa"/>
          </w:tcPr>
          <w:p w14:paraId="7B89A7D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89" w:type="dxa"/>
          </w:tcPr>
          <w:p w14:paraId="6AFA1038" w14:textId="77777777" w:rsidR="00BF18CF" w:rsidRDefault="00E51347">
            <w:r>
              <w:rPr>
                <w:rFonts w:ascii="Consolas" w:eastAsia="Consolas" w:hAnsi="Consolas" w:cs="Consolas"/>
                <w:sz w:val="22"/>
                <w:szCs w:val="22"/>
                <w:shd w:val="clear" w:color="auto" w:fill="EAEEF3"/>
              </w:rPr>
              <w:t>E65_Création</w:t>
            </w:r>
          </w:p>
        </w:tc>
      </w:tr>
      <w:tr w:rsidR="00BF18CF" w14:paraId="7F1FFF2C" w14:textId="77777777" w:rsidTr="00BF18CF">
        <w:tc>
          <w:tcPr>
            <w:tcW w:w="1901" w:type="dxa"/>
          </w:tcPr>
          <w:p w14:paraId="26A161C0"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89" w:type="dxa"/>
          </w:tcPr>
          <w:p w14:paraId="182FDC38" w14:textId="77777777" w:rsidR="00BF18CF" w:rsidRDefault="00E51347">
            <w:r>
              <w:rPr>
                <w:rFonts w:ascii="Consolas" w:eastAsia="Consolas" w:hAnsi="Consolas" w:cs="Consolas"/>
                <w:sz w:val="22"/>
                <w:szCs w:val="22"/>
                <w:shd w:val="clear" w:color="auto" w:fill="EAEEF3"/>
              </w:rPr>
              <w:t>E28_Objet_conceptuel</w:t>
            </w:r>
          </w:p>
        </w:tc>
      </w:tr>
      <w:tr w:rsidR="00BF18CF" w14:paraId="0663F222" w14:textId="77777777" w:rsidTr="00BF18CF">
        <w:tc>
          <w:tcPr>
            <w:tcW w:w="1901" w:type="dxa"/>
          </w:tcPr>
          <w:p w14:paraId="098D28FC"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89" w:type="dxa"/>
          </w:tcPr>
          <w:p w14:paraId="0769F18A" w14:textId="77777777" w:rsidR="00BF18CF" w:rsidRDefault="00E51347">
            <w:r>
              <w:rPr>
                <w:rFonts w:ascii="Consolas" w:eastAsia="Consolas" w:hAnsi="Consolas" w:cs="Consolas"/>
                <w:sz w:val="22"/>
                <w:szCs w:val="22"/>
                <w:shd w:val="clear" w:color="auto" w:fill="EAEEF3"/>
              </w:rPr>
              <w:t>E63_Début_d'existence</w:t>
            </w:r>
            <w:r>
              <w:t xml:space="preserve">. </w:t>
            </w:r>
            <w:r>
              <w:rPr>
                <w:rFonts w:ascii="Consolas" w:eastAsia="Consolas" w:hAnsi="Consolas" w:cs="Consolas"/>
                <w:sz w:val="22"/>
                <w:szCs w:val="22"/>
                <w:shd w:val="clear" w:color="auto" w:fill="EAEEF3"/>
              </w:rPr>
              <w:t>P92_a_fait_exister (a_commencé_à_exister_par)</w:t>
            </w:r>
            <w:r>
              <w:t xml:space="preserve"> : </w:t>
            </w:r>
            <w:r>
              <w:rPr>
                <w:rFonts w:ascii="Consolas" w:eastAsia="Consolas" w:hAnsi="Consolas" w:cs="Consolas"/>
                <w:sz w:val="22"/>
                <w:szCs w:val="22"/>
                <w:shd w:val="clear" w:color="auto" w:fill="EAEEF3"/>
              </w:rPr>
              <w:t>E77_Entité_persistante</w:t>
            </w:r>
          </w:p>
        </w:tc>
      </w:tr>
      <w:tr w:rsidR="00BF18CF" w14:paraId="1E217E2E" w14:textId="77777777" w:rsidTr="00BF18CF">
        <w:tc>
          <w:tcPr>
            <w:tcW w:w="1901" w:type="dxa"/>
          </w:tcPr>
          <w:p w14:paraId="434CC244"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89" w:type="dxa"/>
          </w:tcPr>
          <w:p w14:paraId="72C58237" w14:textId="77777777" w:rsidR="00BF18CF" w:rsidRDefault="00E51347">
            <w:r>
              <w:rPr>
                <w:rFonts w:ascii="Consolas" w:eastAsia="Consolas" w:hAnsi="Consolas" w:cs="Consolas"/>
                <w:sz w:val="22"/>
                <w:szCs w:val="22"/>
                <w:shd w:val="clear" w:color="auto" w:fill="EAEEF3"/>
              </w:rPr>
              <w:t>E83_Création_de_type</w:t>
            </w:r>
            <w:r>
              <w:t xml:space="preserve">. </w:t>
            </w:r>
            <w:r>
              <w:rPr>
                <w:rFonts w:ascii="Consolas" w:eastAsia="Consolas" w:hAnsi="Consolas" w:cs="Consolas"/>
                <w:sz w:val="22"/>
                <w:szCs w:val="22"/>
                <w:shd w:val="clear" w:color="auto" w:fill="EAEEF3"/>
              </w:rPr>
              <w:t>P135_a_créé_le_type (a_été_créé_par)</w:t>
            </w:r>
            <w:r>
              <w:t xml:space="preserve"> : </w:t>
            </w:r>
            <w:r>
              <w:rPr>
                <w:rFonts w:ascii="Consolas" w:eastAsia="Consolas" w:hAnsi="Consolas" w:cs="Consolas"/>
                <w:sz w:val="22"/>
                <w:szCs w:val="22"/>
                <w:shd w:val="clear" w:color="auto" w:fill="EAEEF3"/>
              </w:rPr>
              <w:t>E55_Type</w:t>
            </w:r>
          </w:p>
        </w:tc>
      </w:tr>
      <w:tr w:rsidR="00BF18CF" w14:paraId="4B95C6A1" w14:textId="77777777" w:rsidTr="00BF18CF">
        <w:tc>
          <w:tcPr>
            <w:tcW w:w="1901" w:type="dxa"/>
          </w:tcPr>
          <w:p w14:paraId="05F26A7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89" w:type="dxa"/>
          </w:tcPr>
          <w:p w14:paraId="3FEB93E6" w14:textId="77777777" w:rsidR="00BF18CF" w:rsidRDefault="00E51347">
            <w:proofErr w:type="gramStart"/>
            <w:r>
              <w:t>un</w:t>
            </w:r>
            <w:proofErr w:type="gramEnd"/>
            <w:r>
              <w:t xml:space="preserve"> à plusieurs, nécessaire, dépendant (1,n:1,1)</w:t>
            </w:r>
          </w:p>
        </w:tc>
      </w:tr>
      <w:tr w:rsidR="00BF18CF" w14:paraId="35405444" w14:textId="77777777" w:rsidTr="00BF18CF">
        <w:tc>
          <w:tcPr>
            <w:tcW w:w="1901" w:type="dxa"/>
          </w:tcPr>
          <w:p w14:paraId="4BF1F3C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89" w:type="dxa"/>
          </w:tcPr>
          <w:p w14:paraId="1C227C67" w14:textId="77777777" w:rsidR="00BF18CF" w:rsidRDefault="00E51347">
            <w:r>
              <w:t xml:space="preserve">Cette propriété lie une instance de </w:t>
            </w:r>
            <w:r>
              <w:rPr>
                <w:rFonts w:ascii="Consolas" w:eastAsia="Consolas" w:hAnsi="Consolas" w:cs="Consolas"/>
                <w:sz w:val="22"/>
                <w:szCs w:val="22"/>
                <w:shd w:val="clear" w:color="auto" w:fill="EAEEF3"/>
              </w:rPr>
              <w:t>E65_Création</w:t>
            </w:r>
            <w:r>
              <w:t xml:space="preserve"> à une instance de </w:t>
            </w:r>
            <w:r>
              <w:rPr>
                <w:rFonts w:ascii="Consolas" w:eastAsia="Consolas" w:hAnsi="Consolas" w:cs="Consolas"/>
                <w:sz w:val="22"/>
                <w:szCs w:val="22"/>
                <w:shd w:val="clear" w:color="auto" w:fill="EAEEF3"/>
              </w:rPr>
              <w:t>E28_Objet_conceptuel</w:t>
            </w:r>
            <w:r>
              <w:t xml:space="preserve"> qu’elle a créé.</w:t>
            </w:r>
          </w:p>
          <w:p w14:paraId="720B4418" w14:textId="77777777" w:rsidR="00BF18CF" w:rsidRDefault="00E51347">
            <w:r>
              <w:t xml:space="preserve">Elle représente l'acte de concevoir le contenu intellectuel de l’instance de </w:t>
            </w:r>
            <w:r>
              <w:rPr>
                <w:rFonts w:ascii="Consolas" w:eastAsia="Consolas" w:hAnsi="Consolas" w:cs="Consolas"/>
                <w:sz w:val="22"/>
                <w:szCs w:val="22"/>
                <w:shd w:val="clear" w:color="auto" w:fill="EAEEF3"/>
              </w:rPr>
              <w:t>E28_Objet_conceptuel</w:t>
            </w:r>
            <w:r>
              <w:t xml:space="preserve"> [n.d.t. créé par l’instance de </w:t>
            </w:r>
            <w:r>
              <w:rPr>
                <w:rFonts w:ascii="Consolas" w:eastAsia="Consolas" w:hAnsi="Consolas" w:cs="Consolas"/>
                <w:sz w:val="22"/>
                <w:szCs w:val="22"/>
                <w:shd w:val="clear" w:color="auto" w:fill="EAEEF3"/>
              </w:rPr>
              <w:t>E65_Création</w:t>
            </w:r>
            <w:r>
              <w:t xml:space="preserve">]. Cette propriété ne représente pas l’acte de créer le premier support physique de cette instance de </w:t>
            </w:r>
            <w:r>
              <w:rPr>
                <w:rFonts w:ascii="Consolas" w:eastAsia="Consolas" w:hAnsi="Consolas" w:cs="Consolas"/>
                <w:sz w:val="22"/>
                <w:szCs w:val="22"/>
                <w:shd w:val="clear" w:color="auto" w:fill="EAEEF3"/>
              </w:rPr>
              <w:lastRenderedPageBreak/>
              <w:t>E28_Objet_conceptuel</w:t>
            </w:r>
            <w:r>
              <w:t>. Par exemple, elle réfère à la composition d’un poème, et non pas sa rédaction sur papier.</w:t>
            </w:r>
          </w:p>
        </w:tc>
      </w:tr>
      <w:tr w:rsidR="00BF18CF" w14:paraId="448839F9" w14:textId="77777777" w:rsidTr="00BF18CF">
        <w:tc>
          <w:tcPr>
            <w:tcW w:w="1901" w:type="dxa"/>
          </w:tcPr>
          <w:p w14:paraId="7FED7ECE"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89" w:type="dxa"/>
          </w:tcPr>
          <w:p w14:paraId="55269753" w14:textId="77777777" w:rsidR="00BF18CF" w:rsidRDefault="00E51347">
            <w:pPr>
              <w:numPr>
                <w:ilvl w:val="0"/>
                <w:numId w:val="19"/>
              </w:numPr>
            </w:pPr>
            <w:r>
              <w:t xml:space="preserve">La composition de </w:t>
            </w:r>
            <w:r>
              <w:rPr>
                <w:i/>
              </w:rPr>
              <w:t>The Four Friends</w:t>
            </w:r>
            <w:r>
              <w:t xml:space="preserve"> par A. A. Milne (</w:t>
            </w:r>
            <w:r>
              <w:rPr>
                <w:rFonts w:ascii="Consolas" w:eastAsia="Consolas" w:hAnsi="Consolas" w:cs="Consolas"/>
                <w:sz w:val="22"/>
                <w:szCs w:val="22"/>
                <w:shd w:val="clear" w:color="auto" w:fill="EAEEF3"/>
              </w:rPr>
              <w:t>E65_Création</w:t>
            </w:r>
            <w:r>
              <w:t>) a créé (</w:t>
            </w:r>
            <w:r>
              <w:rPr>
                <w:rFonts w:ascii="Consolas" w:eastAsia="Consolas" w:hAnsi="Consolas" w:cs="Consolas"/>
                <w:sz w:val="22"/>
                <w:szCs w:val="22"/>
                <w:shd w:val="clear" w:color="auto" w:fill="EAEEF3"/>
              </w:rPr>
              <w:t>P94_a_créé</w:t>
            </w:r>
            <w:r>
              <w:t xml:space="preserve">) </w:t>
            </w:r>
            <w:r>
              <w:rPr>
                <w:i/>
              </w:rPr>
              <w:t>The Four Friends</w:t>
            </w:r>
            <w:r>
              <w:t xml:space="preserve"> par A. A. Milne (</w:t>
            </w:r>
            <w:r>
              <w:rPr>
                <w:rFonts w:ascii="Consolas" w:eastAsia="Consolas" w:hAnsi="Consolas" w:cs="Consolas"/>
                <w:sz w:val="22"/>
                <w:szCs w:val="22"/>
                <w:shd w:val="clear" w:color="auto" w:fill="EAEEF3"/>
              </w:rPr>
              <w:t>E28_Objet_conceptuel</w:t>
            </w:r>
            <w:r>
              <w:t>) (Milne, 1921)</w:t>
            </w:r>
          </w:p>
        </w:tc>
      </w:tr>
      <w:tr w:rsidR="00BF18CF" w14:paraId="1D0DE9F5" w14:textId="77777777" w:rsidTr="00BF18CF">
        <w:tc>
          <w:tcPr>
            <w:tcW w:w="1901" w:type="dxa"/>
          </w:tcPr>
          <w:p w14:paraId="3924D1B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89" w:type="dxa"/>
          </w:tcPr>
          <w:p w14:paraId="548EEFB0" w14:textId="77777777" w:rsidR="00BF18CF" w:rsidRDefault="00E51347">
            <w:r>
              <w:t>P94(</w:t>
            </w:r>
            <w:proofErr w:type="gramStart"/>
            <w:r>
              <w:t>x,y</w:t>
            </w:r>
            <w:proofErr w:type="gramEnd"/>
            <w:r>
              <w:t>) ⇒ E65(x)</w:t>
            </w:r>
          </w:p>
          <w:p w14:paraId="0A8E1D57" w14:textId="77777777" w:rsidR="00BF18CF" w:rsidRDefault="00E51347">
            <w:r>
              <w:t>P94(</w:t>
            </w:r>
            <w:proofErr w:type="gramStart"/>
            <w:r>
              <w:t>x,y</w:t>
            </w:r>
            <w:proofErr w:type="gramEnd"/>
            <w:r>
              <w:t>) ⇒ E28(y)</w:t>
            </w:r>
          </w:p>
          <w:p w14:paraId="09084363" w14:textId="77777777" w:rsidR="00BF18CF" w:rsidRDefault="00E51347">
            <w:r>
              <w:t>P94(</w:t>
            </w:r>
            <w:proofErr w:type="gramStart"/>
            <w:r>
              <w:t>x,y</w:t>
            </w:r>
            <w:proofErr w:type="gramEnd"/>
            <w:r>
              <w:t>) ⇒ P92(x,y)</w:t>
            </w:r>
          </w:p>
        </w:tc>
      </w:tr>
      <w:tr w:rsidR="00BF18CF" w14:paraId="2AC9AF8F" w14:textId="77777777" w:rsidTr="00BF18CF">
        <w:tc>
          <w:tcPr>
            <w:tcW w:w="1901" w:type="dxa"/>
          </w:tcPr>
          <w:p w14:paraId="39D5304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89" w:type="dxa"/>
          </w:tcPr>
          <w:p w14:paraId="42AABAB6" w14:textId="77777777" w:rsidR="00BF18CF" w:rsidRDefault="00BF18CF">
            <w:pPr>
              <w:pBdr>
                <w:top w:val="nil"/>
                <w:left w:val="nil"/>
                <w:bottom w:val="nil"/>
                <w:right w:val="nil"/>
                <w:between w:val="nil"/>
              </w:pBdr>
              <w:spacing w:before="36" w:after="36"/>
              <w:rPr>
                <w:color w:val="000000"/>
              </w:rPr>
            </w:pPr>
          </w:p>
        </w:tc>
      </w:tr>
      <w:tr w:rsidR="00BF18CF" w14:paraId="7E8A16E5" w14:textId="77777777" w:rsidTr="00BF18CF">
        <w:tc>
          <w:tcPr>
            <w:tcW w:w="1901" w:type="dxa"/>
          </w:tcPr>
          <w:p w14:paraId="1660D9D1" w14:textId="58F70F87"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89" w:type="dxa"/>
          </w:tcPr>
          <w:p w14:paraId="1C90EABD" w14:textId="77777777" w:rsidR="00BF18CF" w:rsidRDefault="00BF18CF">
            <w:pPr>
              <w:pBdr>
                <w:top w:val="nil"/>
                <w:left w:val="nil"/>
                <w:bottom w:val="nil"/>
                <w:right w:val="nil"/>
                <w:between w:val="nil"/>
              </w:pBdr>
              <w:spacing w:before="36" w:after="36"/>
              <w:rPr>
                <w:color w:val="000000"/>
              </w:rPr>
            </w:pPr>
          </w:p>
        </w:tc>
      </w:tr>
      <w:tr w:rsidR="00BF18CF" w14:paraId="07D0541A" w14:textId="77777777" w:rsidTr="00BF18CF">
        <w:tc>
          <w:tcPr>
            <w:tcW w:w="1901" w:type="dxa"/>
          </w:tcPr>
          <w:p w14:paraId="129D3EE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89" w:type="dxa"/>
          </w:tcPr>
          <w:p w14:paraId="358343E4" w14:textId="77777777" w:rsidR="00BF18CF" w:rsidRDefault="00BF18CF">
            <w:pPr>
              <w:pBdr>
                <w:top w:val="nil"/>
                <w:left w:val="nil"/>
                <w:bottom w:val="nil"/>
                <w:right w:val="nil"/>
                <w:between w:val="nil"/>
              </w:pBdr>
              <w:spacing w:before="36" w:after="36"/>
              <w:rPr>
                <w:color w:val="000000"/>
              </w:rPr>
            </w:pPr>
          </w:p>
        </w:tc>
      </w:tr>
    </w:tbl>
    <w:p w14:paraId="5E372DDA" w14:textId="77777777" w:rsidR="00BF18CF" w:rsidRDefault="00E51347">
      <w:pPr>
        <w:pStyle w:val="Heading3"/>
      </w:pPr>
      <w:bookmarkStart w:id="419" w:name="bookmark=id.p49hy1" w:colFirst="0" w:colLast="0"/>
      <w:bookmarkStart w:id="420" w:name="_Toc144360953"/>
      <w:bookmarkEnd w:id="419"/>
      <w:r>
        <w:t>P95 a fondé (a été fondé par)</w:t>
      </w:r>
      <w:bookmarkEnd w:id="420"/>
    </w:p>
    <w:tbl>
      <w:tblPr>
        <w:tblStyle w:val="affff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55"/>
        <w:gridCol w:w="8735"/>
      </w:tblGrid>
      <w:tr w:rsidR="00BF18CF" w14:paraId="0BBBFA0A" w14:textId="77777777" w:rsidTr="00BF18CF">
        <w:tc>
          <w:tcPr>
            <w:tcW w:w="1955" w:type="dxa"/>
          </w:tcPr>
          <w:p w14:paraId="05E6FE2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35" w:type="dxa"/>
          </w:tcPr>
          <w:p w14:paraId="09B1F977" w14:textId="77777777" w:rsidR="00BF18CF" w:rsidRDefault="00E51347">
            <w:r>
              <w:rPr>
                <w:rFonts w:ascii="Consolas" w:eastAsia="Consolas" w:hAnsi="Consolas" w:cs="Consolas"/>
                <w:sz w:val="22"/>
                <w:szCs w:val="22"/>
                <w:shd w:val="clear" w:color="auto" w:fill="EAEEF3"/>
              </w:rPr>
              <w:t>E66_Formation</w:t>
            </w:r>
          </w:p>
        </w:tc>
      </w:tr>
      <w:tr w:rsidR="00BF18CF" w14:paraId="65A23E33" w14:textId="77777777" w:rsidTr="00BF18CF">
        <w:tc>
          <w:tcPr>
            <w:tcW w:w="1955" w:type="dxa"/>
          </w:tcPr>
          <w:p w14:paraId="457400C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35" w:type="dxa"/>
          </w:tcPr>
          <w:p w14:paraId="0E4E1C59" w14:textId="77777777" w:rsidR="00BF18CF" w:rsidRDefault="00E51347">
            <w:r>
              <w:rPr>
                <w:rFonts w:ascii="Consolas" w:eastAsia="Consolas" w:hAnsi="Consolas" w:cs="Consolas"/>
                <w:sz w:val="22"/>
                <w:szCs w:val="22"/>
                <w:shd w:val="clear" w:color="auto" w:fill="EAEEF3"/>
              </w:rPr>
              <w:t>E74_Groupe</w:t>
            </w:r>
          </w:p>
        </w:tc>
      </w:tr>
      <w:tr w:rsidR="00BF18CF" w14:paraId="0B62175B" w14:textId="77777777" w:rsidTr="00BF18CF">
        <w:tc>
          <w:tcPr>
            <w:tcW w:w="1955" w:type="dxa"/>
          </w:tcPr>
          <w:p w14:paraId="1C39096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35" w:type="dxa"/>
          </w:tcPr>
          <w:p w14:paraId="5329F328" w14:textId="77777777" w:rsidR="00BF18CF" w:rsidRDefault="00E51347">
            <w:r>
              <w:rPr>
                <w:rFonts w:ascii="Consolas" w:eastAsia="Consolas" w:hAnsi="Consolas" w:cs="Consolas"/>
                <w:sz w:val="22"/>
                <w:szCs w:val="22"/>
                <w:shd w:val="clear" w:color="auto" w:fill="EAEEF3"/>
              </w:rPr>
              <w:t>E63_Début_d’existence</w:t>
            </w:r>
            <w:r>
              <w:t xml:space="preserve">. </w:t>
            </w:r>
            <w:r>
              <w:rPr>
                <w:rFonts w:ascii="Consolas" w:eastAsia="Consolas" w:hAnsi="Consolas" w:cs="Consolas"/>
                <w:sz w:val="22"/>
                <w:szCs w:val="22"/>
                <w:shd w:val="clear" w:color="auto" w:fill="EAEEF3"/>
              </w:rPr>
              <w:t>P92_a_fait_exister (a_commencé_à_exister_par)</w:t>
            </w:r>
            <w:r>
              <w:t xml:space="preserve"> : </w:t>
            </w:r>
            <w:r>
              <w:rPr>
                <w:rFonts w:ascii="Consolas" w:eastAsia="Consolas" w:hAnsi="Consolas" w:cs="Consolas"/>
                <w:sz w:val="22"/>
                <w:szCs w:val="22"/>
                <w:shd w:val="clear" w:color="auto" w:fill="EAEEF3"/>
              </w:rPr>
              <w:t>E77_Entité_persistante</w:t>
            </w:r>
          </w:p>
        </w:tc>
      </w:tr>
      <w:tr w:rsidR="00BF18CF" w14:paraId="26018AC3" w14:textId="77777777" w:rsidTr="00BF18CF">
        <w:tc>
          <w:tcPr>
            <w:tcW w:w="1955" w:type="dxa"/>
          </w:tcPr>
          <w:p w14:paraId="4D26BF0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35" w:type="dxa"/>
          </w:tcPr>
          <w:p w14:paraId="627B0F29" w14:textId="77777777" w:rsidR="00BF18CF" w:rsidRDefault="00BF18CF">
            <w:pPr>
              <w:pBdr>
                <w:top w:val="nil"/>
                <w:left w:val="nil"/>
                <w:bottom w:val="nil"/>
                <w:right w:val="nil"/>
                <w:between w:val="nil"/>
              </w:pBdr>
              <w:spacing w:before="36" w:after="36"/>
              <w:rPr>
                <w:color w:val="000000"/>
              </w:rPr>
            </w:pPr>
          </w:p>
        </w:tc>
      </w:tr>
      <w:tr w:rsidR="00BF18CF" w14:paraId="1093F800" w14:textId="77777777" w:rsidTr="00BF18CF">
        <w:tc>
          <w:tcPr>
            <w:tcW w:w="1955" w:type="dxa"/>
          </w:tcPr>
          <w:p w14:paraId="24351FC7"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35" w:type="dxa"/>
          </w:tcPr>
          <w:p w14:paraId="2510CCF7" w14:textId="77777777" w:rsidR="00BF18CF" w:rsidRDefault="00E51347">
            <w:proofErr w:type="gramStart"/>
            <w:r>
              <w:t>un</w:t>
            </w:r>
            <w:proofErr w:type="gramEnd"/>
            <w:r>
              <w:t xml:space="preserve"> à plusieurs, nécessaire, dépendant (1,n:1,1)</w:t>
            </w:r>
          </w:p>
        </w:tc>
      </w:tr>
      <w:tr w:rsidR="00BF18CF" w14:paraId="0A1E9732" w14:textId="77777777" w:rsidTr="00BF18CF">
        <w:tc>
          <w:tcPr>
            <w:tcW w:w="1955" w:type="dxa"/>
          </w:tcPr>
          <w:p w14:paraId="179DCA6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35" w:type="dxa"/>
          </w:tcPr>
          <w:p w14:paraId="1B6B9ACE" w14:textId="77777777" w:rsidR="00BF18CF" w:rsidRDefault="00E51347">
            <w:r>
              <w:t xml:space="preserve">Cette propriété lie une instance de </w:t>
            </w:r>
            <w:r>
              <w:rPr>
                <w:rFonts w:ascii="Consolas" w:eastAsia="Consolas" w:hAnsi="Consolas" w:cs="Consolas"/>
                <w:sz w:val="22"/>
                <w:szCs w:val="22"/>
                <w:shd w:val="clear" w:color="auto" w:fill="EAEEF3"/>
              </w:rPr>
              <w:t>E66_Formation</w:t>
            </w:r>
            <w:r>
              <w:t xml:space="preserve"> à l’instance de </w:t>
            </w:r>
            <w:r>
              <w:rPr>
                <w:rFonts w:ascii="Consolas" w:eastAsia="Consolas" w:hAnsi="Consolas" w:cs="Consolas"/>
                <w:sz w:val="22"/>
                <w:szCs w:val="22"/>
                <w:shd w:val="clear" w:color="auto" w:fill="EAEEF3"/>
              </w:rPr>
              <w:t>E74_Groupe</w:t>
            </w:r>
            <w:r>
              <w:t xml:space="preserve"> qu’elle a </w:t>
            </w:r>
            <w:proofErr w:type="gramStart"/>
            <w:r>
              <w:t>fondée</w:t>
            </w:r>
            <w:proofErr w:type="gramEnd"/>
            <w:r>
              <w:t>.</w:t>
            </w:r>
          </w:p>
        </w:tc>
      </w:tr>
      <w:tr w:rsidR="00BF18CF" w14:paraId="6D334442" w14:textId="77777777" w:rsidTr="00BF18CF">
        <w:tc>
          <w:tcPr>
            <w:tcW w:w="1955" w:type="dxa"/>
          </w:tcPr>
          <w:p w14:paraId="529B2225"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35" w:type="dxa"/>
          </w:tcPr>
          <w:p w14:paraId="2479BC23" w14:textId="77777777" w:rsidR="00BF18CF" w:rsidRDefault="00E51347">
            <w:pPr>
              <w:numPr>
                <w:ilvl w:val="0"/>
                <w:numId w:val="19"/>
              </w:numPr>
            </w:pPr>
            <w:r>
              <w:t>La formation du Groupe d’intérêt spécial CRM lors de la réunion du conseil d’administration du CIDOC en août 2000 (</w:t>
            </w:r>
            <w:r>
              <w:rPr>
                <w:rFonts w:ascii="Consolas" w:eastAsia="Consolas" w:hAnsi="Consolas" w:cs="Consolas"/>
                <w:sz w:val="22"/>
                <w:szCs w:val="22"/>
                <w:shd w:val="clear" w:color="auto" w:fill="EAEEF3"/>
              </w:rPr>
              <w:t>E66_Formation</w:t>
            </w:r>
            <w:r>
              <w:t>) a fondé (</w:t>
            </w:r>
            <w:r>
              <w:rPr>
                <w:rFonts w:ascii="Consolas" w:eastAsia="Consolas" w:hAnsi="Consolas" w:cs="Consolas"/>
                <w:sz w:val="22"/>
                <w:szCs w:val="22"/>
                <w:shd w:val="clear" w:color="auto" w:fill="EAEEF3"/>
              </w:rPr>
              <w:t>P95_a_fondé</w:t>
            </w:r>
            <w:r>
              <w:t>) le Groupe d’intérêt spécial CRM (</w:t>
            </w:r>
            <w:r>
              <w:rPr>
                <w:rFonts w:ascii="Consolas" w:eastAsia="Consolas" w:hAnsi="Consolas" w:cs="Consolas"/>
                <w:sz w:val="22"/>
                <w:szCs w:val="22"/>
                <w:shd w:val="clear" w:color="auto" w:fill="EAEEF3"/>
              </w:rPr>
              <w:t>E74_Groupe</w:t>
            </w:r>
            <w:r>
              <w:t>)</w:t>
            </w:r>
          </w:p>
        </w:tc>
      </w:tr>
      <w:tr w:rsidR="00BF18CF" w14:paraId="396DFFFE" w14:textId="77777777" w:rsidTr="00BF18CF">
        <w:tc>
          <w:tcPr>
            <w:tcW w:w="1955" w:type="dxa"/>
          </w:tcPr>
          <w:p w14:paraId="62CE84F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35" w:type="dxa"/>
          </w:tcPr>
          <w:p w14:paraId="27D10F91" w14:textId="77777777" w:rsidR="00BF18CF" w:rsidRDefault="00E51347">
            <w:r>
              <w:t>P95(</w:t>
            </w:r>
            <w:proofErr w:type="gramStart"/>
            <w:r>
              <w:t>x,y</w:t>
            </w:r>
            <w:proofErr w:type="gramEnd"/>
            <w:r>
              <w:t>) ⇒ E66(x)</w:t>
            </w:r>
          </w:p>
          <w:p w14:paraId="1A4EFADB" w14:textId="77777777" w:rsidR="00BF18CF" w:rsidRDefault="00E51347">
            <w:r>
              <w:t>P95(</w:t>
            </w:r>
            <w:proofErr w:type="gramStart"/>
            <w:r>
              <w:t>x,y</w:t>
            </w:r>
            <w:proofErr w:type="gramEnd"/>
            <w:r>
              <w:t>) ⇒ E74(y)</w:t>
            </w:r>
          </w:p>
          <w:p w14:paraId="62FA5A7B" w14:textId="77777777" w:rsidR="00BF18CF" w:rsidRDefault="00E51347">
            <w:r>
              <w:t>P95(</w:t>
            </w:r>
            <w:proofErr w:type="gramStart"/>
            <w:r>
              <w:t>x,y</w:t>
            </w:r>
            <w:proofErr w:type="gramEnd"/>
            <w:r>
              <w:t>) ⇒ P92(x,y)</w:t>
            </w:r>
          </w:p>
        </w:tc>
      </w:tr>
      <w:tr w:rsidR="00BF18CF" w14:paraId="1640AF06" w14:textId="77777777" w:rsidTr="00BF18CF">
        <w:tc>
          <w:tcPr>
            <w:tcW w:w="1955" w:type="dxa"/>
          </w:tcPr>
          <w:p w14:paraId="4C028EE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35" w:type="dxa"/>
          </w:tcPr>
          <w:p w14:paraId="1931601B" w14:textId="77777777" w:rsidR="00BF18CF" w:rsidRDefault="00BF18CF">
            <w:pPr>
              <w:pBdr>
                <w:top w:val="nil"/>
                <w:left w:val="nil"/>
                <w:bottom w:val="nil"/>
                <w:right w:val="nil"/>
                <w:between w:val="nil"/>
              </w:pBdr>
              <w:spacing w:before="36" w:after="36"/>
              <w:rPr>
                <w:color w:val="000000"/>
              </w:rPr>
            </w:pPr>
          </w:p>
        </w:tc>
      </w:tr>
      <w:tr w:rsidR="00BF18CF" w14:paraId="2BA62A9C" w14:textId="77777777" w:rsidTr="00BF18CF">
        <w:tc>
          <w:tcPr>
            <w:tcW w:w="1955" w:type="dxa"/>
          </w:tcPr>
          <w:p w14:paraId="4A872A08" w14:textId="53A8533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35" w:type="dxa"/>
          </w:tcPr>
          <w:p w14:paraId="3E645F3B" w14:textId="77777777" w:rsidR="00BF18CF" w:rsidRDefault="00E51347">
            <w:r>
              <w:t>L'acronyme « SIG » a été remplacé par l'appellation complète « Groupe d'intérêt spécial » à des fins de cohérence avec la mention plus loin dans l'exemple.</w:t>
            </w:r>
          </w:p>
        </w:tc>
      </w:tr>
      <w:tr w:rsidR="00BF18CF" w14:paraId="3D8086D0" w14:textId="77777777" w:rsidTr="00BF18CF">
        <w:tc>
          <w:tcPr>
            <w:tcW w:w="1955" w:type="dxa"/>
          </w:tcPr>
          <w:p w14:paraId="20BD63C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35" w:type="dxa"/>
          </w:tcPr>
          <w:p w14:paraId="1CA9E9F1" w14:textId="77777777" w:rsidR="00BF18CF" w:rsidRDefault="00BF18CF">
            <w:pPr>
              <w:pBdr>
                <w:top w:val="nil"/>
                <w:left w:val="nil"/>
                <w:bottom w:val="nil"/>
                <w:right w:val="nil"/>
                <w:between w:val="nil"/>
              </w:pBdr>
              <w:spacing w:before="36" w:after="36"/>
              <w:rPr>
                <w:color w:val="000000"/>
              </w:rPr>
            </w:pPr>
          </w:p>
        </w:tc>
      </w:tr>
    </w:tbl>
    <w:p w14:paraId="06C09F40" w14:textId="77777777" w:rsidR="00BF18CF" w:rsidRDefault="00E51347">
      <w:pPr>
        <w:pStyle w:val="Heading3"/>
      </w:pPr>
      <w:bookmarkStart w:id="421" w:name="bookmark=id.393x0lu" w:colFirst="0" w:colLast="0"/>
      <w:bookmarkStart w:id="422" w:name="_Toc144360954"/>
      <w:bookmarkEnd w:id="421"/>
      <w:r>
        <w:t>P96 de mère (a donné naissance à)</w:t>
      </w:r>
      <w:bookmarkEnd w:id="422"/>
    </w:p>
    <w:tbl>
      <w:tblPr>
        <w:tblStyle w:val="affff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7"/>
        <w:gridCol w:w="8783"/>
      </w:tblGrid>
      <w:tr w:rsidR="00BF18CF" w14:paraId="3ECDEE11" w14:textId="77777777" w:rsidTr="00BF18CF">
        <w:tc>
          <w:tcPr>
            <w:tcW w:w="1907" w:type="dxa"/>
          </w:tcPr>
          <w:p w14:paraId="26AA0AE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83" w:type="dxa"/>
          </w:tcPr>
          <w:p w14:paraId="64702F28" w14:textId="77777777" w:rsidR="00BF18CF" w:rsidRDefault="00E51347">
            <w:r>
              <w:rPr>
                <w:rFonts w:ascii="Consolas" w:eastAsia="Consolas" w:hAnsi="Consolas" w:cs="Consolas"/>
                <w:sz w:val="22"/>
                <w:szCs w:val="22"/>
                <w:shd w:val="clear" w:color="auto" w:fill="EAEEF3"/>
              </w:rPr>
              <w:t>E67_Naissance</w:t>
            </w:r>
          </w:p>
        </w:tc>
      </w:tr>
      <w:tr w:rsidR="00BF18CF" w14:paraId="5A1D53D4" w14:textId="77777777" w:rsidTr="00BF18CF">
        <w:tc>
          <w:tcPr>
            <w:tcW w:w="1907" w:type="dxa"/>
          </w:tcPr>
          <w:p w14:paraId="7D32E886" w14:textId="77777777" w:rsidR="00BF18CF" w:rsidRDefault="00E51347">
            <w:pPr>
              <w:pBdr>
                <w:top w:val="nil"/>
                <w:left w:val="nil"/>
                <w:bottom w:val="nil"/>
                <w:right w:val="nil"/>
                <w:between w:val="nil"/>
              </w:pBdr>
              <w:spacing w:before="36" w:after="36"/>
              <w:rPr>
                <w:color w:val="000000"/>
              </w:rPr>
            </w:pPr>
            <w:r>
              <w:rPr>
                <w:b/>
                <w:color w:val="000000"/>
              </w:rPr>
              <w:lastRenderedPageBreak/>
              <w:t>Portée</w:t>
            </w:r>
          </w:p>
        </w:tc>
        <w:tc>
          <w:tcPr>
            <w:tcW w:w="8783" w:type="dxa"/>
          </w:tcPr>
          <w:p w14:paraId="250F6188" w14:textId="77777777" w:rsidR="00BF18CF" w:rsidRDefault="00E51347">
            <w:r>
              <w:rPr>
                <w:rFonts w:ascii="Consolas" w:eastAsia="Consolas" w:hAnsi="Consolas" w:cs="Consolas"/>
                <w:sz w:val="22"/>
                <w:szCs w:val="22"/>
                <w:shd w:val="clear" w:color="auto" w:fill="EAEEF3"/>
              </w:rPr>
              <w:t>E21_Personne</w:t>
            </w:r>
          </w:p>
        </w:tc>
      </w:tr>
      <w:tr w:rsidR="00BF18CF" w14:paraId="6BBE8A49" w14:textId="77777777" w:rsidTr="00BF18CF">
        <w:tc>
          <w:tcPr>
            <w:tcW w:w="1907" w:type="dxa"/>
          </w:tcPr>
          <w:p w14:paraId="3225D969"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83" w:type="dxa"/>
          </w:tcPr>
          <w:p w14:paraId="71127279"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P11_a_eu_pour_actant_participant (a_participé_à)</w:t>
            </w:r>
            <w:r>
              <w:t xml:space="preserve"> : </w:t>
            </w:r>
            <w:r>
              <w:rPr>
                <w:rFonts w:ascii="Consolas" w:eastAsia="Consolas" w:hAnsi="Consolas" w:cs="Consolas"/>
                <w:sz w:val="22"/>
                <w:szCs w:val="22"/>
                <w:shd w:val="clear" w:color="auto" w:fill="EAEEF3"/>
              </w:rPr>
              <w:t>E39_Actant</w:t>
            </w:r>
          </w:p>
        </w:tc>
      </w:tr>
      <w:tr w:rsidR="00BF18CF" w14:paraId="4A4CDEFC" w14:textId="77777777" w:rsidTr="00BF18CF">
        <w:tc>
          <w:tcPr>
            <w:tcW w:w="1907" w:type="dxa"/>
          </w:tcPr>
          <w:p w14:paraId="07CBF5F4"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83" w:type="dxa"/>
          </w:tcPr>
          <w:p w14:paraId="36A7469E" w14:textId="77777777" w:rsidR="00BF18CF" w:rsidRDefault="00BF18CF">
            <w:pPr>
              <w:pBdr>
                <w:top w:val="nil"/>
                <w:left w:val="nil"/>
                <w:bottom w:val="nil"/>
                <w:right w:val="nil"/>
                <w:between w:val="nil"/>
              </w:pBdr>
              <w:spacing w:before="36" w:after="36"/>
              <w:rPr>
                <w:color w:val="000000"/>
              </w:rPr>
            </w:pPr>
          </w:p>
        </w:tc>
      </w:tr>
      <w:tr w:rsidR="00BF18CF" w14:paraId="1303A193" w14:textId="77777777" w:rsidTr="00BF18CF">
        <w:tc>
          <w:tcPr>
            <w:tcW w:w="1907" w:type="dxa"/>
          </w:tcPr>
          <w:p w14:paraId="02133D3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83" w:type="dxa"/>
          </w:tcPr>
          <w:p w14:paraId="3721493E" w14:textId="77777777" w:rsidR="00BF18CF" w:rsidRDefault="00E51347">
            <w:proofErr w:type="gramStart"/>
            <w:r>
              <w:t>plusieurs</w:t>
            </w:r>
            <w:proofErr w:type="gramEnd"/>
            <w:r>
              <w:t xml:space="preserve"> à un, nécessaire (1,1:0,n)</w:t>
            </w:r>
          </w:p>
        </w:tc>
      </w:tr>
      <w:tr w:rsidR="00BF18CF" w14:paraId="6BAD2443" w14:textId="77777777" w:rsidTr="00BF18CF">
        <w:tc>
          <w:tcPr>
            <w:tcW w:w="1907" w:type="dxa"/>
          </w:tcPr>
          <w:p w14:paraId="0D5A4AE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83" w:type="dxa"/>
          </w:tcPr>
          <w:p w14:paraId="5BF8A38F" w14:textId="77777777" w:rsidR="00BF18CF" w:rsidRDefault="00E51347">
            <w:r>
              <w:t xml:space="preserve">Cette propriété lie une instance de </w:t>
            </w:r>
            <w:r>
              <w:rPr>
                <w:rFonts w:ascii="Consolas" w:eastAsia="Consolas" w:hAnsi="Consolas" w:cs="Consolas"/>
                <w:sz w:val="22"/>
                <w:szCs w:val="22"/>
                <w:shd w:val="clear" w:color="auto" w:fill="EAEEF3"/>
              </w:rPr>
              <w:t>E67_Naissance</w:t>
            </w:r>
            <w:r>
              <w:t xml:space="preserve"> à une instance de </w:t>
            </w:r>
            <w:r>
              <w:rPr>
                <w:rFonts w:ascii="Consolas" w:eastAsia="Consolas" w:hAnsi="Consolas" w:cs="Consolas"/>
                <w:sz w:val="22"/>
                <w:szCs w:val="22"/>
                <w:shd w:val="clear" w:color="auto" w:fill="EAEEF3"/>
              </w:rPr>
              <w:t>E21_Personne</w:t>
            </w:r>
            <w:r>
              <w:t xml:space="preserve"> dans le rôle de la mère donnant naissance.</w:t>
            </w:r>
          </w:p>
          <w:p w14:paraId="6CA799C3" w14:textId="77777777" w:rsidR="00BF18CF" w:rsidRDefault="00E51347">
            <w:r>
              <w:t xml:space="preserve">À noter que les pères biologiques ne sont pas nécessairement des participants à la naissance (voir </w:t>
            </w:r>
            <w:r>
              <w:rPr>
                <w:rFonts w:ascii="Consolas" w:eastAsia="Consolas" w:hAnsi="Consolas" w:cs="Consolas"/>
                <w:sz w:val="22"/>
                <w:szCs w:val="22"/>
                <w:shd w:val="clear" w:color="auto" w:fill="EAEEF3"/>
              </w:rPr>
              <w:t>P97_de_père (a_été_le_père_pour)</w:t>
            </w:r>
            <w:r>
              <w:t xml:space="preserve">). L'instance de </w:t>
            </w:r>
            <w:r>
              <w:rPr>
                <w:rFonts w:ascii="Consolas" w:eastAsia="Consolas" w:hAnsi="Consolas" w:cs="Consolas"/>
                <w:sz w:val="22"/>
                <w:szCs w:val="22"/>
                <w:shd w:val="clear" w:color="auto" w:fill="EAEEF3"/>
              </w:rPr>
              <w:t>E21_Personne</w:t>
            </w:r>
            <w:r>
              <w:t xml:space="preserve"> en train de naître est liée à l'instance de </w:t>
            </w:r>
            <w:r>
              <w:rPr>
                <w:rFonts w:ascii="Consolas" w:eastAsia="Consolas" w:hAnsi="Consolas" w:cs="Consolas"/>
                <w:sz w:val="22"/>
                <w:szCs w:val="22"/>
                <w:shd w:val="clear" w:color="auto" w:fill="EAEEF3"/>
              </w:rPr>
              <w:t>E67_Naissance</w:t>
            </w:r>
            <w:r>
              <w:t xml:space="preserve"> par la propriété </w:t>
            </w:r>
            <w:r>
              <w:rPr>
                <w:rFonts w:ascii="Consolas" w:eastAsia="Consolas" w:hAnsi="Consolas" w:cs="Consolas"/>
                <w:sz w:val="22"/>
                <w:szCs w:val="22"/>
                <w:shd w:val="clear" w:color="auto" w:fill="EAEEF3"/>
              </w:rPr>
              <w:t>P98_a_donné_vie_à (est_né)</w:t>
            </w:r>
            <w:r>
              <w:t>.</w:t>
            </w:r>
          </w:p>
          <w:p w14:paraId="74C2AE7F" w14:textId="77777777" w:rsidR="00BF18CF" w:rsidRDefault="00E51347">
            <w:r>
              <w:t>[</w:t>
            </w:r>
            <w:proofErr w:type="gramStart"/>
            <w:r>
              <w:t>n.d.t.</w:t>
            </w:r>
            <w:proofErr w:type="gramEnd"/>
            <w:r>
              <w:t xml:space="preserve"> La propriété P96_de_mère (a_donné_naissance_à)] n’est pas destinée à être utilisée dans le contexte de l’histoire naturelle à l’exception des personnes. Il n’y a pas de méthode explicite pour modéliser la conception et la gestation à moins d’utiliser des extensions.</w:t>
            </w:r>
          </w:p>
        </w:tc>
      </w:tr>
      <w:tr w:rsidR="00BF18CF" w14:paraId="3184AE93" w14:textId="77777777" w:rsidTr="00BF18CF">
        <w:tc>
          <w:tcPr>
            <w:tcW w:w="1907" w:type="dxa"/>
          </w:tcPr>
          <w:p w14:paraId="6C550E5B"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83" w:type="dxa"/>
          </w:tcPr>
          <w:p w14:paraId="1614A82E" w14:textId="77777777" w:rsidR="00BF18CF" w:rsidRDefault="00E51347">
            <w:pPr>
              <w:numPr>
                <w:ilvl w:val="0"/>
                <w:numId w:val="19"/>
              </w:numPr>
            </w:pPr>
            <w:r>
              <w:t>La naissance de la reine Elizabeth II (</w:t>
            </w:r>
            <w:r>
              <w:rPr>
                <w:rFonts w:ascii="Consolas" w:eastAsia="Consolas" w:hAnsi="Consolas" w:cs="Consolas"/>
                <w:sz w:val="22"/>
                <w:szCs w:val="22"/>
                <w:shd w:val="clear" w:color="auto" w:fill="EAEEF3"/>
              </w:rPr>
              <w:t>E67_Naissance</w:t>
            </w:r>
            <w:r>
              <w:t>) par sa mère (</w:t>
            </w:r>
            <w:r>
              <w:rPr>
                <w:rFonts w:ascii="Consolas" w:eastAsia="Consolas" w:hAnsi="Consolas" w:cs="Consolas"/>
                <w:sz w:val="22"/>
                <w:szCs w:val="22"/>
                <w:shd w:val="clear" w:color="auto" w:fill="EAEEF3"/>
              </w:rPr>
              <w:t>P96_de_mère</w:t>
            </w:r>
            <w:r>
              <w:t>) Sa Majesté la reine Elizabeth, la Reine Mère (</w:t>
            </w:r>
            <w:r>
              <w:rPr>
                <w:rFonts w:ascii="Consolas" w:eastAsia="Consolas" w:hAnsi="Consolas" w:cs="Consolas"/>
                <w:sz w:val="22"/>
                <w:szCs w:val="22"/>
                <w:shd w:val="clear" w:color="auto" w:fill="EAEEF3"/>
              </w:rPr>
              <w:t>E21_Personne</w:t>
            </w:r>
            <w:r>
              <w:t>) (Parker, 2002)</w:t>
            </w:r>
          </w:p>
        </w:tc>
      </w:tr>
      <w:tr w:rsidR="00BF18CF" w14:paraId="7819AF7A" w14:textId="77777777" w:rsidTr="00BF18CF">
        <w:tc>
          <w:tcPr>
            <w:tcW w:w="1907" w:type="dxa"/>
          </w:tcPr>
          <w:p w14:paraId="4A2A0A4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83" w:type="dxa"/>
          </w:tcPr>
          <w:p w14:paraId="49D92D92" w14:textId="77777777" w:rsidR="00BF18CF" w:rsidRDefault="00E51347">
            <w:r>
              <w:t>P96(</w:t>
            </w:r>
            <w:proofErr w:type="gramStart"/>
            <w:r>
              <w:t>x,y</w:t>
            </w:r>
            <w:proofErr w:type="gramEnd"/>
            <w:r>
              <w:t>) ⇒ E67(x)</w:t>
            </w:r>
          </w:p>
          <w:p w14:paraId="2BB60378" w14:textId="77777777" w:rsidR="00BF18CF" w:rsidRDefault="00E51347">
            <w:r>
              <w:t>P96(</w:t>
            </w:r>
            <w:proofErr w:type="gramStart"/>
            <w:r>
              <w:t>x,y</w:t>
            </w:r>
            <w:proofErr w:type="gramEnd"/>
            <w:r>
              <w:t>) ⇒ E21(y)</w:t>
            </w:r>
          </w:p>
          <w:p w14:paraId="00AFECBD" w14:textId="77777777" w:rsidR="00BF18CF" w:rsidRDefault="00E51347">
            <w:r>
              <w:t>P96(</w:t>
            </w:r>
            <w:proofErr w:type="gramStart"/>
            <w:r>
              <w:t>x,y</w:t>
            </w:r>
            <w:proofErr w:type="gramEnd"/>
            <w:r>
              <w:t>) ⇒ P11(x,y)</w:t>
            </w:r>
          </w:p>
        </w:tc>
      </w:tr>
      <w:tr w:rsidR="00BF18CF" w14:paraId="41B5E7C0" w14:textId="77777777" w:rsidTr="00BF18CF">
        <w:tc>
          <w:tcPr>
            <w:tcW w:w="1907" w:type="dxa"/>
          </w:tcPr>
          <w:p w14:paraId="0C6DCA9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83" w:type="dxa"/>
          </w:tcPr>
          <w:p w14:paraId="6B01DE31" w14:textId="77777777" w:rsidR="00BF18CF" w:rsidRDefault="00BF18CF">
            <w:pPr>
              <w:pBdr>
                <w:top w:val="nil"/>
                <w:left w:val="nil"/>
                <w:bottom w:val="nil"/>
                <w:right w:val="nil"/>
                <w:between w:val="nil"/>
              </w:pBdr>
              <w:spacing w:before="36" w:after="36"/>
              <w:rPr>
                <w:color w:val="000000"/>
              </w:rPr>
            </w:pPr>
          </w:p>
        </w:tc>
      </w:tr>
      <w:tr w:rsidR="00BF18CF" w14:paraId="3D02C154" w14:textId="77777777" w:rsidTr="00BF18CF">
        <w:tc>
          <w:tcPr>
            <w:tcW w:w="1907" w:type="dxa"/>
          </w:tcPr>
          <w:p w14:paraId="7A888497" w14:textId="5E5D510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83" w:type="dxa"/>
          </w:tcPr>
          <w:p w14:paraId="62539EDF" w14:textId="77777777" w:rsidR="00BF18CF" w:rsidRDefault="00E51347">
            <w:r>
              <w:t>Une erreur s’est glissée dans la version anglophone, au deuxième paragraphe; on devrait lire « The instance of E21 Person [...] » et non pas « The instance of P21 Person [...] ».</w:t>
            </w:r>
          </w:p>
        </w:tc>
      </w:tr>
      <w:tr w:rsidR="00BF18CF" w14:paraId="03D0DEB1" w14:textId="77777777" w:rsidTr="00BF18CF">
        <w:tc>
          <w:tcPr>
            <w:tcW w:w="1907" w:type="dxa"/>
          </w:tcPr>
          <w:p w14:paraId="2DBF981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83" w:type="dxa"/>
          </w:tcPr>
          <w:p w14:paraId="2A39BB3D" w14:textId="77777777" w:rsidR="00BF18CF" w:rsidRDefault="00BF18CF">
            <w:pPr>
              <w:pBdr>
                <w:top w:val="nil"/>
                <w:left w:val="nil"/>
                <w:bottom w:val="nil"/>
                <w:right w:val="nil"/>
                <w:between w:val="nil"/>
              </w:pBdr>
              <w:spacing w:before="36" w:after="36"/>
              <w:rPr>
                <w:color w:val="000000"/>
              </w:rPr>
            </w:pPr>
          </w:p>
        </w:tc>
      </w:tr>
    </w:tbl>
    <w:p w14:paraId="7EFBE35F" w14:textId="77777777" w:rsidR="00BF18CF" w:rsidRDefault="00E51347">
      <w:pPr>
        <w:pStyle w:val="Heading3"/>
      </w:pPr>
      <w:bookmarkStart w:id="423" w:name="bookmark=id.1o97atn" w:colFirst="0" w:colLast="0"/>
      <w:bookmarkStart w:id="424" w:name="_Toc144360955"/>
      <w:bookmarkEnd w:id="423"/>
      <w:r>
        <w:t>P97 de père (a été le père pour)</w:t>
      </w:r>
      <w:bookmarkEnd w:id="424"/>
    </w:p>
    <w:tbl>
      <w:tblPr>
        <w:tblStyle w:val="afffffff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5"/>
        <w:gridCol w:w="8795"/>
      </w:tblGrid>
      <w:tr w:rsidR="00BF18CF" w14:paraId="7B45DBF5" w14:textId="77777777" w:rsidTr="00BF18CF">
        <w:tc>
          <w:tcPr>
            <w:tcW w:w="1895" w:type="dxa"/>
          </w:tcPr>
          <w:p w14:paraId="204EA0C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5" w:type="dxa"/>
          </w:tcPr>
          <w:p w14:paraId="037A0607" w14:textId="77777777" w:rsidR="00BF18CF" w:rsidRDefault="00E51347">
            <w:r>
              <w:rPr>
                <w:rFonts w:ascii="Consolas" w:eastAsia="Consolas" w:hAnsi="Consolas" w:cs="Consolas"/>
                <w:sz w:val="22"/>
                <w:szCs w:val="22"/>
                <w:shd w:val="clear" w:color="auto" w:fill="EAEEF3"/>
              </w:rPr>
              <w:t>E67_Naissance</w:t>
            </w:r>
          </w:p>
        </w:tc>
      </w:tr>
      <w:tr w:rsidR="00BF18CF" w14:paraId="2FC928B4" w14:textId="77777777" w:rsidTr="00BF18CF">
        <w:tc>
          <w:tcPr>
            <w:tcW w:w="1895" w:type="dxa"/>
          </w:tcPr>
          <w:p w14:paraId="421446A8"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5" w:type="dxa"/>
          </w:tcPr>
          <w:p w14:paraId="1EE7703A" w14:textId="77777777" w:rsidR="00BF18CF" w:rsidRDefault="00E51347">
            <w:r>
              <w:rPr>
                <w:rFonts w:ascii="Consolas" w:eastAsia="Consolas" w:hAnsi="Consolas" w:cs="Consolas"/>
                <w:sz w:val="22"/>
                <w:szCs w:val="22"/>
                <w:shd w:val="clear" w:color="auto" w:fill="EAEEF3"/>
              </w:rPr>
              <w:t>E21_Personne</w:t>
            </w:r>
          </w:p>
        </w:tc>
      </w:tr>
      <w:tr w:rsidR="00BF18CF" w14:paraId="53BC48E1" w14:textId="77777777" w:rsidTr="00BF18CF">
        <w:tc>
          <w:tcPr>
            <w:tcW w:w="1895" w:type="dxa"/>
          </w:tcPr>
          <w:p w14:paraId="532B4DB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5" w:type="dxa"/>
          </w:tcPr>
          <w:p w14:paraId="3F524F62" w14:textId="77777777" w:rsidR="00BF18CF" w:rsidRDefault="00BF18CF">
            <w:pPr>
              <w:pBdr>
                <w:top w:val="nil"/>
                <w:left w:val="nil"/>
                <w:bottom w:val="nil"/>
                <w:right w:val="nil"/>
                <w:between w:val="nil"/>
              </w:pBdr>
              <w:spacing w:before="36" w:after="36"/>
              <w:rPr>
                <w:color w:val="000000"/>
              </w:rPr>
            </w:pPr>
          </w:p>
        </w:tc>
      </w:tr>
      <w:tr w:rsidR="00BF18CF" w14:paraId="48B1B38B" w14:textId="77777777" w:rsidTr="00BF18CF">
        <w:tc>
          <w:tcPr>
            <w:tcW w:w="1895" w:type="dxa"/>
          </w:tcPr>
          <w:p w14:paraId="7944B74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5" w:type="dxa"/>
          </w:tcPr>
          <w:p w14:paraId="5C371872" w14:textId="77777777" w:rsidR="00BF18CF" w:rsidRDefault="00BF18CF">
            <w:pPr>
              <w:pBdr>
                <w:top w:val="nil"/>
                <w:left w:val="nil"/>
                <w:bottom w:val="nil"/>
                <w:right w:val="nil"/>
                <w:between w:val="nil"/>
              </w:pBdr>
              <w:spacing w:before="36" w:after="36"/>
              <w:rPr>
                <w:color w:val="000000"/>
              </w:rPr>
            </w:pPr>
          </w:p>
        </w:tc>
      </w:tr>
      <w:tr w:rsidR="00BF18CF" w14:paraId="0FC6A920" w14:textId="77777777" w:rsidTr="00BF18CF">
        <w:tc>
          <w:tcPr>
            <w:tcW w:w="1895" w:type="dxa"/>
          </w:tcPr>
          <w:p w14:paraId="6441A51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5" w:type="dxa"/>
          </w:tcPr>
          <w:p w14:paraId="4566B1FA" w14:textId="77777777" w:rsidR="00BF18CF" w:rsidRDefault="00E51347">
            <w:proofErr w:type="gramStart"/>
            <w:r>
              <w:t>plusieurs</w:t>
            </w:r>
            <w:proofErr w:type="gramEnd"/>
            <w:r>
              <w:t xml:space="preserve"> à un, nécessaire (1,1:0,n)</w:t>
            </w:r>
          </w:p>
        </w:tc>
      </w:tr>
      <w:tr w:rsidR="00BF18CF" w14:paraId="3A859562" w14:textId="77777777" w:rsidTr="00BF18CF">
        <w:tc>
          <w:tcPr>
            <w:tcW w:w="1895" w:type="dxa"/>
          </w:tcPr>
          <w:p w14:paraId="5352FA47"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795" w:type="dxa"/>
          </w:tcPr>
          <w:p w14:paraId="315864D7" w14:textId="77777777" w:rsidR="00BF18CF" w:rsidRDefault="00E51347">
            <w:r>
              <w:t xml:space="preserve">Cette propriété lie une instance de </w:t>
            </w:r>
            <w:r>
              <w:rPr>
                <w:rFonts w:ascii="Consolas" w:eastAsia="Consolas" w:hAnsi="Consolas" w:cs="Consolas"/>
                <w:sz w:val="22"/>
                <w:szCs w:val="22"/>
                <w:shd w:val="clear" w:color="auto" w:fill="EAEEF3"/>
              </w:rPr>
              <w:t>E67_Naissance</w:t>
            </w:r>
            <w:r>
              <w:t xml:space="preserve"> a une instance de </w:t>
            </w:r>
            <w:r>
              <w:rPr>
                <w:rFonts w:ascii="Consolas" w:eastAsia="Consolas" w:hAnsi="Consolas" w:cs="Consolas"/>
                <w:sz w:val="22"/>
                <w:szCs w:val="22"/>
                <w:shd w:val="clear" w:color="auto" w:fill="EAEEF3"/>
              </w:rPr>
              <w:t>E21_Personne</w:t>
            </w:r>
            <w:r>
              <w:t xml:space="preserve"> dans le rôle du père biologique.</w:t>
            </w:r>
          </w:p>
          <w:p w14:paraId="272146ED" w14:textId="77777777" w:rsidR="00BF18CF" w:rsidRDefault="00E51347">
            <w:r>
              <w:t>Les pères biologiques ne sont pas considérés comme des participants nécessaires à la naissance, alors que les mères qui accouchent le sont (voir</w:t>
            </w:r>
            <w:hyperlink r:id="rId417">
              <w:r>
                <w:rPr>
                  <w:color w:val="4F81BD"/>
                </w:rPr>
                <w:t xml:space="preserve"> </w:t>
              </w:r>
            </w:hyperlink>
            <w:r>
              <w:rPr>
                <w:rFonts w:ascii="Consolas" w:eastAsia="Consolas" w:hAnsi="Consolas" w:cs="Consolas"/>
                <w:sz w:val="22"/>
                <w:szCs w:val="22"/>
                <w:shd w:val="clear" w:color="auto" w:fill="EAEEF3"/>
              </w:rPr>
              <w:t>P96_de_mère (a_donné_naissance_à)</w:t>
            </w:r>
            <w:r>
              <w:t xml:space="preserve">). L'instance de </w:t>
            </w:r>
            <w:r>
              <w:rPr>
                <w:rFonts w:ascii="Consolas" w:eastAsia="Consolas" w:hAnsi="Consolas" w:cs="Consolas"/>
                <w:sz w:val="22"/>
                <w:szCs w:val="22"/>
                <w:shd w:val="clear" w:color="auto" w:fill="EAEEF3"/>
              </w:rPr>
              <w:t>E21_Personne</w:t>
            </w:r>
            <w:r>
              <w:t xml:space="preserve"> en train de naître est liée à l'instance de </w:t>
            </w:r>
            <w:r>
              <w:rPr>
                <w:rFonts w:ascii="Consolas" w:eastAsia="Consolas" w:hAnsi="Consolas" w:cs="Consolas"/>
                <w:sz w:val="22"/>
                <w:szCs w:val="22"/>
                <w:shd w:val="clear" w:color="auto" w:fill="EAEEF3"/>
              </w:rPr>
              <w:t>E67_Naissance</w:t>
            </w:r>
            <w:r>
              <w:t xml:space="preserve"> par la propriété </w:t>
            </w:r>
            <w:r>
              <w:rPr>
                <w:rFonts w:ascii="Consolas" w:eastAsia="Consolas" w:hAnsi="Consolas" w:cs="Consolas"/>
                <w:sz w:val="22"/>
                <w:szCs w:val="22"/>
                <w:shd w:val="clear" w:color="auto" w:fill="EAEEF3"/>
              </w:rPr>
              <w:t>P98_a_donné_vie_à (est_né)</w:t>
            </w:r>
            <w:r>
              <w:t>.</w:t>
            </w:r>
          </w:p>
          <w:p w14:paraId="42AABC21" w14:textId="77777777" w:rsidR="00BF18CF" w:rsidRDefault="00E51347">
            <w:r>
              <w:t xml:space="preserve">[n.d.t La propriété </w:t>
            </w:r>
            <w:r>
              <w:rPr>
                <w:rFonts w:ascii="Consolas" w:eastAsia="Consolas" w:hAnsi="Consolas" w:cs="Consolas"/>
                <w:sz w:val="22"/>
                <w:szCs w:val="22"/>
                <w:shd w:val="clear" w:color="auto" w:fill="EAEEF3"/>
              </w:rPr>
              <w:t>P97_de_père (a_été_le_père_pour)</w:t>
            </w:r>
            <w:r>
              <w:t>] n’est pas destinée à être utilisée dans le contexte de l’histoire naturelle à l’exception des personnes. Il n’y a pas de méthode explicite pour modéliser la conception et la gestation à moins d’utiliser des extensions.</w:t>
            </w:r>
          </w:p>
          <w:p w14:paraId="2B000326" w14:textId="77777777" w:rsidR="00BF18CF" w:rsidRDefault="00E51347">
            <w:r>
              <w:t xml:space="preserve">Une instance de </w:t>
            </w:r>
            <w:r>
              <w:rPr>
                <w:rFonts w:ascii="Consolas" w:eastAsia="Consolas" w:hAnsi="Consolas" w:cs="Consolas"/>
                <w:sz w:val="22"/>
                <w:szCs w:val="22"/>
                <w:shd w:val="clear" w:color="auto" w:fill="EAEEF3"/>
              </w:rPr>
              <w:t>E67_Naissance</w:t>
            </w:r>
            <w:r>
              <w:t xml:space="preserve"> est normalement (mais pas toujours) associée à un seul père biologique.</w:t>
            </w:r>
          </w:p>
        </w:tc>
      </w:tr>
      <w:tr w:rsidR="00BF18CF" w14:paraId="6415DCEE" w14:textId="77777777" w:rsidTr="00BF18CF">
        <w:tc>
          <w:tcPr>
            <w:tcW w:w="1895" w:type="dxa"/>
          </w:tcPr>
          <w:p w14:paraId="31C09C81"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5" w:type="dxa"/>
          </w:tcPr>
          <w:p w14:paraId="4540DAC7" w14:textId="77777777" w:rsidR="00BF18CF" w:rsidRDefault="00E51347">
            <w:pPr>
              <w:numPr>
                <w:ilvl w:val="0"/>
                <w:numId w:val="19"/>
              </w:numPr>
            </w:pPr>
            <w:r>
              <w:t>Le roi George VI (</w:t>
            </w:r>
            <w:r>
              <w:rPr>
                <w:rFonts w:ascii="Consolas" w:eastAsia="Consolas" w:hAnsi="Consolas" w:cs="Consolas"/>
                <w:sz w:val="22"/>
                <w:szCs w:val="22"/>
                <w:shd w:val="clear" w:color="auto" w:fill="EAEEF3"/>
              </w:rPr>
              <w:t>E21_Personne</w:t>
            </w:r>
            <w:r>
              <w:t>) a été le père pour (</w:t>
            </w:r>
            <w:r>
              <w:rPr>
                <w:rFonts w:ascii="Consolas" w:eastAsia="Consolas" w:hAnsi="Consolas" w:cs="Consolas"/>
                <w:sz w:val="22"/>
                <w:szCs w:val="22"/>
                <w:shd w:val="clear" w:color="auto" w:fill="EAEEF3"/>
              </w:rPr>
              <w:t>P97i_a_été_le_père_pour</w:t>
            </w:r>
            <w:r>
              <w:t>) la naissance de la reine Élizabeth II (</w:t>
            </w:r>
            <w:r>
              <w:rPr>
                <w:rFonts w:ascii="Consolas" w:eastAsia="Consolas" w:hAnsi="Consolas" w:cs="Consolas"/>
                <w:sz w:val="22"/>
                <w:szCs w:val="22"/>
                <w:shd w:val="clear" w:color="auto" w:fill="EAEEF3"/>
              </w:rPr>
              <w:t>E67_Naissance</w:t>
            </w:r>
            <w:r>
              <w:t>) (Parker, 2002)</w:t>
            </w:r>
          </w:p>
        </w:tc>
      </w:tr>
      <w:tr w:rsidR="00BF18CF" w14:paraId="3DC0E08D" w14:textId="77777777" w:rsidTr="00BF18CF">
        <w:tc>
          <w:tcPr>
            <w:tcW w:w="1895" w:type="dxa"/>
          </w:tcPr>
          <w:p w14:paraId="35C9921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5" w:type="dxa"/>
          </w:tcPr>
          <w:p w14:paraId="10F67152" w14:textId="77777777" w:rsidR="00BF18CF" w:rsidRDefault="00E51347">
            <w:r>
              <w:t>P97(</w:t>
            </w:r>
            <w:proofErr w:type="gramStart"/>
            <w:r>
              <w:t>x,y</w:t>
            </w:r>
            <w:proofErr w:type="gramEnd"/>
            <w:r>
              <w:t>) ⇒ E67(x)</w:t>
            </w:r>
          </w:p>
          <w:p w14:paraId="59661F05" w14:textId="77777777" w:rsidR="00BF18CF" w:rsidRDefault="00E51347">
            <w:r>
              <w:t>P97(</w:t>
            </w:r>
            <w:proofErr w:type="gramStart"/>
            <w:r>
              <w:t>x,y</w:t>
            </w:r>
            <w:proofErr w:type="gramEnd"/>
            <w:r>
              <w:t>) ⇒ E21(y)</w:t>
            </w:r>
          </w:p>
        </w:tc>
      </w:tr>
      <w:tr w:rsidR="00BF18CF" w14:paraId="214D156D" w14:textId="77777777" w:rsidTr="00BF18CF">
        <w:tc>
          <w:tcPr>
            <w:tcW w:w="1895" w:type="dxa"/>
          </w:tcPr>
          <w:p w14:paraId="2B7363F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5" w:type="dxa"/>
          </w:tcPr>
          <w:p w14:paraId="04CF5719" w14:textId="77777777" w:rsidR="00BF18CF" w:rsidRDefault="00BF18CF">
            <w:pPr>
              <w:pBdr>
                <w:top w:val="nil"/>
                <w:left w:val="nil"/>
                <w:bottom w:val="nil"/>
                <w:right w:val="nil"/>
                <w:between w:val="nil"/>
              </w:pBdr>
              <w:spacing w:before="36" w:after="36"/>
              <w:rPr>
                <w:color w:val="000000"/>
              </w:rPr>
            </w:pPr>
          </w:p>
        </w:tc>
      </w:tr>
      <w:tr w:rsidR="00BF18CF" w14:paraId="6A701CAE" w14:textId="77777777" w:rsidTr="00BF18CF">
        <w:tc>
          <w:tcPr>
            <w:tcW w:w="1895" w:type="dxa"/>
          </w:tcPr>
          <w:p w14:paraId="253BCB0B" w14:textId="1B80725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5" w:type="dxa"/>
          </w:tcPr>
          <w:p w14:paraId="01E933AD" w14:textId="77777777" w:rsidR="00BF18CF" w:rsidRDefault="00BF18CF">
            <w:pPr>
              <w:pBdr>
                <w:top w:val="nil"/>
                <w:left w:val="nil"/>
                <w:bottom w:val="nil"/>
                <w:right w:val="nil"/>
                <w:between w:val="nil"/>
              </w:pBdr>
              <w:spacing w:before="36" w:after="36"/>
              <w:rPr>
                <w:color w:val="000000"/>
              </w:rPr>
            </w:pPr>
          </w:p>
        </w:tc>
      </w:tr>
      <w:tr w:rsidR="00BF18CF" w14:paraId="059DD3BB" w14:textId="77777777" w:rsidTr="00BF18CF">
        <w:tc>
          <w:tcPr>
            <w:tcW w:w="1895" w:type="dxa"/>
          </w:tcPr>
          <w:p w14:paraId="6A093F30"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5" w:type="dxa"/>
          </w:tcPr>
          <w:p w14:paraId="7FCA0E91" w14:textId="77777777" w:rsidR="00BF18CF" w:rsidRDefault="00BF18CF">
            <w:pPr>
              <w:pBdr>
                <w:top w:val="nil"/>
                <w:left w:val="nil"/>
                <w:bottom w:val="nil"/>
                <w:right w:val="nil"/>
                <w:between w:val="nil"/>
              </w:pBdr>
              <w:spacing w:before="36" w:after="36"/>
              <w:rPr>
                <w:color w:val="000000"/>
              </w:rPr>
            </w:pPr>
          </w:p>
        </w:tc>
      </w:tr>
    </w:tbl>
    <w:p w14:paraId="12D05493" w14:textId="77777777" w:rsidR="00BF18CF" w:rsidRDefault="00E51347">
      <w:pPr>
        <w:pStyle w:val="Heading3"/>
      </w:pPr>
      <w:bookmarkStart w:id="425" w:name="bookmark=id.488uthg" w:colFirst="0" w:colLast="0"/>
      <w:bookmarkStart w:id="426" w:name="_Toc144360956"/>
      <w:bookmarkEnd w:id="425"/>
      <w:r>
        <w:t>P98 a donné vie à (est né)</w:t>
      </w:r>
      <w:bookmarkEnd w:id="426"/>
    </w:p>
    <w:tbl>
      <w:tblPr>
        <w:tblStyle w:val="afffff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24"/>
        <w:gridCol w:w="8766"/>
      </w:tblGrid>
      <w:tr w:rsidR="00BF18CF" w14:paraId="5902A59D" w14:textId="77777777" w:rsidTr="00BF18CF">
        <w:tc>
          <w:tcPr>
            <w:tcW w:w="1924" w:type="dxa"/>
          </w:tcPr>
          <w:p w14:paraId="5D494240"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66" w:type="dxa"/>
          </w:tcPr>
          <w:p w14:paraId="5E7F6997" w14:textId="77777777" w:rsidR="00BF18CF" w:rsidRDefault="00E51347">
            <w:r>
              <w:rPr>
                <w:rFonts w:ascii="Consolas" w:eastAsia="Consolas" w:hAnsi="Consolas" w:cs="Consolas"/>
                <w:sz w:val="22"/>
                <w:szCs w:val="22"/>
                <w:shd w:val="clear" w:color="auto" w:fill="EAEEF3"/>
              </w:rPr>
              <w:t>E67_Naissance</w:t>
            </w:r>
          </w:p>
        </w:tc>
      </w:tr>
      <w:tr w:rsidR="00BF18CF" w14:paraId="1C402A19" w14:textId="77777777" w:rsidTr="00BF18CF">
        <w:tc>
          <w:tcPr>
            <w:tcW w:w="1924" w:type="dxa"/>
          </w:tcPr>
          <w:p w14:paraId="5598571E"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66" w:type="dxa"/>
          </w:tcPr>
          <w:p w14:paraId="505306FE" w14:textId="77777777" w:rsidR="00BF18CF" w:rsidRDefault="00E51347">
            <w:r>
              <w:rPr>
                <w:rFonts w:ascii="Consolas" w:eastAsia="Consolas" w:hAnsi="Consolas" w:cs="Consolas"/>
                <w:sz w:val="22"/>
                <w:szCs w:val="22"/>
                <w:shd w:val="clear" w:color="auto" w:fill="EAEEF3"/>
              </w:rPr>
              <w:t>E21_Personne</w:t>
            </w:r>
          </w:p>
        </w:tc>
      </w:tr>
      <w:tr w:rsidR="00BF18CF" w14:paraId="49B68CD5" w14:textId="77777777" w:rsidTr="00BF18CF">
        <w:tc>
          <w:tcPr>
            <w:tcW w:w="1924" w:type="dxa"/>
          </w:tcPr>
          <w:p w14:paraId="649BC32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66" w:type="dxa"/>
          </w:tcPr>
          <w:p w14:paraId="469B2A67" w14:textId="77777777" w:rsidR="00BF18CF" w:rsidRDefault="00E51347">
            <w:r>
              <w:rPr>
                <w:rFonts w:ascii="Consolas" w:eastAsia="Consolas" w:hAnsi="Consolas" w:cs="Consolas"/>
                <w:sz w:val="22"/>
                <w:szCs w:val="22"/>
                <w:shd w:val="clear" w:color="auto" w:fill="EAEEF3"/>
              </w:rPr>
              <w:t>E63_Début_d’existence</w:t>
            </w:r>
            <w:r>
              <w:t xml:space="preserve">. </w:t>
            </w:r>
            <w:r>
              <w:rPr>
                <w:rFonts w:ascii="Consolas" w:eastAsia="Consolas" w:hAnsi="Consolas" w:cs="Consolas"/>
                <w:sz w:val="22"/>
                <w:szCs w:val="22"/>
                <w:shd w:val="clear" w:color="auto" w:fill="EAEEF3"/>
              </w:rPr>
              <w:t>P92_a_fait_exister (a_commencé_à_exister_par)</w:t>
            </w:r>
            <w:r>
              <w:t xml:space="preserve"> : </w:t>
            </w:r>
            <w:r>
              <w:rPr>
                <w:rFonts w:ascii="Consolas" w:eastAsia="Consolas" w:hAnsi="Consolas" w:cs="Consolas"/>
                <w:sz w:val="22"/>
                <w:szCs w:val="22"/>
                <w:shd w:val="clear" w:color="auto" w:fill="EAEEF3"/>
              </w:rPr>
              <w:t>E77_Entité_persistante</w:t>
            </w:r>
          </w:p>
        </w:tc>
      </w:tr>
      <w:tr w:rsidR="00BF18CF" w14:paraId="0832184D" w14:textId="77777777" w:rsidTr="00BF18CF">
        <w:tc>
          <w:tcPr>
            <w:tcW w:w="1924" w:type="dxa"/>
          </w:tcPr>
          <w:p w14:paraId="7B4591E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66" w:type="dxa"/>
          </w:tcPr>
          <w:p w14:paraId="36FC4D66" w14:textId="77777777" w:rsidR="00BF18CF" w:rsidRDefault="00BF18CF">
            <w:pPr>
              <w:pBdr>
                <w:top w:val="nil"/>
                <w:left w:val="nil"/>
                <w:bottom w:val="nil"/>
                <w:right w:val="nil"/>
                <w:between w:val="nil"/>
              </w:pBdr>
              <w:spacing w:before="36" w:after="36"/>
              <w:rPr>
                <w:color w:val="000000"/>
              </w:rPr>
            </w:pPr>
          </w:p>
        </w:tc>
      </w:tr>
      <w:tr w:rsidR="00BF18CF" w14:paraId="4062A557" w14:textId="77777777" w:rsidTr="00BF18CF">
        <w:tc>
          <w:tcPr>
            <w:tcW w:w="1924" w:type="dxa"/>
          </w:tcPr>
          <w:p w14:paraId="04DAF81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66" w:type="dxa"/>
          </w:tcPr>
          <w:p w14:paraId="5F6BA9EC" w14:textId="77777777" w:rsidR="00BF18CF" w:rsidRDefault="00E51347">
            <w:proofErr w:type="gramStart"/>
            <w:r>
              <w:t>un</w:t>
            </w:r>
            <w:proofErr w:type="gramEnd"/>
            <w:r>
              <w:t xml:space="preserve"> à plusieurs, dépendant (0,n:1,1)</w:t>
            </w:r>
          </w:p>
        </w:tc>
      </w:tr>
      <w:tr w:rsidR="00BF18CF" w14:paraId="39497126" w14:textId="77777777" w:rsidTr="00BF18CF">
        <w:tc>
          <w:tcPr>
            <w:tcW w:w="1924" w:type="dxa"/>
          </w:tcPr>
          <w:p w14:paraId="236DD5F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66" w:type="dxa"/>
          </w:tcPr>
          <w:p w14:paraId="47B56880" w14:textId="77777777" w:rsidR="00BF18CF" w:rsidRDefault="00E51347">
            <w:r>
              <w:t xml:space="preserve">Cette propriété lie une instance de </w:t>
            </w:r>
            <w:r>
              <w:rPr>
                <w:rFonts w:ascii="Consolas" w:eastAsia="Consolas" w:hAnsi="Consolas" w:cs="Consolas"/>
                <w:sz w:val="22"/>
                <w:szCs w:val="22"/>
                <w:shd w:val="clear" w:color="auto" w:fill="EAEEF3"/>
              </w:rPr>
              <w:t>E67_Naissance</w:t>
            </w:r>
            <w:r>
              <w:t xml:space="preserve"> à une instance de </w:t>
            </w:r>
            <w:r>
              <w:rPr>
                <w:rFonts w:ascii="Consolas" w:eastAsia="Consolas" w:hAnsi="Consolas" w:cs="Consolas"/>
                <w:sz w:val="22"/>
                <w:szCs w:val="22"/>
                <w:shd w:val="clear" w:color="auto" w:fill="EAEEF3"/>
              </w:rPr>
              <w:t>E21_Personne</w:t>
            </w:r>
            <w:r>
              <w:t xml:space="preserve"> dans le rôle de progéniture.</w:t>
            </w:r>
          </w:p>
          <w:p w14:paraId="1576CA33" w14:textId="77777777" w:rsidR="00BF18CF" w:rsidRDefault="00E51347">
            <w:r>
              <w:t xml:space="preserve">C’est une même instance de </w:t>
            </w:r>
            <w:r>
              <w:rPr>
                <w:rFonts w:ascii="Consolas" w:eastAsia="Consolas" w:hAnsi="Consolas" w:cs="Consolas"/>
                <w:sz w:val="22"/>
                <w:szCs w:val="22"/>
                <w:shd w:val="clear" w:color="auto" w:fill="EAEEF3"/>
              </w:rPr>
              <w:t>E67_Naissance</w:t>
            </w:r>
            <w:r>
              <w:t xml:space="preserve"> qui donne vie à des jumeaux, triplés, etc.</w:t>
            </w:r>
          </w:p>
          <w:p w14:paraId="0937B5E3" w14:textId="77777777" w:rsidR="00BF18CF" w:rsidRDefault="00E51347">
            <w:r>
              <w:t xml:space="preserve">[n.d.t La propriété </w:t>
            </w:r>
            <w:r>
              <w:rPr>
                <w:rFonts w:ascii="Consolas" w:eastAsia="Consolas" w:hAnsi="Consolas" w:cs="Consolas"/>
                <w:sz w:val="22"/>
                <w:szCs w:val="22"/>
                <w:shd w:val="clear" w:color="auto" w:fill="EAEEF3"/>
              </w:rPr>
              <w:t>P98_a_donné_vie_à (est_né)</w:t>
            </w:r>
            <w:r>
              <w:t>] n’est pas destinée à être utilisée dans le contexte de l’histoire naturelle à l’exception des personnes. Il n’y a pas de méthode explicite pour modéliser la conception et la gestation à moins d’utiliser des extensions.</w:t>
            </w:r>
          </w:p>
        </w:tc>
      </w:tr>
      <w:tr w:rsidR="00BF18CF" w14:paraId="7EBB4B37" w14:textId="77777777" w:rsidTr="00BF18CF">
        <w:tc>
          <w:tcPr>
            <w:tcW w:w="1924" w:type="dxa"/>
          </w:tcPr>
          <w:p w14:paraId="518694AC"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66" w:type="dxa"/>
          </w:tcPr>
          <w:p w14:paraId="33026A78" w14:textId="77777777" w:rsidR="00BF18CF" w:rsidRDefault="00E51347">
            <w:pPr>
              <w:numPr>
                <w:ilvl w:val="0"/>
                <w:numId w:val="19"/>
              </w:numPr>
            </w:pPr>
            <w:r>
              <w:t>La naissance de la reine Elizabeth II (</w:t>
            </w:r>
            <w:r>
              <w:rPr>
                <w:rFonts w:ascii="Consolas" w:eastAsia="Consolas" w:hAnsi="Consolas" w:cs="Consolas"/>
                <w:sz w:val="22"/>
                <w:szCs w:val="22"/>
                <w:shd w:val="clear" w:color="auto" w:fill="EAEEF3"/>
              </w:rPr>
              <w:t>E67_Naissance</w:t>
            </w:r>
            <w:r>
              <w:t>) a donné vie à (</w:t>
            </w:r>
            <w:r>
              <w:rPr>
                <w:rFonts w:ascii="Consolas" w:eastAsia="Consolas" w:hAnsi="Consolas" w:cs="Consolas"/>
                <w:sz w:val="22"/>
                <w:szCs w:val="22"/>
                <w:shd w:val="clear" w:color="auto" w:fill="EAEEF3"/>
              </w:rPr>
              <w:t>P98_a_donné_vie_à</w:t>
            </w:r>
            <w:r>
              <w:t>) la reine Elizabeth II (</w:t>
            </w:r>
            <w:r>
              <w:rPr>
                <w:rFonts w:ascii="Consolas" w:eastAsia="Consolas" w:hAnsi="Consolas" w:cs="Consolas"/>
                <w:sz w:val="22"/>
                <w:szCs w:val="22"/>
                <w:shd w:val="clear" w:color="auto" w:fill="EAEEF3"/>
              </w:rPr>
              <w:t>E21_Personne</w:t>
            </w:r>
            <w:r>
              <w:t>) (Parker, 2002)</w:t>
            </w:r>
          </w:p>
        </w:tc>
      </w:tr>
      <w:tr w:rsidR="00BF18CF" w14:paraId="39E98B1C" w14:textId="77777777" w:rsidTr="00BF18CF">
        <w:tc>
          <w:tcPr>
            <w:tcW w:w="1924" w:type="dxa"/>
          </w:tcPr>
          <w:p w14:paraId="7241841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66" w:type="dxa"/>
          </w:tcPr>
          <w:p w14:paraId="5674B9EC" w14:textId="77777777" w:rsidR="00BF18CF" w:rsidRDefault="00E51347">
            <w:r>
              <w:t>P98(</w:t>
            </w:r>
            <w:proofErr w:type="gramStart"/>
            <w:r>
              <w:t>x,y</w:t>
            </w:r>
            <w:proofErr w:type="gramEnd"/>
            <w:r>
              <w:t>) ⇒ E67(x)</w:t>
            </w:r>
          </w:p>
          <w:p w14:paraId="570D77A9" w14:textId="77777777" w:rsidR="00BF18CF" w:rsidRDefault="00E51347">
            <w:r>
              <w:t>P98(</w:t>
            </w:r>
            <w:proofErr w:type="gramStart"/>
            <w:r>
              <w:t>x,y</w:t>
            </w:r>
            <w:proofErr w:type="gramEnd"/>
            <w:r>
              <w:t>) ⇒ E21(y)</w:t>
            </w:r>
          </w:p>
          <w:p w14:paraId="3AB481EF" w14:textId="77777777" w:rsidR="00BF18CF" w:rsidRDefault="00E51347">
            <w:r>
              <w:t>P98(</w:t>
            </w:r>
            <w:proofErr w:type="gramStart"/>
            <w:r>
              <w:t>x,y</w:t>
            </w:r>
            <w:proofErr w:type="gramEnd"/>
            <w:r>
              <w:t>) ⇒ P92(x,y)</w:t>
            </w:r>
          </w:p>
        </w:tc>
      </w:tr>
      <w:tr w:rsidR="00BF18CF" w14:paraId="4A8E1B3F" w14:textId="77777777" w:rsidTr="00BF18CF">
        <w:tc>
          <w:tcPr>
            <w:tcW w:w="1924" w:type="dxa"/>
          </w:tcPr>
          <w:p w14:paraId="4F8A907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66" w:type="dxa"/>
          </w:tcPr>
          <w:p w14:paraId="11D59A53" w14:textId="77777777" w:rsidR="00BF18CF" w:rsidRDefault="00BF18CF">
            <w:pPr>
              <w:pBdr>
                <w:top w:val="nil"/>
                <w:left w:val="nil"/>
                <w:bottom w:val="nil"/>
                <w:right w:val="nil"/>
                <w:between w:val="nil"/>
              </w:pBdr>
              <w:spacing w:before="36" w:after="36"/>
              <w:rPr>
                <w:color w:val="000000"/>
              </w:rPr>
            </w:pPr>
          </w:p>
        </w:tc>
      </w:tr>
      <w:tr w:rsidR="00BF18CF" w14:paraId="22E7EEF4" w14:textId="77777777" w:rsidTr="00BF18CF">
        <w:tc>
          <w:tcPr>
            <w:tcW w:w="1924" w:type="dxa"/>
          </w:tcPr>
          <w:p w14:paraId="48B82976" w14:textId="4A7663D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66" w:type="dxa"/>
          </w:tcPr>
          <w:p w14:paraId="5C1B6B15" w14:textId="77777777" w:rsidR="00BF18CF" w:rsidRDefault="00BF18CF">
            <w:pPr>
              <w:pBdr>
                <w:top w:val="nil"/>
                <w:left w:val="nil"/>
                <w:bottom w:val="nil"/>
                <w:right w:val="nil"/>
                <w:between w:val="nil"/>
              </w:pBdr>
              <w:spacing w:before="36" w:after="36"/>
              <w:rPr>
                <w:color w:val="000000"/>
              </w:rPr>
            </w:pPr>
          </w:p>
        </w:tc>
      </w:tr>
      <w:tr w:rsidR="00BF18CF" w14:paraId="7CFF408D" w14:textId="77777777" w:rsidTr="00BF18CF">
        <w:tc>
          <w:tcPr>
            <w:tcW w:w="1924" w:type="dxa"/>
          </w:tcPr>
          <w:p w14:paraId="36C6D6D1"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66" w:type="dxa"/>
          </w:tcPr>
          <w:p w14:paraId="052BD10B" w14:textId="77777777" w:rsidR="00BF18CF" w:rsidRDefault="00BF18CF">
            <w:pPr>
              <w:pBdr>
                <w:top w:val="nil"/>
                <w:left w:val="nil"/>
                <w:bottom w:val="nil"/>
                <w:right w:val="nil"/>
                <w:between w:val="nil"/>
              </w:pBdr>
              <w:spacing w:before="36" w:after="36"/>
              <w:rPr>
                <w:color w:val="000000"/>
              </w:rPr>
            </w:pPr>
          </w:p>
        </w:tc>
      </w:tr>
    </w:tbl>
    <w:p w14:paraId="675C4BD8" w14:textId="77777777" w:rsidR="00BF18CF" w:rsidRDefault="00E51347">
      <w:pPr>
        <w:pStyle w:val="Heading3"/>
      </w:pPr>
      <w:bookmarkStart w:id="427" w:name="bookmark=id.2ne53p9" w:colFirst="0" w:colLast="0"/>
      <w:bookmarkStart w:id="428" w:name="_Toc144360957"/>
      <w:bookmarkEnd w:id="427"/>
      <w:r>
        <w:t>P99 a dissous (a été dissous par)</w:t>
      </w:r>
      <w:bookmarkEnd w:id="428"/>
    </w:p>
    <w:tbl>
      <w:tblPr>
        <w:tblStyle w:val="affff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15"/>
        <w:gridCol w:w="8675"/>
      </w:tblGrid>
      <w:tr w:rsidR="00BF18CF" w14:paraId="285B7A3A" w14:textId="77777777" w:rsidTr="00BF18CF">
        <w:tc>
          <w:tcPr>
            <w:tcW w:w="2015" w:type="dxa"/>
          </w:tcPr>
          <w:p w14:paraId="5AD68997"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675" w:type="dxa"/>
          </w:tcPr>
          <w:p w14:paraId="736943D0" w14:textId="77777777" w:rsidR="00BF18CF" w:rsidRDefault="00E51347">
            <w:r>
              <w:rPr>
                <w:rFonts w:ascii="Consolas" w:eastAsia="Consolas" w:hAnsi="Consolas" w:cs="Consolas"/>
                <w:sz w:val="22"/>
                <w:szCs w:val="22"/>
                <w:shd w:val="clear" w:color="auto" w:fill="EAEEF3"/>
              </w:rPr>
              <w:t>E68_Dissolution</w:t>
            </w:r>
          </w:p>
        </w:tc>
      </w:tr>
      <w:tr w:rsidR="00BF18CF" w14:paraId="0BF69C35" w14:textId="77777777" w:rsidTr="00BF18CF">
        <w:tc>
          <w:tcPr>
            <w:tcW w:w="2015" w:type="dxa"/>
          </w:tcPr>
          <w:p w14:paraId="586CB9B1"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675" w:type="dxa"/>
          </w:tcPr>
          <w:p w14:paraId="5E1CA519" w14:textId="77777777" w:rsidR="00BF18CF" w:rsidRDefault="00E51347">
            <w:r>
              <w:rPr>
                <w:rFonts w:ascii="Consolas" w:eastAsia="Consolas" w:hAnsi="Consolas" w:cs="Consolas"/>
                <w:sz w:val="22"/>
                <w:szCs w:val="22"/>
                <w:shd w:val="clear" w:color="auto" w:fill="EAEEF3"/>
              </w:rPr>
              <w:t>E74_Groupe</w:t>
            </w:r>
          </w:p>
        </w:tc>
      </w:tr>
      <w:tr w:rsidR="00BF18CF" w14:paraId="3AE62268" w14:textId="77777777" w:rsidTr="00BF18CF">
        <w:tc>
          <w:tcPr>
            <w:tcW w:w="2015" w:type="dxa"/>
          </w:tcPr>
          <w:p w14:paraId="0ED354D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675" w:type="dxa"/>
          </w:tcPr>
          <w:p w14:paraId="5C6B007E"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P11_a_eu_pour_actant_participant (a_participé_à)</w:t>
            </w:r>
            <w:r>
              <w:t xml:space="preserve"> : </w:t>
            </w:r>
            <w:r>
              <w:rPr>
                <w:rFonts w:ascii="Consolas" w:eastAsia="Consolas" w:hAnsi="Consolas" w:cs="Consolas"/>
                <w:sz w:val="22"/>
                <w:szCs w:val="22"/>
                <w:shd w:val="clear" w:color="auto" w:fill="EAEEF3"/>
              </w:rPr>
              <w:t>E39_Actant</w:t>
            </w:r>
          </w:p>
          <w:p w14:paraId="0FFEBEB0" w14:textId="77777777" w:rsidR="00BF18CF" w:rsidRDefault="00E51347">
            <w:r>
              <w:rPr>
                <w:rFonts w:ascii="Consolas" w:eastAsia="Consolas" w:hAnsi="Consolas" w:cs="Consolas"/>
                <w:sz w:val="22"/>
                <w:szCs w:val="22"/>
                <w:shd w:val="clear" w:color="auto" w:fill="EAEEF3"/>
              </w:rPr>
              <w:t>E64_Fin_d’existence</w:t>
            </w:r>
            <w:r>
              <w:t xml:space="preserve">. </w:t>
            </w:r>
            <w:r>
              <w:rPr>
                <w:rFonts w:ascii="Consolas" w:eastAsia="Consolas" w:hAnsi="Consolas" w:cs="Consolas"/>
                <w:sz w:val="22"/>
                <w:szCs w:val="22"/>
                <w:shd w:val="clear" w:color="auto" w:fill="EAEEF3"/>
              </w:rPr>
              <w:t>P93_a_mis_fin_à_l’existence_de (a_cessé_d’exister_par)</w:t>
            </w:r>
            <w:r>
              <w:t xml:space="preserve"> : </w:t>
            </w:r>
            <w:r>
              <w:rPr>
                <w:rFonts w:ascii="Consolas" w:eastAsia="Consolas" w:hAnsi="Consolas" w:cs="Consolas"/>
                <w:sz w:val="22"/>
                <w:szCs w:val="22"/>
                <w:shd w:val="clear" w:color="auto" w:fill="EAEEF3"/>
              </w:rPr>
              <w:t>E77_Entité_persistante</w:t>
            </w:r>
          </w:p>
        </w:tc>
      </w:tr>
      <w:tr w:rsidR="00BF18CF" w14:paraId="36AA2301" w14:textId="77777777" w:rsidTr="00BF18CF">
        <w:tc>
          <w:tcPr>
            <w:tcW w:w="2015" w:type="dxa"/>
          </w:tcPr>
          <w:p w14:paraId="29C2B9AA"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675" w:type="dxa"/>
          </w:tcPr>
          <w:p w14:paraId="2E5965FB" w14:textId="77777777" w:rsidR="00BF18CF" w:rsidRDefault="00BF18CF">
            <w:pPr>
              <w:pBdr>
                <w:top w:val="nil"/>
                <w:left w:val="nil"/>
                <w:bottom w:val="nil"/>
                <w:right w:val="nil"/>
                <w:between w:val="nil"/>
              </w:pBdr>
              <w:spacing w:before="36" w:after="36"/>
              <w:rPr>
                <w:color w:val="000000"/>
              </w:rPr>
            </w:pPr>
          </w:p>
        </w:tc>
      </w:tr>
      <w:tr w:rsidR="00BF18CF" w14:paraId="3EBDB622" w14:textId="77777777" w:rsidTr="00BF18CF">
        <w:tc>
          <w:tcPr>
            <w:tcW w:w="2015" w:type="dxa"/>
          </w:tcPr>
          <w:p w14:paraId="380DA884"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675" w:type="dxa"/>
          </w:tcPr>
          <w:p w14:paraId="7F06B0E8" w14:textId="77777777" w:rsidR="00BF18CF" w:rsidRDefault="00E51347">
            <w:proofErr w:type="gramStart"/>
            <w:r>
              <w:t>un</w:t>
            </w:r>
            <w:proofErr w:type="gramEnd"/>
            <w:r>
              <w:t xml:space="preserve"> à plusieurs, nécessaire (1,n:0,1)</w:t>
            </w:r>
          </w:p>
        </w:tc>
      </w:tr>
      <w:tr w:rsidR="00BF18CF" w14:paraId="0DEBF060" w14:textId="77777777" w:rsidTr="00BF18CF">
        <w:tc>
          <w:tcPr>
            <w:tcW w:w="2015" w:type="dxa"/>
          </w:tcPr>
          <w:p w14:paraId="0F0107F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675" w:type="dxa"/>
          </w:tcPr>
          <w:p w14:paraId="359AC7B3" w14:textId="77777777" w:rsidR="00BF18CF" w:rsidRDefault="00E51347">
            <w:r>
              <w:t xml:space="preserve">Cette propriété lie une instance de </w:t>
            </w:r>
            <w:r>
              <w:rPr>
                <w:rFonts w:ascii="Consolas" w:eastAsia="Consolas" w:hAnsi="Consolas" w:cs="Consolas"/>
                <w:sz w:val="22"/>
                <w:szCs w:val="22"/>
                <w:shd w:val="clear" w:color="auto" w:fill="EAEEF3"/>
              </w:rPr>
              <w:t>E68_Dissolution</w:t>
            </w:r>
            <w:r>
              <w:t xml:space="preserve"> à l’instance de </w:t>
            </w:r>
            <w:r>
              <w:rPr>
                <w:rFonts w:ascii="Consolas" w:eastAsia="Consolas" w:hAnsi="Consolas" w:cs="Consolas"/>
                <w:sz w:val="22"/>
                <w:szCs w:val="22"/>
                <w:shd w:val="clear" w:color="auto" w:fill="EAEEF3"/>
              </w:rPr>
              <w:t>E74_Groupe</w:t>
            </w:r>
            <w:r>
              <w:t xml:space="preserve"> qu’elle a </w:t>
            </w:r>
            <w:proofErr w:type="gramStart"/>
            <w:r>
              <w:t>dissoute</w:t>
            </w:r>
            <w:proofErr w:type="gramEnd"/>
            <w:r>
              <w:t>.</w:t>
            </w:r>
          </w:p>
        </w:tc>
      </w:tr>
      <w:tr w:rsidR="00BF18CF" w14:paraId="5F992EA8" w14:textId="77777777" w:rsidTr="00BF18CF">
        <w:tc>
          <w:tcPr>
            <w:tcW w:w="2015" w:type="dxa"/>
          </w:tcPr>
          <w:p w14:paraId="2F715E41"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675" w:type="dxa"/>
          </w:tcPr>
          <w:p w14:paraId="2B39B31D" w14:textId="77777777" w:rsidR="00BF18CF" w:rsidRDefault="00E51347">
            <w:pPr>
              <w:numPr>
                <w:ilvl w:val="0"/>
                <w:numId w:val="19"/>
              </w:numPr>
            </w:pPr>
            <w:r>
              <w:t>La fin du Gang de Hole-in-the-Wall (</w:t>
            </w:r>
            <w:r>
              <w:rPr>
                <w:rFonts w:ascii="Consolas" w:eastAsia="Consolas" w:hAnsi="Consolas" w:cs="Consolas"/>
                <w:sz w:val="22"/>
                <w:szCs w:val="22"/>
                <w:shd w:val="clear" w:color="auto" w:fill="EAEEF3"/>
              </w:rPr>
              <w:t>E68_Dissolution</w:t>
            </w:r>
            <w:r>
              <w:t>) a dissous (</w:t>
            </w:r>
            <w:r>
              <w:rPr>
                <w:rFonts w:ascii="Consolas" w:eastAsia="Consolas" w:hAnsi="Consolas" w:cs="Consolas"/>
                <w:sz w:val="22"/>
                <w:szCs w:val="22"/>
                <w:shd w:val="clear" w:color="auto" w:fill="EAEEF3"/>
              </w:rPr>
              <w:t>P99_a_dissous</w:t>
            </w:r>
            <w:r>
              <w:t>) le Gang de Hole-in-the-Wall (</w:t>
            </w:r>
            <w:r>
              <w:rPr>
                <w:rFonts w:ascii="Consolas" w:eastAsia="Consolas" w:hAnsi="Consolas" w:cs="Consolas"/>
                <w:sz w:val="22"/>
                <w:szCs w:val="22"/>
                <w:shd w:val="clear" w:color="auto" w:fill="EAEEF3"/>
              </w:rPr>
              <w:t>E74_Groupe</w:t>
            </w:r>
            <w:r>
              <w:t>) (Patterson, 1998)</w:t>
            </w:r>
          </w:p>
        </w:tc>
      </w:tr>
      <w:tr w:rsidR="00BF18CF" w14:paraId="0EB04C9D" w14:textId="77777777" w:rsidTr="00BF18CF">
        <w:tc>
          <w:tcPr>
            <w:tcW w:w="2015" w:type="dxa"/>
          </w:tcPr>
          <w:p w14:paraId="129FDC0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675" w:type="dxa"/>
          </w:tcPr>
          <w:p w14:paraId="19C952E3" w14:textId="77777777" w:rsidR="00BF18CF" w:rsidRDefault="00E51347">
            <w:r>
              <w:t>P99(</w:t>
            </w:r>
            <w:proofErr w:type="gramStart"/>
            <w:r>
              <w:t>x,y</w:t>
            </w:r>
            <w:proofErr w:type="gramEnd"/>
            <w:r>
              <w:t>) ⇒ E68(x)</w:t>
            </w:r>
          </w:p>
          <w:p w14:paraId="5B7D8D7A" w14:textId="77777777" w:rsidR="00BF18CF" w:rsidRDefault="00E51347">
            <w:r>
              <w:t>P99(</w:t>
            </w:r>
            <w:proofErr w:type="gramStart"/>
            <w:r>
              <w:t>x,y</w:t>
            </w:r>
            <w:proofErr w:type="gramEnd"/>
            <w:r>
              <w:t>) ⇒ E74(y)</w:t>
            </w:r>
          </w:p>
          <w:p w14:paraId="7AA9784E" w14:textId="77777777" w:rsidR="00BF18CF" w:rsidRDefault="00E51347">
            <w:r>
              <w:t>P99(</w:t>
            </w:r>
            <w:proofErr w:type="gramStart"/>
            <w:r>
              <w:t>x,y</w:t>
            </w:r>
            <w:proofErr w:type="gramEnd"/>
            <w:r>
              <w:t>) ⇒ P11(x,y)</w:t>
            </w:r>
          </w:p>
          <w:p w14:paraId="52793342" w14:textId="77777777" w:rsidR="00BF18CF" w:rsidRDefault="00E51347">
            <w:r>
              <w:t>P99(</w:t>
            </w:r>
            <w:proofErr w:type="gramStart"/>
            <w:r>
              <w:t>x,y</w:t>
            </w:r>
            <w:proofErr w:type="gramEnd"/>
            <w:r>
              <w:t>) ⇒ P93(x,y)</w:t>
            </w:r>
          </w:p>
        </w:tc>
      </w:tr>
      <w:tr w:rsidR="00BF18CF" w14:paraId="30A570C5" w14:textId="77777777" w:rsidTr="00BF18CF">
        <w:tc>
          <w:tcPr>
            <w:tcW w:w="2015" w:type="dxa"/>
          </w:tcPr>
          <w:p w14:paraId="1C77CA2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675" w:type="dxa"/>
          </w:tcPr>
          <w:p w14:paraId="3A92E69A" w14:textId="77777777" w:rsidR="00BF18CF" w:rsidRDefault="00BF18CF">
            <w:pPr>
              <w:pBdr>
                <w:top w:val="nil"/>
                <w:left w:val="nil"/>
                <w:bottom w:val="nil"/>
                <w:right w:val="nil"/>
                <w:between w:val="nil"/>
              </w:pBdr>
              <w:spacing w:before="36" w:after="36"/>
              <w:rPr>
                <w:color w:val="000000"/>
              </w:rPr>
            </w:pPr>
          </w:p>
        </w:tc>
      </w:tr>
      <w:tr w:rsidR="00BF18CF" w14:paraId="1FF6A0B9" w14:textId="77777777" w:rsidTr="00BF18CF">
        <w:tc>
          <w:tcPr>
            <w:tcW w:w="2015" w:type="dxa"/>
          </w:tcPr>
          <w:p w14:paraId="55E412B4" w14:textId="48FACD5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675" w:type="dxa"/>
          </w:tcPr>
          <w:p w14:paraId="29AE54C4" w14:textId="77777777" w:rsidR="00BF18CF" w:rsidRDefault="00E51347">
            <w:proofErr w:type="gramStart"/>
            <w:r>
              <w:rPr>
                <w:i/>
              </w:rPr>
              <w:t>one</w:t>
            </w:r>
            <w:proofErr w:type="gramEnd"/>
            <w:r>
              <w:rPr>
                <w:i/>
              </w:rPr>
              <w:t xml:space="preserve"> to many, necessary (1,n:0,n)</w:t>
            </w:r>
            <w:r>
              <w:t xml:space="preserve"> indiqué dans le texte original, modifié en « un à plusieurs, nécessaire (1,n:0,1) » dans la traduction.</w:t>
            </w:r>
          </w:p>
        </w:tc>
      </w:tr>
      <w:tr w:rsidR="00BF18CF" w14:paraId="2F12182C" w14:textId="77777777" w:rsidTr="00BF18CF">
        <w:tc>
          <w:tcPr>
            <w:tcW w:w="2015" w:type="dxa"/>
          </w:tcPr>
          <w:p w14:paraId="5380918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675" w:type="dxa"/>
          </w:tcPr>
          <w:p w14:paraId="065CBED8" w14:textId="77777777" w:rsidR="00BF18CF" w:rsidRDefault="00BF18CF">
            <w:pPr>
              <w:pBdr>
                <w:top w:val="nil"/>
                <w:left w:val="nil"/>
                <w:bottom w:val="nil"/>
                <w:right w:val="nil"/>
                <w:between w:val="nil"/>
              </w:pBdr>
              <w:spacing w:before="36" w:after="36"/>
              <w:rPr>
                <w:color w:val="000000"/>
              </w:rPr>
            </w:pPr>
          </w:p>
        </w:tc>
      </w:tr>
    </w:tbl>
    <w:p w14:paraId="64361032" w14:textId="77777777" w:rsidR="00BF18CF" w:rsidRDefault="00E51347">
      <w:pPr>
        <w:pStyle w:val="Heading3"/>
      </w:pPr>
      <w:bookmarkStart w:id="429" w:name="bookmark=id.12jfdx2" w:colFirst="0" w:colLast="0"/>
      <w:bookmarkStart w:id="430" w:name="_Toc144360958"/>
      <w:bookmarkEnd w:id="429"/>
      <w:r>
        <w:lastRenderedPageBreak/>
        <w:t>P100 a été la mort de (est mort par)</w:t>
      </w:r>
      <w:bookmarkEnd w:id="430"/>
    </w:p>
    <w:tbl>
      <w:tblPr>
        <w:tblStyle w:val="affffff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01"/>
        <w:gridCol w:w="8689"/>
      </w:tblGrid>
      <w:tr w:rsidR="00BF18CF" w14:paraId="10DEBF61" w14:textId="77777777" w:rsidTr="00BF18CF">
        <w:tc>
          <w:tcPr>
            <w:tcW w:w="2001" w:type="dxa"/>
          </w:tcPr>
          <w:p w14:paraId="0918418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689" w:type="dxa"/>
          </w:tcPr>
          <w:p w14:paraId="0297B3F0" w14:textId="77777777" w:rsidR="00BF18CF" w:rsidRDefault="00E51347">
            <w:r>
              <w:rPr>
                <w:rFonts w:ascii="Consolas" w:eastAsia="Consolas" w:hAnsi="Consolas" w:cs="Consolas"/>
                <w:sz w:val="22"/>
                <w:szCs w:val="22"/>
                <w:shd w:val="clear" w:color="auto" w:fill="EAEEF3"/>
              </w:rPr>
              <w:t>E69_Mort</w:t>
            </w:r>
          </w:p>
        </w:tc>
      </w:tr>
      <w:tr w:rsidR="00BF18CF" w14:paraId="6B715152" w14:textId="77777777" w:rsidTr="00BF18CF">
        <w:tc>
          <w:tcPr>
            <w:tcW w:w="2001" w:type="dxa"/>
          </w:tcPr>
          <w:p w14:paraId="4C60A0C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689" w:type="dxa"/>
          </w:tcPr>
          <w:p w14:paraId="32045659" w14:textId="77777777" w:rsidR="00BF18CF" w:rsidRDefault="00E51347">
            <w:r>
              <w:rPr>
                <w:rFonts w:ascii="Consolas" w:eastAsia="Consolas" w:hAnsi="Consolas" w:cs="Consolas"/>
                <w:sz w:val="22"/>
                <w:szCs w:val="22"/>
                <w:shd w:val="clear" w:color="auto" w:fill="EAEEF3"/>
              </w:rPr>
              <w:t>E21_Personne</w:t>
            </w:r>
          </w:p>
        </w:tc>
      </w:tr>
      <w:tr w:rsidR="00BF18CF" w14:paraId="75F90456" w14:textId="77777777" w:rsidTr="00BF18CF">
        <w:tc>
          <w:tcPr>
            <w:tcW w:w="2001" w:type="dxa"/>
          </w:tcPr>
          <w:p w14:paraId="7549B172"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689" w:type="dxa"/>
          </w:tcPr>
          <w:p w14:paraId="27294998" w14:textId="77777777" w:rsidR="00BF18CF" w:rsidRDefault="00E51347">
            <w:r>
              <w:rPr>
                <w:rFonts w:ascii="Consolas" w:eastAsia="Consolas" w:hAnsi="Consolas" w:cs="Consolas"/>
                <w:sz w:val="22"/>
                <w:szCs w:val="22"/>
                <w:shd w:val="clear" w:color="auto" w:fill="EAEEF3"/>
              </w:rPr>
              <w:t>E64_Fin_d’existence</w:t>
            </w:r>
            <w:r>
              <w:t xml:space="preserve">. </w:t>
            </w:r>
            <w:r>
              <w:rPr>
                <w:rFonts w:ascii="Consolas" w:eastAsia="Consolas" w:hAnsi="Consolas" w:cs="Consolas"/>
                <w:sz w:val="22"/>
                <w:szCs w:val="22"/>
                <w:shd w:val="clear" w:color="auto" w:fill="EAEEF3"/>
              </w:rPr>
              <w:t>P93_a_mis_fin_à_l’existence_de (a_cessé_d’exister_par)</w:t>
            </w:r>
            <w:r>
              <w:t xml:space="preserve"> : </w:t>
            </w:r>
            <w:r>
              <w:rPr>
                <w:rFonts w:ascii="Consolas" w:eastAsia="Consolas" w:hAnsi="Consolas" w:cs="Consolas"/>
                <w:sz w:val="22"/>
                <w:szCs w:val="22"/>
                <w:shd w:val="clear" w:color="auto" w:fill="EAEEF3"/>
              </w:rPr>
              <w:t>E77_Entité_persistante</w:t>
            </w:r>
          </w:p>
        </w:tc>
      </w:tr>
      <w:tr w:rsidR="00BF18CF" w14:paraId="0FFEB6BA" w14:textId="77777777" w:rsidTr="00BF18CF">
        <w:tc>
          <w:tcPr>
            <w:tcW w:w="2001" w:type="dxa"/>
          </w:tcPr>
          <w:p w14:paraId="6D285951"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689" w:type="dxa"/>
          </w:tcPr>
          <w:p w14:paraId="3FF75EDA" w14:textId="77777777" w:rsidR="00BF18CF" w:rsidRDefault="00BF18CF">
            <w:pPr>
              <w:pBdr>
                <w:top w:val="nil"/>
                <w:left w:val="nil"/>
                <w:bottom w:val="nil"/>
                <w:right w:val="nil"/>
                <w:between w:val="nil"/>
              </w:pBdr>
              <w:spacing w:before="36" w:after="36"/>
              <w:rPr>
                <w:color w:val="000000"/>
              </w:rPr>
            </w:pPr>
          </w:p>
        </w:tc>
      </w:tr>
      <w:tr w:rsidR="00BF18CF" w14:paraId="02B17A69" w14:textId="77777777" w:rsidTr="00BF18CF">
        <w:tc>
          <w:tcPr>
            <w:tcW w:w="2001" w:type="dxa"/>
          </w:tcPr>
          <w:p w14:paraId="39B4B5C4"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689" w:type="dxa"/>
          </w:tcPr>
          <w:p w14:paraId="64AE02E2" w14:textId="77777777" w:rsidR="00BF18CF" w:rsidRDefault="00E51347">
            <w:proofErr w:type="gramStart"/>
            <w:r>
              <w:t>un</w:t>
            </w:r>
            <w:proofErr w:type="gramEnd"/>
            <w:r>
              <w:t xml:space="preserve"> à plusieurs, nécessaire (1,n:0,1)</w:t>
            </w:r>
          </w:p>
        </w:tc>
      </w:tr>
      <w:tr w:rsidR="00BF18CF" w14:paraId="6FF85BDE" w14:textId="77777777" w:rsidTr="00BF18CF">
        <w:tc>
          <w:tcPr>
            <w:tcW w:w="2001" w:type="dxa"/>
          </w:tcPr>
          <w:p w14:paraId="6DB1CD9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689" w:type="dxa"/>
          </w:tcPr>
          <w:p w14:paraId="5929ADBE" w14:textId="77777777" w:rsidR="00BF18CF" w:rsidRDefault="00E51347">
            <w:r>
              <w:t xml:space="preserve">Cette propriété lie une instance de </w:t>
            </w:r>
            <w:r>
              <w:rPr>
                <w:rFonts w:ascii="Consolas" w:eastAsia="Consolas" w:hAnsi="Consolas" w:cs="Consolas"/>
                <w:sz w:val="22"/>
                <w:szCs w:val="22"/>
                <w:shd w:val="clear" w:color="auto" w:fill="EAEEF3"/>
              </w:rPr>
              <w:t>E69_Mort</w:t>
            </w:r>
            <w:r>
              <w:t xml:space="preserve"> à une instance de </w:t>
            </w:r>
            <w:r>
              <w:rPr>
                <w:rFonts w:ascii="Consolas" w:eastAsia="Consolas" w:hAnsi="Consolas" w:cs="Consolas"/>
                <w:sz w:val="22"/>
                <w:szCs w:val="22"/>
                <w:shd w:val="clear" w:color="auto" w:fill="EAEEF3"/>
              </w:rPr>
              <w:t>E21_Personne</w:t>
            </w:r>
            <w:r>
              <w:t xml:space="preserve"> qui est décédée.</w:t>
            </w:r>
          </w:p>
          <w:p w14:paraId="2EFB3B4D" w14:textId="77777777" w:rsidR="00BF18CF" w:rsidRDefault="00E51347">
            <w:r>
              <w:t xml:space="preserve">Une instance de </w:t>
            </w:r>
            <w:r>
              <w:rPr>
                <w:rFonts w:ascii="Consolas" w:eastAsia="Consolas" w:hAnsi="Consolas" w:cs="Consolas"/>
                <w:sz w:val="22"/>
                <w:szCs w:val="22"/>
                <w:shd w:val="clear" w:color="auto" w:fill="EAEEF3"/>
              </w:rPr>
              <w:t>E69_Mort</w:t>
            </w:r>
            <w:r>
              <w:t xml:space="preserve"> peut impliquer plusieurs personnes, par exemple dans le cas d’une bataille ou d’une catastrophe.</w:t>
            </w:r>
          </w:p>
          <w:p w14:paraId="771EB450" w14:textId="77777777" w:rsidR="00BF18CF" w:rsidRDefault="00E51347">
            <w:r>
              <w:t xml:space="preserve">[n.d.t La propriété </w:t>
            </w:r>
            <w:r>
              <w:rPr>
                <w:rFonts w:ascii="Consolas" w:eastAsia="Consolas" w:hAnsi="Consolas" w:cs="Consolas"/>
                <w:sz w:val="22"/>
                <w:szCs w:val="22"/>
                <w:shd w:val="clear" w:color="auto" w:fill="EAEEF3"/>
              </w:rPr>
              <w:t>P100_a_été_la_mort_de (est_mort_par)</w:t>
            </w:r>
            <w:r>
              <w:t>] n’est pas destinée à être utilisée dans le contexte de l’histoire naturelle à l’exception des personnes.</w:t>
            </w:r>
          </w:p>
        </w:tc>
      </w:tr>
      <w:tr w:rsidR="00BF18CF" w14:paraId="6DE2FD17" w14:textId="77777777" w:rsidTr="00BF18CF">
        <w:tc>
          <w:tcPr>
            <w:tcW w:w="2001" w:type="dxa"/>
          </w:tcPr>
          <w:p w14:paraId="25E948C3"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689" w:type="dxa"/>
          </w:tcPr>
          <w:p w14:paraId="01993716" w14:textId="77777777" w:rsidR="00BF18CF" w:rsidRDefault="00E51347">
            <w:pPr>
              <w:numPr>
                <w:ilvl w:val="0"/>
                <w:numId w:val="19"/>
              </w:numPr>
            </w:pPr>
            <w:r>
              <w:t>La mort de Mozart (</w:t>
            </w:r>
            <w:r>
              <w:rPr>
                <w:rFonts w:ascii="Consolas" w:eastAsia="Consolas" w:hAnsi="Consolas" w:cs="Consolas"/>
                <w:sz w:val="22"/>
                <w:szCs w:val="22"/>
                <w:shd w:val="clear" w:color="auto" w:fill="EAEEF3"/>
              </w:rPr>
              <w:t>E69_Mort</w:t>
            </w:r>
            <w:r>
              <w:t>) a été la mort de (</w:t>
            </w:r>
            <w:r>
              <w:rPr>
                <w:rFonts w:ascii="Consolas" w:eastAsia="Consolas" w:hAnsi="Consolas" w:cs="Consolas"/>
                <w:sz w:val="22"/>
                <w:szCs w:val="22"/>
                <w:shd w:val="clear" w:color="auto" w:fill="EAEEF3"/>
              </w:rPr>
              <w:t>P100_a_été_la_mort_de</w:t>
            </w:r>
            <w:r>
              <w:t>) Mozart (</w:t>
            </w:r>
            <w:r>
              <w:rPr>
                <w:rFonts w:ascii="Consolas" w:eastAsia="Consolas" w:hAnsi="Consolas" w:cs="Consolas"/>
                <w:sz w:val="22"/>
                <w:szCs w:val="22"/>
                <w:shd w:val="clear" w:color="auto" w:fill="EAEEF3"/>
              </w:rPr>
              <w:t>E21_Personne</w:t>
            </w:r>
            <w:r>
              <w:t>) (Sitwell, 2017)</w:t>
            </w:r>
          </w:p>
        </w:tc>
      </w:tr>
      <w:tr w:rsidR="00BF18CF" w14:paraId="63336AFE" w14:textId="77777777" w:rsidTr="00BF18CF">
        <w:tc>
          <w:tcPr>
            <w:tcW w:w="2001" w:type="dxa"/>
          </w:tcPr>
          <w:p w14:paraId="38143AB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689" w:type="dxa"/>
          </w:tcPr>
          <w:p w14:paraId="7B1E52E0" w14:textId="77777777" w:rsidR="00BF18CF" w:rsidRDefault="00E51347">
            <w:r>
              <w:t>P100(</w:t>
            </w:r>
            <w:proofErr w:type="gramStart"/>
            <w:r>
              <w:t>x,y</w:t>
            </w:r>
            <w:proofErr w:type="gramEnd"/>
            <w:r>
              <w:t>) ⇒ E69(x)</w:t>
            </w:r>
          </w:p>
          <w:p w14:paraId="555E62FF" w14:textId="77777777" w:rsidR="00BF18CF" w:rsidRDefault="00E51347">
            <w:r>
              <w:t>P100(</w:t>
            </w:r>
            <w:proofErr w:type="gramStart"/>
            <w:r>
              <w:t>x,y</w:t>
            </w:r>
            <w:proofErr w:type="gramEnd"/>
            <w:r>
              <w:t>) ⇒ E21(y)</w:t>
            </w:r>
          </w:p>
          <w:p w14:paraId="2108A1C9" w14:textId="77777777" w:rsidR="00BF18CF" w:rsidRDefault="00E51347">
            <w:r>
              <w:t>P100(</w:t>
            </w:r>
            <w:proofErr w:type="gramStart"/>
            <w:r>
              <w:t>x,y</w:t>
            </w:r>
            <w:proofErr w:type="gramEnd"/>
            <w:r>
              <w:t>) ⇒ P93(x,y)</w:t>
            </w:r>
          </w:p>
        </w:tc>
      </w:tr>
      <w:tr w:rsidR="00BF18CF" w14:paraId="105CFB80" w14:textId="77777777" w:rsidTr="00BF18CF">
        <w:tc>
          <w:tcPr>
            <w:tcW w:w="2001" w:type="dxa"/>
          </w:tcPr>
          <w:p w14:paraId="469C7D5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689" w:type="dxa"/>
          </w:tcPr>
          <w:p w14:paraId="7C818875" w14:textId="77777777" w:rsidR="00BF18CF" w:rsidRDefault="00BF18CF">
            <w:pPr>
              <w:pBdr>
                <w:top w:val="nil"/>
                <w:left w:val="nil"/>
                <w:bottom w:val="nil"/>
                <w:right w:val="nil"/>
                <w:between w:val="nil"/>
              </w:pBdr>
              <w:spacing w:before="36" w:after="36"/>
              <w:rPr>
                <w:color w:val="000000"/>
              </w:rPr>
            </w:pPr>
          </w:p>
        </w:tc>
      </w:tr>
      <w:tr w:rsidR="00BF18CF" w14:paraId="6E6DDE39" w14:textId="77777777" w:rsidTr="00BF18CF">
        <w:tc>
          <w:tcPr>
            <w:tcW w:w="2001" w:type="dxa"/>
          </w:tcPr>
          <w:p w14:paraId="5A290EE0" w14:textId="112829F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689" w:type="dxa"/>
          </w:tcPr>
          <w:p w14:paraId="742C9C1C" w14:textId="77777777" w:rsidR="00BF18CF" w:rsidRDefault="00BF18CF">
            <w:pPr>
              <w:pBdr>
                <w:top w:val="nil"/>
                <w:left w:val="nil"/>
                <w:bottom w:val="nil"/>
                <w:right w:val="nil"/>
                <w:between w:val="nil"/>
              </w:pBdr>
              <w:spacing w:before="36" w:after="36"/>
              <w:rPr>
                <w:color w:val="000000"/>
              </w:rPr>
            </w:pPr>
          </w:p>
        </w:tc>
      </w:tr>
      <w:tr w:rsidR="00BF18CF" w14:paraId="04DE3CD6" w14:textId="77777777" w:rsidTr="00BF18CF">
        <w:tc>
          <w:tcPr>
            <w:tcW w:w="2001" w:type="dxa"/>
          </w:tcPr>
          <w:p w14:paraId="07F31AE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689" w:type="dxa"/>
          </w:tcPr>
          <w:p w14:paraId="145B126B" w14:textId="77777777" w:rsidR="00BF18CF" w:rsidRDefault="00BF18CF">
            <w:pPr>
              <w:pBdr>
                <w:top w:val="nil"/>
                <w:left w:val="nil"/>
                <w:bottom w:val="nil"/>
                <w:right w:val="nil"/>
                <w:between w:val="nil"/>
              </w:pBdr>
              <w:spacing w:before="36" w:after="36"/>
              <w:rPr>
                <w:color w:val="000000"/>
              </w:rPr>
            </w:pPr>
          </w:p>
        </w:tc>
      </w:tr>
    </w:tbl>
    <w:p w14:paraId="5CD0866D" w14:textId="77777777" w:rsidR="00BF18CF" w:rsidRDefault="00E51347">
      <w:pPr>
        <w:pStyle w:val="Heading3"/>
      </w:pPr>
      <w:bookmarkStart w:id="431" w:name="bookmark=id.3mj2wkv" w:colFirst="0" w:colLast="0"/>
      <w:bookmarkStart w:id="432" w:name="_Toc144360959"/>
      <w:bookmarkEnd w:id="431"/>
      <w:r>
        <w:t>P101 a eu pour usage général (a été l'usage général de)</w:t>
      </w:r>
      <w:bookmarkEnd w:id="432"/>
    </w:p>
    <w:tbl>
      <w:tblPr>
        <w:tblStyle w:val="afffff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2"/>
        <w:gridCol w:w="8808"/>
      </w:tblGrid>
      <w:tr w:rsidR="00BF18CF" w14:paraId="0DEEB480" w14:textId="77777777" w:rsidTr="00BF18CF">
        <w:tc>
          <w:tcPr>
            <w:tcW w:w="1882" w:type="dxa"/>
          </w:tcPr>
          <w:p w14:paraId="46C1F5A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8" w:type="dxa"/>
          </w:tcPr>
          <w:p w14:paraId="19F95997" w14:textId="77777777" w:rsidR="00BF18CF" w:rsidRDefault="00E51347">
            <w:r>
              <w:rPr>
                <w:rFonts w:ascii="Consolas" w:eastAsia="Consolas" w:hAnsi="Consolas" w:cs="Consolas"/>
                <w:sz w:val="22"/>
                <w:szCs w:val="22"/>
                <w:shd w:val="clear" w:color="auto" w:fill="EAEEF3"/>
              </w:rPr>
              <w:t>E70_Chose</w:t>
            </w:r>
          </w:p>
        </w:tc>
      </w:tr>
      <w:tr w:rsidR="00BF18CF" w14:paraId="089AA07A" w14:textId="77777777" w:rsidTr="00BF18CF">
        <w:tc>
          <w:tcPr>
            <w:tcW w:w="1882" w:type="dxa"/>
          </w:tcPr>
          <w:p w14:paraId="198F404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8" w:type="dxa"/>
          </w:tcPr>
          <w:p w14:paraId="27A1E353" w14:textId="77777777" w:rsidR="00BF18CF" w:rsidRDefault="00E51347">
            <w:r>
              <w:rPr>
                <w:rFonts w:ascii="Consolas" w:eastAsia="Consolas" w:hAnsi="Consolas" w:cs="Consolas"/>
                <w:sz w:val="22"/>
                <w:szCs w:val="22"/>
                <w:shd w:val="clear" w:color="auto" w:fill="EAEEF3"/>
              </w:rPr>
              <w:t>E55_Type</w:t>
            </w:r>
          </w:p>
        </w:tc>
      </w:tr>
      <w:tr w:rsidR="00BF18CF" w14:paraId="49F3788F" w14:textId="77777777" w:rsidTr="00BF18CF">
        <w:tc>
          <w:tcPr>
            <w:tcW w:w="1882" w:type="dxa"/>
          </w:tcPr>
          <w:p w14:paraId="2F0B1A1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8" w:type="dxa"/>
          </w:tcPr>
          <w:p w14:paraId="57F415C1" w14:textId="77777777" w:rsidR="00BF18CF" w:rsidRDefault="00BF18CF">
            <w:pPr>
              <w:pBdr>
                <w:top w:val="nil"/>
                <w:left w:val="nil"/>
                <w:bottom w:val="nil"/>
                <w:right w:val="nil"/>
                <w:between w:val="nil"/>
              </w:pBdr>
              <w:spacing w:before="36" w:after="36"/>
              <w:rPr>
                <w:color w:val="000000"/>
              </w:rPr>
            </w:pPr>
          </w:p>
        </w:tc>
      </w:tr>
      <w:tr w:rsidR="00BF18CF" w14:paraId="42867E04" w14:textId="77777777" w:rsidTr="00BF18CF">
        <w:tc>
          <w:tcPr>
            <w:tcW w:w="1882" w:type="dxa"/>
          </w:tcPr>
          <w:p w14:paraId="1C64F1EC"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8" w:type="dxa"/>
          </w:tcPr>
          <w:p w14:paraId="67A1BAC1" w14:textId="77777777" w:rsidR="00BF18CF" w:rsidRDefault="00BF18CF">
            <w:pPr>
              <w:pBdr>
                <w:top w:val="nil"/>
                <w:left w:val="nil"/>
                <w:bottom w:val="nil"/>
                <w:right w:val="nil"/>
                <w:between w:val="nil"/>
              </w:pBdr>
              <w:spacing w:before="36" w:after="36"/>
              <w:rPr>
                <w:color w:val="000000"/>
              </w:rPr>
            </w:pPr>
          </w:p>
        </w:tc>
      </w:tr>
      <w:tr w:rsidR="00BF18CF" w14:paraId="110EBA60" w14:textId="77777777" w:rsidTr="00BF18CF">
        <w:tc>
          <w:tcPr>
            <w:tcW w:w="1882" w:type="dxa"/>
          </w:tcPr>
          <w:p w14:paraId="3C9D3B9E"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8" w:type="dxa"/>
          </w:tcPr>
          <w:p w14:paraId="7704DFE8" w14:textId="77777777" w:rsidR="00BF18CF" w:rsidRDefault="00E51347">
            <w:proofErr w:type="gramStart"/>
            <w:r>
              <w:t>plusieurs</w:t>
            </w:r>
            <w:proofErr w:type="gramEnd"/>
            <w:r>
              <w:t xml:space="preserve"> à plusieurs (0,n:0,n)</w:t>
            </w:r>
          </w:p>
        </w:tc>
      </w:tr>
      <w:tr w:rsidR="00BF18CF" w14:paraId="7376E0F5" w14:textId="77777777" w:rsidTr="00BF18CF">
        <w:tc>
          <w:tcPr>
            <w:tcW w:w="1882" w:type="dxa"/>
          </w:tcPr>
          <w:p w14:paraId="7D10A85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8" w:type="dxa"/>
          </w:tcPr>
          <w:p w14:paraId="0317565F" w14:textId="77777777" w:rsidR="00BF18CF" w:rsidRDefault="00E51347">
            <w:r>
              <w:t xml:space="preserve">Cette propriété associe une instance de </w:t>
            </w:r>
            <w:r>
              <w:rPr>
                <w:rFonts w:ascii="Consolas" w:eastAsia="Consolas" w:hAnsi="Consolas" w:cs="Consolas"/>
                <w:sz w:val="22"/>
                <w:szCs w:val="22"/>
                <w:shd w:val="clear" w:color="auto" w:fill="EAEEF3"/>
              </w:rPr>
              <w:t>E70_Chose</w:t>
            </w:r>
            <w:r>
              <w:t xml:space="preserve"> à une instance de </w:t>
            </w:r>
            <w:r>
              <w:rPr>
                <w:rFonts w:ascii="Consolas" w:eastAsia="Consolas" w:hAnsi="Consolas" w:cs="Consolas"/>
                <w:sz w:val="22"/>
                <w:szCs w:val="22"/>
                <w:shd w:val="clear" w:color="auto" w:fill="EAEEF3"/>
              </w:rPr>
              <w:t>E55_Type</w:t>
            </w:r>
            <w:r>
              <w:t xml:space="preserve"> qui décrit le type d'usage pour lequel elle a réellement été utilisée.</w:t>
            </w:r>
          </w:p>
          <w:p w14:paraId="31592DB0" w14:textId="77777777" w:rsidR="00BF18CF" w:rsidRDefault="00E51347">
            <w:r>
              <w:t xml:space="preserve">Cette propriété permet de documenter la relation entre des choses particulières, tant physiques qu'immatérielles, ainsi que les méthodes et les techniques générales </w:t>
            </w:r>
            <w:r>
              <w:lastRenderedPageBreak/>
              <w:t xml:space="preserve">d'usage réel. Cela peut bien être différent de l'utilité fonctionnelle prévue de l'instance de </w:t>
            </w:r>
            <w:r>
              <w:rPr>
                <w:rFonts w:ascii="Consolas" w:eastAsia="Consolas" w:hAnsi="Consolas" w:cs="Consolas"/>
                <w:sz w:val="22"/>
                <w:szCs w:val="22"/>
                <w:shd w:val="clear" w:color="auto" w:fill="EAEEF3"/>
              </w:rPr>
              <w:t>E70_Chose</w:t>
            </w:r>
            <w:r>
              <w:t xml:space="preserve"> (qui peut être documentée avec </w:t>
            </w:r>
            <w:r>
              <w:rPr>
                <w:rFonts w:ascii="Consolas" w:eastAsia="Consolas" w:hAnsi="Consolas" w:cs="Consolas"/>
                <w:sz w:val="22"/>
                <w:szCs w:val="22"/>
                <w:shd w:val="clear" w:color="auto" w:fill="EAEEF3"/>
              </w:rPr>
              <w:t>P103_a_eu_pour_raison_d’être (a_été_la_raison_d’être_de)</w:t>
            </w:r>
            <w:r>
              <w:t>). Par exemple, il pourrait être enregistré qu'une caisse en bois particulière avait pour usage général de servir comme support à étagère sur un étal de marché même si elle avait été initialement destinée à transporter des légumes.</w:t>
            </w:r>
          </w:p>
          <w:p w14:paraId="453A951A" w14:textId="77777777" w:rsidR="00BF18CF" w:rsidRDefault="00E51347">
            <w:r>
              <w:t>L'application de cette propriété est destinée à permettre la documentation des modèles d'utilisation attestés dans les enregistrements historiques ou par le biais de recherches scientifiques (par exemple l'analyse des résidus sur une céramique). Elle ne doit pas être utilisée pour documenter l'usage prévu, et donc supposé, d'un objet.</w:t>
            </w:r>
          </w:p>
        </w:tc>
      </w:tr>
      <w:tr w:rsidR="00BF18CF" w14:paraId="682CC581" w14:textId="77777777" w:rsidTr="00BF18CF">
        <w:tc>
          <w:tcPr>
            <w:tcW w:w="1882" w:type="dxa"/>
          </w:tcPr>
          <w:p w14:paraId="32A10107"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08" w:type="dxa"/>
          </w:tcPr>
          <w:p w14:paraId="65B14447" w14:textId="77777777" w:rsidR="00BF18CF" w:rsidRDefault="00E51347">
            <w:pPr>
              <w:numPr>
                <w:ilvl w:val="0"/>
                <w:numId w:val="19"/>
              </w:numPr>
            </w:pPr>
            <w:r>
              <w:t>La Ford Mustang de Tony Gill (</w:t>
            </w:r>
            <w:r>
              <w:rPr>
                <w:rFonts w:ascii="Consolas" w:eastAsia="Consolas" w:hAnsi="Consolas" w:cs="Consolas"/>
                <w:sz w:val="22"/>
                <w:szCs w:val="22"/>
                <w:shd w:val="clear" w:color="auto" w:fill="EAEEF3"/>
              </w:rPr>
              <w:t>E22_Objet_élaboré_par_l’humain</w:t>
            </w:r>
            <w:r>
              <w:t>) a eu pour usage général (</w:t>
            </w:r>
            <w:r>
              <w:rPr>
                <w:rFonts w:ascii="Consolas" w:eastAsia="Consolas" w:hAnsi="Consolas" w:cs="Consolas"/>
                <w:sz w:val="22"/>
                <w:szCs w:val="22"/>
                <w:shd w:val="clear" w:color="auto" w:fill="EAEEF3"/>
              </w:rPr>
              <w:t>P101_a_eu_pour_usage_général</w:t>
            </w:r>
            <w:r>
              <w:t>) le transport (</w:t>
            </w:r>
            <w:r>
              <w:rPr>
                <w:rFonts w:ascii="Consolas" w:eastAsia="Consolas" w:hAnsi="Consolas" w:cs="Consolas"/>
                <w:sz w:val="22"/>
                <w:szCs w:val="22"/>
                <w:shd w:val="clear" w:color="auto" w:fill="EAEEF3"/>
              </w:rPr>
              <w:t>E55_Type</w:t>
            </w:r>
            <w:r>
              <w:t>)</w:t>
            </w:r>
          </w:p>
          <w:p w14:paraId="5C9556B8" w14:textId="77777777" w:rsidR="00BF18CF" w:rsidRDefault="00E51347">
            <w:pPr>
              <w:numPr>
                <w:ilvl w:val="0"/>
                <w:numId w:val="19"/>
              </w:numPr>
            </w:pPr>
            <w:r>
              <w:t>Le récipient égyptien non émaillé utilisé dans l'étude de 2003 (</w:t>
            </w:r>
            <w:r>
              <w:rPr>
                <w:rFonts w:ascii="Consolas" w:eastAsia="Consolas" w:hAnsi="Consolas" w:cs="Consolas"/>
                <w:sz w:val="22"/>
                <w:szCs w:val="22"/>
                <w:shd w:val="clear" w:color="auto" w:fill="EAEEF3"/>
              </w:rPr>
              <w:t>E22_Objet_élaboré_par_l’humain</w:t>
            </w:r>
            <w:r>
              <w:t>) a eu pour usage général (</w:t>
            </w:r>
            <w:r>
              <w:rPr>
                <w:rFonts w:ascii="Consolas" w:eastAsia="Consolas" w:hAnsi="Consolas" w:cs="Consolas"/>
                <w:sz w:val="22"/>
                <w:szCs w:val="22"/>
                <w:shd w:val="clear" w:color="auto" w:fill="EAEEF3"/>
              </w:rPr>
              <w:t>P101_a_eu_pour_usage_général</w:t>
            </w:r>
            <w:r>
              <w:t>) la préparation du lait de chamelle (</w:t>
            </w:r>
            <w:r>
              <w:rPr>
                <w:rFonts w:ascii="Consolas" w:eastAsia="Consolas" w:hAnsi="Consolas" w:cs="Consolas"/>
                <w:sz w:val="22"/>
                <w:szCs w:val="22"/>
                <w:shd w:val="clear" w:color="auto" w:fill="EAEEF3"/>
              </w:rPr>
              <w:t>E55_Type</w:t>
            </w:r>
            <w:r>
              <w:t>) (Barnard &amp; al, 2007)</w:t>
            </w:r>
          </w:p>
        </w:tc>
      </w:tr>
      <w:tr w:rsidR="00BF18CF" w14:paraId="4D020D86" w14:textId="77777777" w:rsidTr="00BF18CF">
        <w:tc>
          <w:tcPr>
            <w:tcW w:w="1882" w:type="dxa"/>
          </w:tcPr>
          <w:p w14:paraId="18A1DEF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8" w:type="dxa"/>
          </w:tcPr>
          <w:p w14:paraId="14F2D823" w14:textId="77777777" w:rsidR="00BF18CF" w:rsidRDefault="00E51347">
            <w:r>
              <w:t>P101(</w:t>
            </w:r>
            <w:proofErr w:type="gramStart"/>
            <w:r>
              <w:t>x,y</w:t>
            </w:r>
            <w:proofErr w:type="gramEnd"/>
            <w:r>
              <w:t>) ⇒ E70(x)</w:t>
            </w:r>
          </w:p>
          <w:p w14:paraId="435A719C" w14:textId="77777777" w:rsidR="00BF18CF" w:rsidRDefault="00E51347">
            <w:r>
              <w:t>P101(</w:t>
            </w:r>
            <w:proofErr w:type="gramStart"/>
            <w:r>
              <w:t>x,y</w:t>
            </w:r>
            <w:proofErr w:type="gramEnd"/>
            <w:r>
              <w:t>) ⇒ E55(y)</w:t>
            </w:r>
          </w:p>
          <w:p w14:paraId="7FC53EAA" w14:textId="77777777" w:rsidR="00BF18CF" w:rsidRDefault="00E51347">
            <w:r>
              <w:t>P101(</w:t>
            </w:r>
            <w:proofErr w:type="gramStart"/>
            <w:r>
              <w:t>x,y</w:t>
            </w:r>
            <w:proofErr w:type="gramEnd"/>
            <w:r>
              <w:t>) ⇒ (∃z)[E7(z) ∧ P16i(,x,z) ∧ P2(z,y)]</w:t>
            </w:r>
          </w:p>
        </w:tc>
      </w:tr>
      <w:tr w:rsidR="00BF18CF" w14:paraId="3BE6201B" w14:textId="77777777" w:rsidTr="00BF18CF">
        <w:tc>
          <w:tcPr>
            <w:tcW w:w="1882" w:type="dxa"/>
          </w:tcPr>
          <w:p w14:paraId="62CD9AA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8" w:type="dxa"/>
          </w:tcPr>
          <w:p w14:paraId="04B2013C" w14:textId="77777777" w:rsidR="00BF18CF" w:rsidRDefault="00BF18CF">
            <w:pPr>
              <w:pBdr>
                <w:top w:val="nil"/>
                <w:left w:val="nil"/>
                <w:bottom w:val="nil"/>
                <w:right w:val="nil"/>
                <w:between w:val="nil"/>
              </w:pBdr>
              <w:spacing w:before="36" w:after="36"/>
              <w:rPr>
                <w:color w:val="000000"/>
              </w:rPr>
            </w:pPr>
          </w:p>
        </w:tc>
      </w:tr>
      <w:tr w:rsidR="00BF18CF" w14:paraId="5976C339" w14:textId="77777777" w:rsidTr="00BF18CF">
        <w:tc>
          <w:tcPr>
            <w:tcW w:w="1882" w:type="dxa"/>
          </w:tcPr>
          <w:p w14:paraId="066A8653" w14:textId="7BC07BEC"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8" w:type="dxa"/>
          </w:tcPr>
          <w:p w14:paraId="3FAFE1D0" w14:textId="77777777" w:rsidR="00BF18CF" w:rsidRDefault="00BF18CF">
            <w:pPr>
              <w:pBdr>
                <w:top w:val="nil"/>
                <w:left w:val="nil"/>
                <w:bottom w:val="nil"/>
                <w:right w:val="nil"/>
                <w:between w:val="nil"/>
              </w:pBdr>
              <w:spacing w:before="36" w:after="36"/>
              <w:rPr>
                <w:color w:val="000000"/>
              </w:rPr>
            </w:pPr>
          </w:p>
        </w:tc>
      </w:tr>
      <w:tr w:rsidR="00BF18CF" w14:paraId="108BF1D8" w14:textId="77777777" w:rsidTr="00BF18CF">
        <w:tc>
          <w:tcPr>
            <w:tcW w:w="1882" w:type="dxa"/>
          </w:tcPr>
          <w:p w14:paraId="3C2C59A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8" w:type="dxa"/>
          </w:tcPr>
          <w:p w14:paraId="0C78C78C" w14:textId="77777777" w:rsidR="00BF18CF" w:rsidRDefault="00BF18CF">
            <w:pPr>
              <w:pBdr>
                <w:top w:val="nil"/>
                <w:left w:val="nil"/>
                <w:bottom w:val="nil"/>
                <w:right w:val="nil"/>
                <w:between w:val="nil"/>
              </w:pBdr>
              <w:spacing w:before="36" w:after="36"/>
              <w:rPr>
                <w:color w:val="000000"/>
              </w:rPr>
            </w:pPr>
          </w:p>
        </w:tc>
      </w:tr>
    </w:tbl>
    <w:p w14:paraId="63C9B6D8" w14:textId="77777777" w:rsidR="00BF18CF" w:rsidRDefault="00E51347">
      <w:pPr>
        <w:pStyle w:val="Heading3"/>
      </w:pPr>
      <w:bookmarkStart w:id="433" w:name="bookmark=id.21od6so" w:colFirst="0" w:colLast="0"/>
      <w:bookmarkStart w:id="434" w:name="_Toc144360960"/>
      <w:bookmarkEnd w:id="433"/>
      <w:r>
        <w:t>P102 a pour titre (est le titre de)</w:t>
      </w:r>
      <w:bookmarkEnd w:id="434"/>
    </w:p>
    <w:tbl>
      <w:tblPr>
        <w:tblStyle w:val="afffff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7"/>
        <w:gridCol w:w="8833"/>
      </w:tblGrid>
      <w:tr w:rsidR="00BF18CF" w14:paraId="42D85702" w14:textId="77777777" w:rsidTr="00BF18CF">
        <w:tc>
          <w:tcPr>
            <w:tcW w:w="1857" w:type="dxa"/>
          </w:tcPr>
          <w:p w14:paraId="4C787255"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3" w:type="dxa"/>
          </w:tcPr>
          <w:p w14:paraId="43C6F601" w14:textId="77777777" w:rsidR="00BF18CF" w:rsidRDefault="00E51347">
            <w:r>
              <w:rPr>
                <w:rFonts w:ascii="Consolas" w:eastAsia="Consolas" w:hAnsi="Consolas" w:cs="Consolas"/>
                <w:sz w:val="22"/>
                <w:szCs w:val="22"/>
                <w:shd w:val="clear" w:color="auto" w:fill="EAEEF3"/>
              </w:rPr>
              <w:t>E71_Chose_élaborée_par_l’humain</w:t>
            </w:r>
          </w:p>
        </w:tc>
      </w:tr>
      <w:tr w:rsidR="00BF18CF" w14:paraId="063D9F28" w14:textId="77777777" w:rsidTr="00BF18CF">
        <w:tc>
          <w:tcPr>
            <w:tcW w:w="1857" w:type="dxa"/>
          </w:tcPr>
          <w:p w14:paraId="008ECEFB"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3" w:type="dxa"/>
          </w:tcPr>
          <w:p w14:paraId="01A73234" w14:textId="77777777" w:rsidR="00BF18CF" w:rsidRDefault="00E51347">
            <w:r>
              <w:rPr>
                <w:rFonts w:ascii="Consolas" w:eastAsia="Consolas" w:hAnsi="Consolas" w:cs="Consolas"/>
                <w:sz w:val="22"/>
                <w:szCs w:val="22"/>
                <w:shd w:val="clear" w:color="auto" w:fill="EAEEF3"/>
              </w:rPr>
              <w:t>E35_Titre</w:t>
            </w:r>
          </w:p>
        </w:tc>
      </w:tr>
      <w:tr w:rsidR="00BF18CF" w14:paraId="5480CE66" w14:textId="77777777" w:rsidTr="00BF18CF">
        <w:tc>
          <w:tcPr>
            <w:tcW w:w="1857" w:type="dxa"/>
          </w:tcPr>
          <w:p w14:paraId="050F6B3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3" w:type="dxa"/>
          </w:tcPr>
          <w:p w14:paraId="3B916948"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P1_est_identifié_par (identifie)</w:t>
            </w:r>
            <w:r>
              <w:t xml:space="preserve"> : </w:t>
            </w:r>
            <w:r>
              <w:rPr>
                <w:rFonts w:ascii="Consolas" w:eastAsia="Consolas" w:hAnsi="Consolas" w:cs="Consolas"/>
                <w:sz w:val="22"/>
                <w:szCs w:val="22"/>
                <w:shd w:val="clear" w:color="auto" w:fill="EAEEF3"/>
              </w:rPr>
              <w:t>E41_Appellation</w:t>
            </w:r>
          </w:p>
        </w:tc>
      </w:tr>
      <w:tr w:rsidR="00BF18CF" w14:paraId="1F1FE0FE" w14:textId="77777777" w:rsidTr="00BF18CF">
        <w:tc>
          <w:tcPr>
            <w:tcW w:w="1857" w:type="dxa"/>
          </w:tcPr>
          <w:p w14:paraId="6C7B030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3" w:type="dxa"/>
          </w:tcPr>
          <w:p w14:paraId="462F4967" w14:textId="77777777" w:rsidR="00BF18CF" w:rsidRDefault="00BF18CF">
            <w:pPr>
              <w:pBdr>
                <w:top w:val="nil"/>
                <w:left w:val="nil"/>
                <w:bottom w:val="nil"/>
                <w:right w:val="nil"/>
                <w:between w:val="nil"/>
              </w:pBdr>
              <w:spacing w:before="36" w:after="36"/>
              <w:rPr>
                <w:color w:val="000000"/>
              </w:rPr>
            </w:pPr>
          </w:p>
        </w:tc>
      </w:tr>
      <w:tr w:rsidR="00BF18CF" w14:paraId="1BDC2595" w14:textId="77777777" w:rsidTr="00BF18CF">
        <w:tc>
          <w:tcPr>
            <w:tcW w:w="1857" w:type="dxa"/>
          </w:tcPr>
          <w:p w14:paraId="25072B5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3" w:type="dxa"/>
          </w:tcPr>
          <w:p w14:paraId="1F15A15D" w14:textId="77777777" w:rsidR="00BF18CF" w:rsidRDefault="00E51347">
            <w:proofErr w:type="gramStart"/>
            <w:r>
              <w:t>plusieurs</w:t>
            </w:r>
            <w:proofErr w:type="gramEnd"/>
            <w:r>
              <w:t xml:space="preserve"> à plusieurs (0,n:0,n)</w:t>
            </w:r>
          </w:p>
        </w:tc>
      </w:tr>
      <w:tr w:rsidR="00BF18CF" w14:paraId="54BD9564" w14:textId="77777777" w:rsidTr="00BF18CF">
        <w:tc>
          <w:tcPr>
            <w:tcW w:w="1857" w:type="dxa"/>
          </w:tcPr>
          <w:p w14:paraId="679A92D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3" w:type="dxa"/>
          </w:tcPr>
          <w:p w14:paraId="2FFFB6B8" w14:textId="77777777" w:rsidR="00BF18CF" w:rsidRDefault="00E51347">
            <w:r>
              <w:t xml:space="preserve">Cette propriété associe une instance de </w:t>
            </w:r>
            <w:r>
              <w:rPr>
                <w:rFonts w:ascii="Consolas" w:eastAsia="Consolas" w:hAnsi="Consolas" w:cs="Consolas"/>
                <w:sz w:val="22"/>
                <w:szCs w:val="22"/>
                <w:shd w:val="clear" w:color="auto" w:fill="EAEEF3"/>
              </w:rPr>
              <w:t>E35_Titre</w:t>
            </w:r>
            <w:r>
              <w:t xml:space="preserve"> à une instance de </w:t>
            </w:r>
            <w:r>
              <w:rPr>
                <w:rFonts w:ascii="Consolas" w:eastAsia="Consolas" w:hAnsi="Consolas" w:cs="Consolas"/>
                <w:sz w:val="22"/>
                <w:szCs w:val="22"/>
                <w:shd w:val="clear" w:color="auto" w:fill="EAEEF3"/>
              </w:rPr>
              <w:t>E71_Chose_élaborée_par_l’humain</w:t>
            </w:r>
            <w:r>
              <w:t xml:space="preserve"> à laquelle elle s'applique.</w:t>
            </w:r>
          </w:p>
          <w:p w14:paraId="0011734F" w14:textId="77777777" w:rsidR="00BF18CF" w:rsidRDefault="00E51347">
            <w:r>
              <w:t xml:space="preserve">La propriété </w:t>
            </w:r>
            <w:r>
              <w:rPr>
                <w:rFonts w:ascii="Consolas" w:eastAsia="Consolas" w:hAnsi="Consolas" w:cs="Consolas"/>
                <w:sz w:val="22"/>
                <w:szCs w:val="22"/>
                <w:shd w:val="clear" w:color="auto" w:fill="EAEEF3"/>
              </w:rPr>
              <w:t>P102.1_a_pour_type</w:t>
            </w:r>
            <w:r>
              <w:t xml:space="preserve"> de la propriété </w:t>
            </w:r>
            <w:r>
              <w:rPr>
                <w:rFonts w:ascii="Consolas" w:eastAsia="Consolas" w:hAnsi="Consolas" w:cs="Consolas"/>
                <w:sz w:val="22"/>
                <w:szCs w:val="22"/>
                <w:shd w:val="clear" w:color="auto" w:fill="EAEEF3"/>
              </w:rPr>
              <w:t>P102_a_pour_titre (est_le_titre_de)</w:t>
            </w:r>
            <w:r>
              <w:t xml:space="preserve"> permet de clarifier la relation entre le titre et la chose, par exemple, s'il s'agit d'un titre donné, d'un titre attribué, etc.</w:t>
            </w:r>
          </w:p>
          <w:p w14:paraId="38815599" w14:textId="77777777" w:rsidR="00BF18CF" w:rsidRDefault="00E51347">
            <w:r>
              <w:rPr>
                <w:rFonts w:ascii="Consolas" w:eastAsia="Consolas" w:hAnsi="Consolas" w:cs="Consolas"/>
                <w:sz w:val="22"/>
                <w:szCs w:val="22"/>
                <w:shd w:val="clear" w:color="auto" w:fill="EAEEF3"/>
              </w:rPr>
              <w:lastRenderedPageBreak/>
              <w:t>P102_a_pour_titre (est_le_titre_de)</w:t>
            </w:r>
            <w:r>
              <w:t xml:space="preserve"> permet d'attribuer un titre à toute chose matérielle ou immatérielle élaborée par l'humain. Il est possible d'imaginer qu'un titre soit créé sans un objet spécifique en tête.</w:t>
            </w:r>
          </w:p>
        </w:tc>
      </w:tr>
      <w:tr w:rsidR="00BF18CF" w14:paraId="5EEAEBE9" w14:textId="77777777" w:rsidTr="00BF18CF">
        <w:tc>
          <w:tcPr>
            <w:tcW w:w="1857" w:type="dxa"/>
          </w:tcPr>
          <w:p w14:paraId="0818F765"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33" w:type="dxa"/>
          </w:tcPr>
          <w:p w14:paraId="40D79DE8" w14:textId="77777777" w:rsidR="00BF18CF" w:rsidRDefault="00E51347">
            <w:pPr>
              <w:numPr>
                <w:ilvl w:val="0"/>
                <w:numId w:val="19"/>
              </w:numPr>
            </w:pPr>
            <w:r>
              <w:t>Le premier livre de l'Ancien Testament (</w:t>
            </w:r>
            <w:r>
              <w:rPr>
                <w:rFonts w:ascii="Consolas" w:eastAsia="Consolas" w:hAnsi="Consolas" w:cs="Consolas"/>
                <w:sz w:val="22"/>
                <w:szCs w:val="22"/>
                <w:shd w:val="clear" w:color="auto" w:fill="EAEEF3"/>
              </w:rPr>
              <w:t>E33_Objet_linguistique</w:t>
            </w:r>
            <w:r>
              <w:t>) a pour titre (</w:t>
            </w:r>
            <w:r>
              <w:rPr>
                <w:rFonts w:ascii="Consolas" w:eastAsia="Consolas" w:hAnsi="Consolas" w:cs="Consolas"/>
                <w:sz w:val="22"/>
                <w:szCs w:val="22"/>
                <w:shd w:val="clear" w:color="auto" w:fill="EAEEF3"/>
              </w:rPr>
              <w:t>P102_a_pour_titre</w:t>
            </w:r>
            <w:r>
              <w:t xml:space="preserve">) </w:t>
            </w:r>
            <w:r>
              <w:rPr>
                <w:i/>
              </w:rPr>
              <w:t>Genèse</w:t>
            </w:r>
            <w:r>
              <w:t xml:space="preserve"> (</w:t>
            </w:r>
            <w:r>
              <w:rPr>
                <w:rFonts w:ascii="Consolas" w:eastAsia="Consolas" w:hAnsi="Consolas" w:cs="Consolas"/>
                <w:sz w:val="22"/>
                <w:szCs w:val="22"/>
                <w:shd w:val="clear" w:color="auto" w:fill="EAEEF3"/>
              </w:rPr>
              <w:t>E35_Titre</w:t>
            </w:r>
            <w:r>
              <w:t>), qui a pour type (</w:t>
            </w:r>
            <w:r>
              <w:rPr>
                <w:rFonts w:ascii="Consolas" w:eastAsia="Consolas" w:hAnsi="Consolas" w:cs="Consolas"/>
                <w:sz w:val="22"/>
                <w:szCs w:val="22"/>
                <w:shd w:val="clear" w:color="auto" w:fill="EAEEF3"/>
              </w:rPr>
              <w:t>P102.1_a_pour_type</w:t>
            </w:r>
            <w:r>
              <w:t>) « titre traduit » (</w:t>
            </w:r>
            <w:r>
              <w:rPr>
                <w:rFonts w:ascii="Consolas" w:eastAsia="Consolas" w:hAnsi="Consolas" w:cs="Consolas"/>
                <w:sz w:val="22"/>
                <w:szCs w:val="22"/>
                <w:shd w:val="clear" w:color="auto" w:fill="EAEEF3"/>
              </w:rPr>
              <w:t>E55_Type</w:t>
            </w:r>
            <w:r>
              <w:t>) (Brueggemann, 1986)</w:t>
            </w:r>
          </w:p>
          <w:p w14:paraId="2AD19A4F" w14:textId="77777777" w:rsidR="00BF18CF" w:rsidRDefault="00E51347">
            <w:pPr>
              <w:numPr>
                <w:ilvl w:val="0"/>
                <w:numId w:val="19"/>
              </w:numPr>
            </w:pPr>
            <w:r>
              <w:t>Le tableau de Monet de 1868-1869 conservé au musée d'Orsay, à Paris, sous le numéro d'inventaire RF 1984 164 (</w:t>
            </w:r>
            <w:r>
              <w:rPr>
                <w:rFonts w:ascii="Consolas" w:eastAsia="Consolas" w:hAnsi="Consolas" w:cs="Consolas"/>
                <w:sz w:val="22"/>
                <w:szCs w:val="22"/>
                <w:shd w:val="clear" w:color="auto" w:fill="EAEEF3"/>
              </w:rPr>
              <w:t>E24_Chose_matérielle_élaborée_par_l’humain</w:t>
            </w:r>
            <w:r>
              <w:t>) a pour titre (</w:t>
            </w:r>
            <w:r>
              <w:rPr>
                <w:rFonts w:ascii="Consolas" w:eastAsia="Consolas" w:hAnsi="Consolas" w:cs="Consolas"/>
                <w:sz w:val="22"/>
                <w:szCs w:val="22"/>
                <w:shd w:val="clear" w:color="auto" w:fill="EAEEF3"/>
              </w:rPr>
              <w:t>P102_a_pour_titre</w:t>
            </w:r>
            <w:r>
              <w:t xml:space="preserve">) </w:t>
            </w:r>
            <w:r>
              <w:rPr>
                <w:i/>
              </w:rPr>
              <w:t>La Pie</w:t>
            </w:r>
            <w:r>
              <w:t xml:space="preserve"> (</w:t>
            </w:r>
            <w:r>
              <w:rPr>
                <w:rFonts w:ascii="Consolas" w:eastAsia="Consolas" w:hAnsi="Consolas" w:cs="Consolas"/>
                <w:sz w:val="22"/>
                <w:szCs w:val="22"/>
                <w:shd w:val="clear" w:color="auto" w:fill="EAEEF3"/>
              </w:rPr>
              <w:t>E35_Titre</w:t>
            </w:r>
            <w:r>
              <w:t>), qui a pour type (</w:t>
            </w:r>
            <w:r>
              <w:rPr>
                <w:rFonts w:ascii="Consolas" w:eastAsia="Consolas" w:hAnsi="Consolas" w:cs="Consolas"/>
                <w:sz w:val="22"/>
                <w:szCs w:val="22"/>
                <w:shd w:val="clear" w:color="auto" w:fill="EAEEF3"/>
              </w:rPr>
              <w:t>P102.1_a_pour_type</w:t>
            </w:r>
            <w:r>
              <w:t>) « titre du créateur » (</w:t>
            </w:r>
            <w:r>
              <w:rPr>
                <w:rFonts w:ascii="Consolas" w:eastAsia="Consolas" w:hAnsi="Consolas" w:cs="Consolas"/>
                <w:sz w:val="22"/>
                <w:szCs w:val="22"/>
                <w:shd w:val="clear" w:color="auto" w:fill="EAEEF3"/>
              </w:rPr>
              <w:t>E55_Type</w:t>
            </w:r>
            <w:r>
              <w:t>) (Musée d'Orsay, 2020)</w:t>
            </w:r>
          </w:p>
          <w:p w14:paraId="4619980C" w14:textId="77777777" w:rsidR="00BF18CF" w:rsidRDefault="00E51347">
            <w:pPr>
              <w:numPr>
                <w:ilvl w:val="0"/>
                <w:numId w:val="19"/>
              </w:numPr>
            </w:pPr>
            <w:r>
              <w:t>Le tableau de Monet de 1868-1869 conservé au musée d'Orsay, à Paris, sous le numéro d'inventaire RF 1984 164 (</w:t>
            </w:r>
            <w:r>
              <w:rPr>
                <w:rFonts w:ascii="Consolas" w:eastAsia="Consolas" w:hAnsi="Consolas" w:cs="Consolas"/>
                <w:sz w:val="22"/>
                <w:szCs w:val="22"/>
                <w:shd w:val="clear" w:color="auto" w:fill="EAEEF3"/>
              </w:rPr>
              <w:t>E24_Chose_matérielle_élaborée_par_l’humain</w:t>
            </w:r>
            <w:r>
              <w:t>) a pour titre (</w:t>
            </w:r>
            <w:r>
              <w:rPr>
                <w:rFonts w:ascii="Consolas" w:eastAsia="Consolas" w:hAnsi="Consolas" w:cs="Consolas"/>
                <w:sz w:val="22"/>
                <w:szCs w:val="22"/>
                <w:shd w:val="clear" w:color="auto" w:fill="EAEEF3"/>
              </w:rPr>
              <w:t>P102_a_pour_titre</w:t>
            </w:r>
            <w:r>
              <w:t xml:space="preserve">) </w:t>
            </w:r>
            <w:r>
              <w:rPr>
                <w:i/>
              </w:rPr>
              <w:t>The Magpie</w:t>
            </w:r>
            <w:r>
              <w:t xml:space="preserve"> (</w:t>
            </w:r>
            <w:r>
              <w:rPr>
                <w:rFonts w:ascii="Consolas" w:eastAsia="Consolas" w:hAnsi="Consolas" w:cs="Consolas"/>
                <w:sz w:val="22"/>
                <w:szCs w:val="22"/>
                <w:shd w:val="clear" w:color="auto" w:fill="EAEEF3"/>
              </w:rPr>
              <w:t>E35_Titre</w:t>
            </w:r>
            <w:r>
              <w:t>), qui a pour type (</w:t>
            </w:r>
            <w:r>
              <w:rPr>
                <w:rFonts w:ascii="Consolas" w:eastAsia="Consolas" w:hAnsi="Consolas" w:cs="Consolas"/>
                <w:sz w:val="22"/>
                <w:szCs w:val="22"/>
                <w:shd w:val="clear" w:color="auto" w:fill="EAEEF3"/>
              </w:rPr>
              <w:t>P102.1_a_pour_type</w:t>
            </w:r>
            <w:r>
              <w:t>) « titre traduit » (</w:t>
            </w:r>
            <w:r>
              <w:rPr>
                <w:rFonts w:ascii="Consolas" w:eastAsia="Consolas" w:hAnsi="Consolas" w:cs="Consolas"/>
                <w:sz w:val="22"/>
                <w:szCs w:val="22"/>
                <w:shd w:val="clear" w:color="auto" w:fill="EAEEF3"/>
              </w:rPr>
              <w:t>E55_Type</w:t>
            </w:r>
            <w:r>
              <w:t>) (Musée d'Orsay, 2020)</w:t>
            </w:r>
          </w:p>
        </w:tc>
      </w:tr>
      <w:tr w:rsidR="00BF18CF" w14:paraId="55A0877E" w14:textId="77777777" w:rsidTr="00BF18CF">
        <w:tc>
          <w:tcPr>
            <w:tcW w:w="1857" w:type="dxa"/>
          </w:tcPr>
          <w:p w14:paraId="7569248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3" w:type="dxa"/>
          </w:tcPr>
          <w:p w14:paraId="5DAB5BE8" w14:textId="77777777" w:rsidR="00BF18CF" w:rsidRDefault="00E51347">
            <w:r>
              <w:t>P102(</w:t>
            </w:r>
            <w:proofErr w:type="gramStart"/>
            <w:r>
              <w:t>x,y</w:t>
            </w:r>
            <w:proofErr w:type="gramEnd"/>
            <w:r>
              <w:t>) ⇒ E71(x)</w:t>
            </w:r>
          </w:p>
          <w:p w14:paraId="11F1BFB5" w14:textId="77777777" w:rsidR="00BF18CF" w:rsidRDefault="00E51347">
            <w:r>
              <w:t>P102(</w:t>
            </w:r>
            <w:proofErr w:type="gramStart"/>
            <w:r>
              <w:t>x,y</w:t>
            </w:r>
            <w:proofErr w:type="gramEnd"/>
            <w:r>
              <w:t>) ⇒ E35(y)</w:t>
            </w:r>
          </w:p>
          <w:p w14:paraId="02542FDD" w14:textId="77777777" w:rsidR="00BF18CF" w:rsidRDefault="00E51347">
            <w:r>
              <w:t>P102(</w:t>
            </w:r>
            <w:proofErr w:type="gramStart"/>
            <w:r>
              <w:t>x,y</w:t>
            </w:r>
            <w:proofErr w:type="gramEnd"/>
            <w:r>
              <w:t>,z) ⇒ [P102(x,y) ∧ E55(z)]</w:t>
            </w:r>
          </w:p>
          <w:p w14:paraId="72BCF218" w14:textId="77777777" w:rsidR="00BF18CF" w:rsidRDefault="00E51347">
            <w:r>
              <w:t>P102(</w:t>
            </w:r>
            <w:proofErr w:type="gramStart"/>
            <w:r>
              <w:t>x,y</w:t>
            </w:r>
            <w:proofErr w:type="gramEnd"/>
            <w:r>
              <w:t>) ⇒ P1(x,y)</w:t>
            </w:r>
          </w:p>
        </w:tc>
      </w:tr>
      <w:tr w:rsidR="00BF18CF" w14:paraId="5702ACE7" w14:textId="77777777" w:rsidTr="00BF18CF">
        <w:tc>
          <w:tcPr>
            <w:tcW w:w="1857" w:type="dxa"/>
          </w:tcPr>
          <w:p w14:paraId="0A7AD89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3" w:type="dxa"/>
          </w:tcPr>
          <w:p w14:paraId="25D427AC" w14:textId="77777777" w:rsidR="00BF18CF" w:rsidRDefault="00E51347">
            <w:r>
              <w:rPr>
                <w:rFonts w:ascii="Consolas" w:eastAsia="Consolas" w:hAnsi="Consolas" w:cs="Consolas"/>
                <w:sz w:val="22"/>
                <w:szCs w:val="22"/>
                <w:shd w:val="clear" w:color="auto" w:fill="EAEEF3"/>
              </w:rPr>
              <w:t>P102.1_a_pour_type</w:t>
            </w:r>
            <w:r>
              <w:t xml:space="preserve"> : </w:t>
            </w:r>
            <w:r>
              <w:rPr>
                <w:rFonts w:ascii="Consolas" w:eastAsia="Consolas" w:hAnsi="Consolas" w:cs="Consolas"/>
                <w:sz w:val="22"/>
                <w:szCs w:val="22"/>
                <w:shd w:val="clear" w:color="auto" w:fill="EAEEF3"/>
              </w:rPr>
              <w:t>E55_Type</w:t>
            </w:r>
          </w:p>
        </w:tc>
      </w:tr>
      <w:tr w:rsidR="00BF18CF" w14:paraId="7675D9E5" w14:textId="77777777" w:rsidTr="00BF18CF">
        <w:tc>
          <w:tcPr>
            <w:tcW w:w="1857" w:type="dxa"/>
          </w:tcPr>
          <w:p w14:paraId="1CAFF555" w14:textId="30330AF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3" w:type="dxa"/>
          </w:tcPr>
          <w:p w14:paraId="2563886F" w14:textId="77777777" w:rsidR="00BF18CF" w:rsidRDefault="00BF18CF">
            <w:pPr>
              <w:pBdr>
                <w:top w:val="nil"/>
                <w:left w:val="nil"/>
                <w:bottom w:val="nil"/>
                <w:right w:val="nil"/>
                <w:between w:val="nil"/>
              </w:pBdr>
              <w:spacing w:before="36" w:after="36"/>
              <w:rPr>
                <w:color w:val="000000"/>
              </w:rPr>
            </w:pPr>
          </w:p>
        </w:tc>
      </w:tr>
      <w:tr w:rsidR="00BF18CF" w14:paraId="03857484" w14:textId="77777777" w:rsidTr="00BF18CF">
        <w:tc>
          <w:tcPr>
            <w:tcW w:w="1857" w:type="dxa"/>
          </w:tcPr>
          <w:p w14:paraId="223522A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3" w:type="dxa"/>
          </w:tcPr>
          <w:p w14:paraId="6B7F08E7" w14:textId="77777777" w:rsidR="00BF18CF" w:rsidRDefault="00BF18CF">
            <w:pPr>
              <w:pBdr>
                <w:top w:val="nil"/>
                <w:left w:val="nil"/>
                <w:bottom w:val="nil"/>
                <w:right w:val="nil"/>
                <w:between w:val="nil"/>
              </w:pBdr>
              <w:spacing w:before="36" w:after="36"/>
              <w:rPr>
                <w:color w:val="000000"/>
              </w:rPr>
            </w:pPr>
          </w:p>
        </w:tc>
      </w:tr>
    </w:tbl>
    <w:p w14:paraId="31D3A354" w14:textId="77777777" w:rsidR="00BF18CF" w:rsidRDefault="00E51347">
      <w:pPr>
        <w:pStyle w:val="Heading3"/>
      </w:pPr>
      <w:bookmarkStart w:id="435" w:name="bookmark=id.gtnh0h" w:colFirst="0" w:colLast="0"/>
      <w:bookmarkStart w:id="436" w:name="_Toc144360961"/>
      <w:bookmarkEnd w:id="435"/>
      <w:r>
        <w:t>P103 a eu pour raison d'être (a été la raison d'être de)</w:t>
      </w:r>
      <w:bookmarkEnd w:id="436"/>
    </w:p>
    <w:tbl>
      <w:tblPr>
        <w:tblStyle w:val="affffff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2"/>
        <w:gridCol w:w="8808"/>
      </w:tblGrid>
      <w:tr w:rsidR="00BF18CF" w14:paraId="5F07934A" w14:textId="77777777" w:rsidTr="00BF18CF">
        <w:tc>
          <w:tcPr>
            <w:tcW w:w="1882" w:type="dxa"/>
          </w:tcPr>
          <w:p w14:paraId="1F2D89E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8" w:type="dxa"/>
          </w:tcPr>
          <w:p w14:paraId="3110728F" w14:textId="77777777" w:rsidR="00BF18CF" w:rsidRDefault="00E51347">
            <w:r>
              <w:rPr>
                <w:rFonts w:ascii="Consolas" w:eastAsia="Consolas" w:hAnsi="Consolas" w:cs="Consolas"/>
                <w:sz w:val="22"/>
                <w:szCs w:val="22"/>
                <w:shd w:val="clear" w:color="auto" w:fill="EAEEF3"/>
              </w:rPr>
              <w:t>E71_Chose_élaborée_par_l’humain</w:t>
            </w:r>
          </w:p>
        </w:tc>
      </w:tr>
      <w:tr w:rsidR="00BF18CF" w14:paraId="77640204" w14:textId="77777777" w:rsidTr="00BF18CF">
        <w:tc>
          <w:tcPr>
            <w:tcW w:w="1882" w:type="dxa"/>
          </w:tcPr>
          <w:p w14:paraId="40AA78B1"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8" w:type="dxa"/>
          </w:tcPr>
          <w:p w14:paraId="66E4ECF9" w14:textId="77777777" w:rsidR="00BF18CF" w:rsidRDefault="00E51347">
            <w:r>
              <w:rPr>
                <w:rFonts w:ascii="Consolas" w:eastAsia="Consolas" w:hAnsi="Consolas" w:cs="Consolas"/>
                <w:sz w:val="22"/>
                <w:szCs w:val="22"/>
                <w:shd w:val="clear" w:color="auto" w:fill="EAEEF3"/>
              </w:rPr>
              <w:t>E55_Type</w:t>
            </w:r>
          </w:p>
        </w:tc>
      </w:tr>
      <w:tr w:rsidR="00BF18CF" w14:paraId="5BFC061B" w14:textId="77777777" w:rsidTr="00BF18CF">
        <w:tc>
          <w:tcPr>
            <w:tcW w:w="1882" w:type="dxa"/>
          </w:tcPr>
          <w:p w14:paraId="52AE536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8" w:type="dxa"/>
          </w:tcPr>
          <w:p w14:paraId="04C38618" w14:textId="77777777" w:rsidR="00BF18CF" w:rsidRDefault="00BF18CF">
            <w:pPr>
              <w:pBdr>
                <w:top w:val="nil"/>
                <w:left w:val="nil"/>
                <w:bottom w:val="nil"/>
                <w:right w:val="nil"/>
                <w:between w:val="nil"/>
              </w:pBdr>
              <w:spacing w:before="36" w:after="36"/>
              <w:rPr>
                <w:color w:val="000000"/>
              </w:rPr>
            </w:pPr>
          </w:p>
        </w:tc>
      </w:tr>
      <w:tr w:rsidR="00BF18CF" w14:paraId="192BFED2" w14:textId="77777777" w:rsidTr="00BF18CF">
        <w:tc>
          <w:tcPr>
            <w:tcW w:w="1882" w:type="dxa"/>
          </w:tcPr>
          <w:p w14:paraId="6E832D4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8" w:type="dxa"/>
          </w:tcPr>
          <w:p w14:paraId="396CACBF" w14:textId="77777777" w:rsidR="00BF18CF" w:rsidRDefault="00BF18CF">
            <w:pPr>
              <w:pBdr>
                <w:top w:val="nil"/>
                <w:left w:val="nil"/>
                <w:bottom w:val="nil"/>
                <w:right w:val="nil"/>
                <w:between w:val="nil"/>
              </w:pBdr>
              <w:spacing w:before="36" w:after="36"/>
              <w:rPr>
                <w:color w:val="000000"/>
              </w:rPr>
            </w:pPr>
          </w:p>
        </w:tc>
      </w:tr>
      <w:tr w:rsidR="00BF18CF" w14:paraId="28946FB0" w14:textId="77777777" w:rsidTr="00BF18CF">
        <w:tc>
          <w:tcPr>
            <w:tcW w:w="1882" w:type="dxa"/>
          </w:tcPr>
          <w:p w14:paraId="47DB733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8" w:type="dxa"/>
          </w:tcPr>
          <w:p w14:paraId="48DEDB6B" w14:textId="77777777" w:rsidR="00BF18CF" w:rsidRDefault="00E51347">
            <w:proofErr w:type="gramStart"/>
            <w:r>
              <w:t>plusieurs</w:t>
            </w:r>
            <w:proofErr w:type="gramEnd"/>
            <w:r>
              <w:t xml:space="preserve"> à plusieurs (0,n:0,n)</w:t>
            </w:r>
          </w:p>
        </w:tc>
      </w:tr>
      <w:tr w:rsidR="00BF18CF" w14:paraId="6A0EA752" w14:textId="77777777" w:rsidTr="00BF18CF">
        <w:tc>
          <w:tcPr>
            <w:tcW w:w="1882" w:type="dxa"/>
          </w:tcPr>
          <w:p w14:paraId="618D884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8" w:type="dxa"/>
          </w:tcPr>
          <w:p w14:paraId="0DB207BA" w14:textId="77777777" w:rsidR="00BF18CF" w:rsidRDefault="00E51347">
            <w:r>
              <w:t xml:space="preserve">Cette propriété lie une instance de </w:t>
            </w:r>
            <w:r>
              <w:rPr>
                <w:rFonts w:ascii="Consolas" w:eastAsia="Consolas" w:hAnsi="Consolas" w:cs="Consolas"/>
                <w:sz w:val="22"/>
                <w:szCs w:val="22"/>
                <w:shd w:val="clear" w:color="auto" w:fill="EAEEF3"/>
              </w:rPr>
              <w:t>E71_Chose_élaborée_par_l’humain</w:t>
            </w:r>
            <w:r>
              <w:t xml:space="preserve"> à une instance de </w:t>
            </w:r>
            <w:r>
              <w:rPr>
                <w:rFonts w:ascii="Consolas" w:eastAsia="Consolas" w:hAnsi="Consolas" w:cs="Consolas"/>
                <w:sz w:val="22"/>
                <w:szCs w:val="22"/>
                <w:shd w:val="clear" w:color="auto" w:fill="EAEEF3"/>
              </w:rPr>
              <w:t>E55_Type</w:t>
            </w:r>
            <w:r>
              <w:t xml:space="preserve"> qui décrit son utilisation prévue.</w:t>
            </w:r>
          </w:p>
          <w:p w14:paraId="01DF2EAF" w14:textId="77777777" w:rsidR="00BF18CF" w:rsidRDefault="00E51347">
            <w:r>
              <w:t xml:space="preserve">La propriété </w:t>
            </w:r>
            <w:r>
              <w:rPr>
                <w:rFonts w:ascii="Consolas" w:eastAsia="Consolas" w:hAnsi="Consolas" w:cs="Consolas"/>
                <w:sz w:val="22"/>
                <w:szCs w:val="22"/>
                <w:shd w:val="clear" w:color="auto" w:fill="EAEEF3"/>
              </w:rPr>
              <w:t>P103_a_eu_pour_raison_d’être (a_été_la_raison_d’être_de)</w:t>
            </w:r>
            <w:r>
              <w:t xml:space="preserve"> crée une relation entre des choses matérielles ou immatérielles spécifiques élaborées par l'humain et des types de méthodes ou de techniques d'utilisation </w:t>
            </w:r>
            <w:r>
              <w:lastRenderedPageBreak/>
              <w:t xml:space="preserve">prévues. Il est à noter que le lien entre des choses spécifiques élaborées par l'humain et une activité d'utilisation spécifique doit être exprimé en utilisant la propriété </w:t>
            </w:r>
            <w:r>
              <w:rPr>
                <w:rFonts w:ascii="Consolas" w:eastAsia="Consolas" w:hAnsi="Consolas" w:cs="Consolas"/>
                <w:sz w:val="22"/>
                <w:szCs w:val="22"/>
                <w:shd w:val="clear" w:color="auto" w:fill="EAEEF3"/>
              </w:rPr>
              <w:t>P19_a_été_l’usage_prévu_de (a_été_élaboré_pour)</w:t>
            </w:r>
            <w:r>
              <w:t>.</w:t>
            </w:r>
          </w:p>
        </w:tc>
      </w:tr>
      <w:tr w:rsidR="00BF18CF" w14:paraId="16FFE6B6" w14:textId="77777777" w:rsidTr="00BF18CF">
        <w:tc>
          <w:tcPr>
            <w:tcW w:w="1882" w:type="dxa"/>
          </w:tcPr>
          <w:p w14:paraId="4F35D406"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08" w:type="dxa"/>
          </w:tcPr>
          <w:p w14:paraId="5F13D5DA" w14:textId="77777777" w:rsidR="00BF18CF" w:rsidRDefault="00E51347">
            <w:pPr>
              <w:numPr>
                <w:ilvl w:val="0"/>
                <w:numId w:val="19"/>
              </w:numPr>
            </w:pPr>
            <w:r>
              <w:t>Ce plat (</w:t>
            </w:r>
            <w:r>
              <w:rPr>
                <w:rFonts w:ascii="Consolas" w:eastAsia="Consolas" w:hAnsi="Consolas" w:cs="Consolas"/>
                <w:sz w:val="22"/>
                <w:szCs w:val="22"/>
                <w:shd w:val="clear" w:color="auto" w:fill="EAEEF3"/>
              </w:rPr>
              <w:t>E22_Objet_élaboré_par_l’humain</w:t>
            </w:r>
            <w:r>
              <w:t>) a eu pour raison d'être (</w:t>
            </w:r>
            <w:r>
              <w:rPr>
                <w:rFonts w:ascii="Consolas" w:eastAsia="Consolas" w:hAnsi="Consolas" w:cs="Consolas"/>
                <w:sz w:val="22"/>
                <w:szCs w:val="22"/>
                <w:shd w:val="clear" w:color="auto" w:fill="EAEEF3"/>
              </w:rPr>
              <w:t>P103_a_eu_pour_raison_d’être</w:t>
            </w:r>
            <w:r>
              <w:t>) d'être détruit lors d'une réception de mariage (</w:t>
            </w:r>
            <w:r>
              <w:rPr>
                <w:rFonts w:ascii="Consolas" w:eastAsia="Consolas" w:hAnsi="Consolas" w:cs="Consolas"/>
                <w:sz w:val="22"/>
                <w:szCs w:val="22"/>
                <w:shd w:val="clear" w:color="auto" w:fill="EAEEF3"/>
              </w:rPr>
              <w:t>E55_Type</w:t>
            </w:r>
            <w:r>
              <w:t>) (fictif)</w:t>
            </w:r>
          </w:p>
        </w:tc>
      </w:tr>
      <w:tr w:rsidR="00BF18CF" w14:paraId="361A0D2F" w14:textId="77777777" w:rsidTr="00BF18CF">
        <w:tc>
          <w:tcPr>
            <w:tcW w:w="1882" w:type="dxa"/>
          </w:tcPr>
          <w:p w14:paraId="724297C6"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8" w:type="dxa"/>
          </w:tcPr>
          <w:p w14:paraId="7FC587F4" w14:textId="77777777" w:rsidR="00BF18CF" w:rsidRDefault="00E51347">
            <w:r>
              <w:t>P103(</w:t>
            </w:r>
            <w:proofErr w:type="gramStart"/>
            <w:r>
              <w:t>x,y</w:t>
            </w:r>
            <w:proofErr w:type="gramEnd"/>
            <w:r>
              <w:t>) ⇒ E71(x)</w:t>
            </w:r>
          </w:p>
          <w:p w14:paraId="57FD93C0" w14:textId="77777777" w:rsidR="00BF18CF" w:rsidRDefault="00E51347">
            <w:r>
              <w:t>P103(</w:t>
            </w:r>
            <w:proofErr w:type="gramStart"/>
            <w:r>
              <w:t>x,y</w:t>
            </w:r>
            <w:proofErr w:type="gramEnd"/>
            <w:r>
              <w:t>) ⇒ E55(y)</w:t>
            </w:r>
          </w:p>
        </w:tc>
      </w:tr>
      <w:tr w:rsidR="00BF18CF" w14:paraId="5E85E664" w14:textId="77777777" w:rsidTr="00BF18CF">
        <w:tc>
          <w:tcPr>
            <w:tcW w:w="1882" w:type="dxa"/>
          </w:tcPr>
          <w:p w14:paraId="2078952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8" w:type="dxa"/>
          </w:tcPr>
          <w:p w14:paraId="4CFE9ACF" w14:textId="77777777" w:rsidR="00BF18CF" w:rsidRDefault="00BF18CF">
            <w:pPr>
              <w:pBdr>
                <w:top w:val="nil"/>
                <w:left w:val="nil"/>
                <w:bottom w:val="nil"/>
                <w:right w:val="nil"/>
                <w:between w:val="nil"/>
              </w:pBdr>
              <w:spacing w:before="36" w:after="36"/>
              <w:rPr>
                <w:color w:val="000000"/>
              </w:rPr>
            </w:pPr>
          </w:p>
        </w:tc>
      </w:tr>
      <w:tr w:rsidR="00BF18CF" w14:paraId="294D6A96" w14:textId="77777777" w:rsidTr="00BF18CF">
        <w:tc>
          <w:tcPr>
            <w:tcW w:w="1882" w:type="dxa"/>
          </w:tcPr>
          <w:p w14:paraId="51E47972" w14:textId="52964A9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8" w:type="dxa"/>
          </w:tcPr>
          <w:p w14:paraId="4513F290" w14:textId="77777777" w:rsidR="00BF18CF" w:rsidRDefault="00BF18CF">
            <w:pPr>
              <w:pBdr>
                <w:top w:val="nil"/>
                <w:left w:val="nil"/>
                <w:bottom w:val="nil"/>
                <w:right w:val="nil"/>
                <w:between w:val="nil"/>
              </w:pBdr>
              <w:spacing w:before="36" w:after="36"/>
              <w:rPr>
                <w:color w:val="000000"/>
              </w:rPr>
            </w:pPr>
          </w:p>
        </w:tc>
      </w:tr>
      <w:tr w:rsidR="00BF18CF" w14:paraId="39087E3E" w14:textId="77777777" w:rsidTr="00BF18CF">
        <w:tc>
          <w:tcPr>
            <w:tcW w:w="1882" w:type="dxa"/>
          </w:tcPr>
          <w:p w14:paraId="19FEC20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8" w:type="dxa"/>
          </w:tcPr>
          <w:p w14:paraId="5D664F99" w14:textId="77777777" w:rsidR="00BF18CF" w:rsidRDefault="00BF18CF">
            <w:pPr>
              <w:pBdr>
                <w:top w:val="nil"/>
                <w:left w:val="nil"/>
                <w:bottom w:val="nil"/>
                <w:right w:val="nil"/>
                <w:between w:val="nil"/>
              </w:pBdr>
              <w:spacing w:before="36" w:after="36"/>
              <w:rPr>
                <w:color w:val="000000"/>
              </w:rPr>
            </w:pPr>
          </w:p>
        </w:tc>
      </w:tr>
    </w:tbl>
    <w:p w14:paraId="15DFEC50" w14:textId="77777777" w:rsidR="00BF18CF" w:rsidRDefault="00E51347">
      <w:pPr>
        <w:pStyle w:val="Heading3"/>
      </w:pPr>
      <w:bookmarkStart w:id="437" w:name="bookmark=id.30tazoa" w:colFirst="0" w:colLast="0"/>
      <w:bookmarkStart w:id="438" w:name="_Toc144360962"/>
      <w:bookmarkEnd w:id="437"/>
      <w:r>
        <w:t>P104 est soumis à (s’applique à)</w:t>
      </w:r>
      <w:bookmarkEnd w:id="438"/>
    </w:p>
    <w:tbl>
      <w:tblPr>
        <w:tblStyle w:val="affff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0F0C9CB1" w14:textId="77777777" w:rsidTr="00BF18CF">
        <w:tc>
          <w:tcPr>
            <w:tcW w:w="2097" w:type="dxa"/>
          </w:tcPr>
          <w:p w14:paraId="4A79801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3233FA0D" w14:textId="77777777" w:rsidR="00BF18CF" w:rsidRDefault="00E51347">
            <w:r>
              <w:rPr>
                <w:rFonts w:ascii="Consolas" w:eastAsia="Consolas" w:hAnsi="Consolas" w:cs="Consolas"/>
                <w:sz w:val="22"/>
                <w:szCs w:val="22"/>
                <w:shd w:val="clear" w:color="auto" w:fill="EAEEF3"/>
              </w:rPr>
              <w:t>E72_Objet_juridique</w:t>
            </w:r>
          </w:p>
        </w:tc>
      </w:tr>
      <w:tr w:rsidR="00BF18CF" w14:paraId="1B88FF59" w14:textId="77777777" w:rsidTr="00BF18CF">
        <w:tc>
          <w:tcPr>
            <w:tcW w:w="2097" w:type="dxa"/>
          </w:tcPr>
          <w:p w14:paraId="71E3EF3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505D04AB" w14:textId="77777777" w:rsidR="00BF18CF" w:rsidRDefault="00E51347">
            <w:r>
              <w:rPr>
                <w:rFonts w:ascii="Consolas" w:eastAsia="Consolas" w:hAnsi="Consolas" w:cs="Consolas"/>
                <w:sz w:val="22"/>
                <w:szCs w:val="22"/>
                <w:shd w:val="clear" w:color="auto" w:fill="EAEEF3"/>
              </w:rPr>
              <w:t>E30_Droit</w:t>
            </w:r>
          </w:p>
        </w:tc>
      </w:tr>
      <w:tr w:rsidR="00BF18CF" w14:paraId="00ACC087" w14:textId="77777777" w:rsidTr="00BF18CF">
        <w:tc>
          <w:tcPr>
            <w:tcW w:w="2097" w:type="dxa"/>
          </w:tcPr>
          <w:p w14:paraId="71B8AA0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545FF7A8" w14:textId="77777777" w:rsidR="00BF18CF" w:rsidRDefault="00BF18CF">
            <w:pPr>
              <w:pBdr>
                <w:top w:val="nil"/>
                <w:left w:val="nil"/>
                <w:bottom w:val="nil"/>
                <w:right w:val="nil"/>
                <w:between w:val="nil"/>
              </w:pBdr>
              <w:spacing w:before="36" w:after="36"/>
              <w:rPr>
                <w:color w:val="000000"/>
              </w:rPr>
            </w:pPr>
          </w:p>
        </w:tc>
      </w:tr>
      <w:tr w:rsidR="00BF18CF" w14:paraId="5472A4EB" w14:textId="77777777" w:rsidTr="00BF18CF">
        <w:tc>
          <w:tcPr>
            <w:tcW w:w="2097" w:type="dxa"/>
          </w:tcPr>
          <w:p w14:paraId="7E629C0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2807F5EF" w14:textId="77777777" w:rsidR="00BF18CF" w:rsidRDefault="00BF18CF">
            <w:pPr>
              <w:pBdr>
                <w:top w:val="nil"/>
                <w:left w:val="nil"/>
                <w:bottom w:val="nil"/>
                <w:right w:val="nil"/>
                <w:between w:val="nil"/>
              </w:pBdr>
              <w:spacing w:before="36" w:after="36"/>
              <w:rPr>
                <w:color w:val="000000"/>
              </w:rPr>
            </w:pPr>
          </w:p>
        </w:tc>
      </w:tr>
      <w:tr w:rsidR="00BF18CF" w14:paraId="5ED133AC" w14:textId="77777777" w:rsidTr="00BF18CF">
        <w:tc>
          <w:tcPr>
            <w:tcW w:w="2097" w:type="dxa"/>
          </w:tcPr>
          <w:p w14:paraId="4D2DB61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6DAE9D30" w14:textId="77777777" w:rsidR="00BF18CF" w:rsidRDefault="00E51347">
            <w:proofErr w:type="gramStart"/>
            <w:r>
              <w:t>plusieurs</w:t>
            </w:r>
            <w:proofErr w:type="gramEnd"/>
            <w:r>
              <w:t xml:space="preserve"> à plusieurs (0,n:0,n)</w:t>
            </w:r>
          </w:p>
        </w:tc>
      </w:tr>
      <w:tr w:rsidR="00BF18CF" w14:paraId="5C678DAD" w14:textId="77777777" w:rsidTr="00BF18CF">
        <w:tc>
          <w:tcPr>
            <w:tcW w:w="2097" w:type="dxa"/>
          </w:tcPr>
          <w:p w14:paraId="1AB8236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2533F38D" w14:textId="77777777" w:rsidR="00BF18CF" w:rsidRDefault="00E51347">
            <w:r>
              <w:t xml:space="preserve">Cette propriété relie une instance de </w:t>
            </w:r>
            <w:r>
              <w:rPr>
                <w:rFonts w:ascii="Consolas" w:eastAsia="Consolas" w:hAnsi="Consolas" w:cs="Consolas"/>
                <w:sz w:val="22"/>
                <w:szCs w:val="22"/>
                <w:shd w:val="clear" w:color="auto" w:fill="EAEEF3"/>
              </w:rPr>
              <w:t>E72_Objet_juridique</w:t>
            </w:r>
            <w:r>
              <w:t xml:space="preserve"> aux instances de </w:t>
            </w:r>
            <w:r>
              <w:rPr>
                <w:rFonts w:ascii="Consolas" w:eastAsia="Consolas" w:hAnsi="Consolas" w:cs="Consolas"/>
                <w:sz w:val="22"/>
                <w:szCs w:val="22"/>
                <w:shd w:val="clear" w:color="auto" w:fill="EAEEF3"/>
              </w:rPr>
              <w:t>E30_Droit</w:t>
            </w:r>
            <w:r>
              <w:t xml:space="preserve"> auxquelles elle est soumise.</w:t>
            </w:r>
          </w:p>
          <w:p w14:paraId="551331BA" w14:textId="77777777" w:rsidR="00BF18CF" w:rsidRDefault="00E51347">
            <w:r>
              <w:t xml:space="preserve">L’instance de </w:t>
            </w:r>
            <w:r>
              <w:rPr>
                <w:rFonts w:ascii="Consolas" w:eastAsia="Consolas" w:hAnsi="Consolas" w:cs="Consolas"/>
                <w:sz w:val="22"/>
                <w:szCs w:val="22"/>
                <w:shd w:val="clear" w:color="auto" w:fill="EAEEF3"/>
              </w:rPr>
              <w:t>E30_Droit</w:t>
            </w:r>
            <w:r>
              <w:t xml:space="preserve"> est détenue par une instance de </w:t>
            </w:r>
            <w:r>
              <w:rPr>
                <w:rFonts w:ascii="Consolas" w:eastAsia="Consolas" w:hAnsi="Consolas" w:cs="Consolas"/>
                <w:sz w:val="22"/>
                <w:szCs w:val="22"/>
                <w:shd w:val="clear" w:color="auto" w:fill="EAEEF3"/>
              </w:rPr>
              <w:t>E39_Actant</w:t>
            </w:r>
            <w:r>
              <w:t xml:space="preserve"> tel que décrit par la propriété </w:t>
            </w:r>
            <w:r>
              <w:rPr>
                <w:rFonts w:ascii="Consolas" w:eastAsia="Consolas" w:hAnsi="Consolas" w:cs="Consolas"/>
                <w:sz w:val="22"/>
                <w:szCs w:val="22"/>
                <w:shd w:val="clear" w:color="auto" w:fill="EAEEF3"/>
              </w:rPr>
              <w:t>P75_possède (est_possédé_par)</w:t>
            </w:r>
            <w:r>
              <w:t>.</w:t>
            </w:r>
          </w:p>
        </w:tc>
      </w:tr>
      <w:tr w:rsidR="00BF18CF" w14:paraId="79AA4751" w14:textId="77777777" w:rsidTr="00BF18CF">
        <w:tc>
          <w:tcPr>
            <w:tcW w:w="2097" w:type="dxa"/>
          </w:tcPr>
          <w:p w14:paraId="0BB30F4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3" w:type="dxa"/>
          </w:tcPr>
          <w:p w14:paraId="6F5DB9B5" w14:textId="77777777" w:rsidR="00BF18CF" w:rsidRDefault="00E51347">
            <w:pPr>
              <w:numPr>
                <w:ilvl w:val="0"/>
                <w:numId w:val="19"/>
              </w:numPr>
            </w:pPr>
            <w:r>
              <w:t>Le fond de catalogue des Beatles (</w:t>
            </w:r>
            <w:r>
              <w:rPr>
                <w:rFonts w:ascii="Consolas" w:eastAsia="Consolas" w:hAnsi="Consolas" w:cs="Consolas"/>
                <w:sz w:val="22"/>
                <w:szCs w:val="22"/>
                <w:shd w:val="clear" w:color="auto" w:fill="EAEEF3"/>
              </w:rPr>
              <w:t>E72_Objet_juridique</w:t>
            </w:r>
            <w:r>
              <w:t>) est soumis à (</w:t>
            </w:r>
            <w:r>
              <w:rPr>
                <w:rFonts w:ascii="Consolas" w:eastAsia="Consolas" w:hAnsi="Consolas" w:cs="Consolas"/>
                <w:sz w:val="22"/>
                <w:szCs w:val="22"/>
                <w:shd w:val="clear" w:color="auto" w:fill="EAEEF3"/>
              </w:rPr>
              <w:t>P104_est_soumis_à</w:t>
            </w:r>
            <w:r>
              <w:t>) des droits de reproduction sur le fond de catalogue des Beatles (</w:t>
            </w:r>
            <w:r>
              <w:rPr>
                <w:rFonts w:ascii="Consolas" w:eastAsia="Consolas" w:hAnsi="Consolas" w:cs="Consolas"/>
                <w:sz w:val="22"/>
                <w:szCs w:val="22"/>
                <w:shd w:val="clear" w:color="auto" w:fill="EAEEF3"/>
              </w:rPr>
              <w:t>E30_Droit</w:t>
            </w:r>
            <w:r>
              <w:t>) (Raga, 2016)</w:t>
            </w:r>
          </w:p>
        </w:tc>
      </w:tr>
      <w:tr w:rsidR="00BF18CF" w14:paraId="48EBDAA7" w14:textId="77777777" w:rsidTr="00BF18CF">
        <w:tc>
          <w:tcPr>
            <w:tcW w:w="2097" w:type="dxa"/>
          </w:tcPr>
          <w:p w14:paraId="147EE44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6308BA15" w14:textId="77777777" w:rsidR="00BF18CF" w:rsidRDefault="00E51347">
            <w:r>
              <w:t>P104(</w:t>
            </w:r>
            <w:proofErr w:type="gramStart"/>
            <w:r>
              <w:t>x,y</w:t>
            </w:r>
            <w:proofErr w:type="gramEnd"/>
            <w:r>
              <w:t>) ⇒E72(x)</w:t>
            </w:r>
          </w:p>
          <w:p w14:paraId="60D7913E" w14:textId="77777777" w:rsidR="00BF18CF" w:rsidRDefault="00E51347">
            <w:r>
              <w:t>P104(</w:t>
            </w:r>
            <w:proofErr w:type="gramStart"/>
            <w:r>
              <w:t>x,y</w:t>
            </w:r>
            <w:proofErr w:type="gramEnd"/>
            <w:r>
              <w:t>) ⇒E30(y)</w:t>
            </w:r>
          </w:p>
        </w:tc>
      </w:tr>
      <w:tr w:rsidR="00BF18CF" w14:paraId="02F6D390" w14:textId="77777777" w:rsidTr="00BF18CF">
        <w:tc>
          <w:tcPr>
            <w:tcW w:w="2097" w:type="dxa"/>
          </w:tcPr>
          <w:p w14:paraId="1B301E6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200BE256" w14:textId="77777777" w:rsidR="00BF18CF" w:rsidRDefault="00BF18CF">
            <w:pPr>
              <w:pBdr>
                <w:top w:val="nil"/>
                <w:left w:val="nil"/>
                <w:bottom w:val="nil"/>
                <w:right w:val="nil"/>
                <w:between w:val="nil"/>
              </w:pBdr>
              <w:spacing w:before="36" w:after="36"/>
              <w:rPr>
                <w:color w:val="000000"/>
              </w:rPr>
            </w:pPr>
          </w:p>
        </w:tc>
      </w:tr>
      <w:tr w:rsidR="00BF18CF" w14:paraId="6454347B" w14:textId="77777777" w:rsidTr="00BF18CF">
        <w:tc>
          <w:tcPr>
            <w:tcW w:w="2097" w:type="dxa"/>
          </w:tcPr>
          <w:p w14:paraId="521EF861" w14:textId="192B301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092B7C82" w14:textId="77777777" w:rsidR="00BF18CF" w:rsidRDefault="00E51347">
            <w:r>
              <w:t>Tel que suggéré par Termium Plus, la traduction la plus adéquate du terme « back catalogue » est « fond de catalogue ».</w:t>
            </w:r>
          </w:p>
        </w:tc>
      </w:tr>
      <w:tr w:rsidR="00BF18CF" w14:paraId="5A4D0049" w14:textId="77777777" w:rsidTr="00BF18CF">
        <w:tc>
          <w:tcPr>
            <w:tcW w:w="2097" w:type="dxa"/>
          </w:tcPr>
          <w:p w14:paraId="0D6E47C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5AC53347" w14:textId="77777777" w:rsidR="00BF18CF" w:rsidRDefault="00E51347">
            <w:r>
              <w:t xml:space="preserve">Termium. « </w:t>
            </w:r>
            <w:proofErr w:type="gramStart"/>
            <w:r>
              <w:t>back</w:t>
            </w:r>
            <w:proofErr w:type="gramEnd"/>
            <w:r>
              <w:t xml:space="preserve"> catalogue ». Dans </w:t>
            </w:r>
            <w:r>
              <w:rPr>
                <w:i/>
              </w:rPr>
              <w:t>Termium Plus</w:t>
            </w:r>
            <w:r>
              <w:t>. Ottawa, CA-ON: Gouvernement du Canada, 8 octobre 2009.</w:t>
            </w:r>
            <w:hyperlink r:id="rId418" w:anchor="resultrecs">
              <w:r>
                <w:rPr>
                  <w:color w:val="4F81BD"/>
                </w:rPr>
                <w:t xml:space="preserve"> https://www.btb.termiumplus.gc.ca/tpv2alpha/alpha-</w:t>
              </w:r>
              <w:r>
                <w:rPr>
                  <w:color w:val="4F81BD"/>
                </w:rPr>
                <w:lastRenderedPageBreak/>
                <w:t>fra.html?lang=fra&amp;i=1&amp;srchtxt=back+catalogue&amp;index=alt&amp;codom2nd_wet=1#resultrecs</w:t>
              </w:r>
            </w:hyperlink>
            <w:r>
              <w:t>.</w:t>
            </w:r>
          </w:p>
        </w:tc>
      </w:tr>
    </w:tbl>
    <w:p w14:paraId="5710D406" w14:textId="77777777" w:rsidR="00BF18CF" w:rsidRDefault="00E51347">
      <w:pPr>
        <w:pStyle w:val="Heading3"/>
      </w:pPr>
      <w:bookmarkStart w:id="439" w:name="bookmark=id.1fyl9w3" w:colFirst="0" w:colLast="0"/>
      <w:bookmarkStart w:id="440" w:name="_Toc144360963"/>
      <w:bookmarkEnd w:id="439"/>
      <w:r>
        <w:lastRenderedPageBreak/>
        <w:t>P105 droit détenu par (détient le droit sur)</w:t>
      </w:r>
      <w:bookmarkEnd w:id="440"/>
    </w:p>
    <w:tbl>
      <w:tblPr>
        <w:tblStyle w:val="affff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6AE1798D" w14:textId="77777777" w:rsidTr="00BF18CF">
        <w:tc>
          <w:tcPr>
            <w:tcW w:w="2097" w:type="dxa"/>
          </w:tcPr>
          <w:p w14:paraId="3BA2CC6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6F88B700" w14:textId="77777777" w:rsidR="00BF18CF" w:rsidRDefault="00E51347">
            <w:r>
              <w:rPr>
                <w:rFonts w:ascii="Consolas" w:eastAsia="Consolas" w:hAnsi="Consolas" w:cs="Consolas"/>
                <w:sz w:val="22"/>
                <w:szCs w:val="22"/>
                <w:shd w:val="clear" w:color="auto" w:fill="EAEEF3"/>
              </w:rPr>
              <w:t>E72_Objet_juridique</w:t>
            </w:r>
          </w:p>
        </w:tc>
      </w:tr>
      <w:tr w:rsidR="00BF18CF" w14:paraId="366BA8EB" w14:textId="77777777" w:rsidTr="00BF18CF">
        <w:tc>
          <w:tcPr>
            <w:tcW w:w="2097" w:type="dxa"/>
          </w:tcPr>
          <w:p w14:paraId="67010E7B"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2E95730E" w14:textId="77777777" w:rsidR="00BF18CF" w:rsidRDefault="00E51347">
            <w:r>
              <w:rPr>
                <w:rFonts w:ascii="Consolas" w:eastAsia="Consolas" w:hAnsi="Consolas" w:cs="Consolas"/>
                <w:sz w:val="22"/>
                <w:szCs w:val="22"/>
                <w:shd w:val="clear" w:color="auto" w:fill="EAEEF3"/>
              </w:rPr>
              <w:t>E39_Actant</w:t>
            </w:r>
          </w:p>
        </w:tc>
      </w:tr>
      <w:tr w:rsidR="00BF18CF" w14:paraId="7D34E733" w14:textId="77777777" w:rsidTr="00BF18CF">
        <w:tc>
          <w:tcPr>
            <w:tcW w:w="2097" w:type="dxa"/>
          </w:tcPr>
          <w:p w14:paraId="5B3C082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29109BC7" w14:textId="77777777" w:rsidR="00BF18CF" w:rsidRDefault="00BF18CF">
            <w:pPr>
              <w:pBdr>
                <w:top w:val="nil"/>
                <w:left w:val="nil"/>
                <w:bottom w:val="nil"/>
                <w:right w:val="nil"/>
                <w:between w:val="nil"/>
              </w:pBdr>
              <w:spacing w:before="36" w:after="36"/>
              <w:rPr>
                <w:color w:val="000000"/>
              </w:rPr>
            </w:pPr>
          </w:p>
        </w:tc>
      </w:tr>
      <w:tr w:rsidR="00BF18CF" w14:paraId="54235D67" w14:textId="77777777" w:rsidTr="00BF18CF">
        <w:tc>
          <w:tcPr>
            <w:tcW w:w="2097" w:type="dxa"/>
          </w:tcPr>
          <w:p w14:paraId="71967B6C"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3509CDA7" w14:textId="77777777" w:rsidR="00BF18CF" w:rsidRDefault="00BF18CF">
            <w:pPr>
              <w:pBdr>
                <w:top w:val="nil"/>
                <w:left w:val="nil"/>
                <w:bottom w:val="nil"/>
                <w:right w:val="nil"/>
                <w:between w:val="nil"/>
              </w:pBdr>
              <w:spacing w:before="36" w:after="36"/>
              <w:rPr>
                <w:color w:val="000000"/>
              </w:rPr>
            </w:pPr>
          </w:p>
        </w:tc>
      </w:tr>
      <w:tr w:rsidR="00BF18CF" w14:paraId="2271D5C3" w14:textId="77777777" w:rsidTr="00BF18CF">
        <w:tc>
          <w:tcPr>
            <w:tcW w:w="2097" w:type="dxa"/>
          </w:tcPr>
          <w:p w14:paraId="6BC31B2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36F65042" w14:textId="77777777" w:rsidR="00BF18CF" w:rsidRDefault="00E51347">
            <w:proofErr w:type="gramStart"/>
            <w:r>
              <w:t>plusieurs</w:t>
            </w:r>
            <w:proofErr w:type="gramEnd"/>
            <w:r>
              <w:t xml:space="preserve"> à plusieurs (0,n:0,n)</w:t>
            </w:r>
          </w:p>
        </w:tc>
      </w:tr>
      <w:tr w:rsidR="00BF18CF" w14:paraId="4342AF93" w14:textId="77777777" w:rsidTr="00BF18CF">
        <w:tc>
          <w:tcPr>
            <w:tcW w:w="2097" w:type="dxa"/>
          </w:tcPr>
          <w:p w14:paraId="04224EE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33394B62" w14:textId="77777777" w:rsidR="00BF18CF" w:rsidRDefault="00E51347">
            <w:r>
              <w:t xml:space="preserve">Cette propriété identifie une instance de </w:t>
            </w:r>
            <w:r>
              <w:rPr>
                <w:rFonts w:ascii="Consolas" w:eastAsia="Consolas" w:hAnsi="Consolas" w:cs="Consolas"/>
                <w:sz w:val="22"/>
                <w:szCs w:val="22"/>
                <w:shd w:val="clear" w:color="auto" w:fill="EAEEF3"/>
              </w:rPr>
              <w:t>E39_Actant</w:t>
            </w:r>
            <w:r>
              <w:t xml:space="preserve"> détenant des droits (</w:t>
            </w:r>
            <w:r>
              <w:rPr>
                <w:rFonts w:ascii="Consolas" w:eastAsia="Consolas" w:hAnsi="Consolas" w:cs="Consolas"/>
                <w:sz w:val="22"/>
                <w:szCs w:val="22"/>
                <w:shd w:val="clear" w:color="auto" w:fill="EAEEF3"/>
              </w:rPr>
              <w:t>E30_Droit</w:t>
            </w:r>
            <w:r>
              <w:t xml:space="preserve">) sur une instance de </w:t>
            </w:r>
            <w:r>
              <w:rPr>
                <w:rFonts w:ascii="Consolas" w:eastAsia="Consolas" w:hAnsi="Consolas" w:cs="Consolas"/>
                <w:sz w:val="22"/>
                <w:szCs w:val="22"/>
                <w:shd w:val="clear" w:color="auto" w:fill="EAEEF3"/>
              </w:rPr>
              <w:t>E72_Objet_juridique</w:t>
            </w:r>
            <w:r>
              <w:t>.</w:t>
            </w:r>
          </w:p>
          <w:p w14:paraId="380DBE2D" w14:textId="77777777" w:rsidR="00BF18CF" w:rsidRDefault="00E51347">
            <w:r>
              <w:rPr>
                <w:rFonts w:ascii="Consolas" w:eastAsia="Consolas" w:hAnsi="Consolas" w:cs="Consolas"/>
                <w:sz w:val="22"/>
                <w:szCs w:val="22"/>
                <w:shd w:val="clear" w:color="auto" w:fill="EAEEF3"/>
              </w:rPr>
              <w:t>P105_droit_détenu_par (détient_le_droit_sur)</w:t>
            </w:r>
            <w:r>
              <w:t xml:space="preserve"> est une super-propriété de </w:t>
            </w:r>
            <w:r>
              <w:rPr>
                <w:rFonts w:ascii="Consolas" w:eastAsia="Consolas" w:hAnsi="Consolas" w:cs="Consolas"/>
                <w:sz w:val="22"/>
                <w:szCs w:val="22"/>
                <w:shd w:val="clear" w:color="auto" w:fill="EAEEF3"/>
              </w:rPr>
              <w:t>P52_a_pour_propriétaire_actuel (est_l’actant_propriétaire_actuel_de)</w:t>
            </w:r>
            <w:r>
              <w:t>, car la propriété est un droit détenu sur l’objet possédé.</w:t>
            </w:r>
          </w:p>
          <w:p w14:paraId="02459A72"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E72_Objet_juridique</w:t>
            </w:r>
            <w:r>
              <w:t xml:space="preserve">, </w:t>
            </w:r>
            <w:r>
              <w:rPr>
                <w:rFonts w:ascii="Consolas" w:eastAsia="Consolas" w:hAnsi="Consolas" w:cs="Consolas"/>
                <w:sz w:val="22"/>
                <w:szCs w:val="22"/>
                <w:shd w:val="clear" w:color="auto" w:fill="EAEEF3"/>
              </w:rPr>
              <w:t>P104_est_soumis_à (s’applique_à)</w:t>
            </w:r>
            <w:r>
              <w:t>,</w:t>
            </w:r>
            <w:r>
              <w:rPr>
                <w:rFonts w:ascii="Consolas" w:eastAsia="Consolas" w:hAnsi="Consolas" w:cs="Consolas"/>
                <w:sz w:val="22"/>
                <w:szCs w:val="22"/>
                <w:shd w:val="clear" w:color="auto" w:fill="EAEEF3"/>
              </w:rPr>
              <w:t xml:space="preserve"> E30_Droit</w:t>
            </w:r>
            <w:r>
              <w:t xml:space="preserve">, </w:t>
            </w:r>
            <w:r>
              <w:rPr>
                <w:rFonts w:ascii="Consolas" w:eastAsia="Consolas" w:hAnsi="Consolas" w:cs="Consolas"/>
                <w:sz w:val="22"/>
                <w:szCs w:val="22"/>
                <w:shd w:val="clear" w:color="auto" w:fill="EAEEF3"/>
              </w:rPr>
              <w:t>P75_possède (est_possédé_par)</w:t>
            </w:r>
            <w:r>
              <w:t xml:space="preserve">, </w:t>
            </w:r>
            <w:r>
              <w:rPr>
                <w:rFonts w:ascii="Consolas" w:eastAsia="Consolas" w:hAnsi="Consolas" w:cs="Consolas"/>
                <w:sz w:val="22"/>
                <w:szCs w:val="22"/>
                <w:shd w:val="clear" w:color="auto" w:fill="EAEEF3"/>
              </w:rPr>
              <w:t>E39_Actant</w:t>
            </w:r>
            <w:r>
              <w:t>.</w:t>
            </w:r>
          </w:p>
        </w:tc>
      </w:tr>
      <w:tr w:rsidR="00BF18CF" w14:paraId="13D82BCF" w14:textId="77777777" w:rsidTr="00BF18CF">
        <w:tc>
          <w:tcPr>
            <w:tcW w:w="2097" w:type="dxa"/>
          </w:tcPr>
          <w:p w14:paraId="70568207"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3" w:type="dxa"/>
          </w:tcPr>
          <w:p w14:paraId="41C73F67" w14:textId="77777777" w:rsidR="00BF18CF" w:rsidRDefault="00E51347">
            <w:pPr>
              <w:numPr>
                <w:ilvl w:val="0"/>
                <w:numId w:val="19"/>
              </w:numPr>
            </w:pPr>
            <w:r>
              <w:t>Les droits du fond de catalogue des Beatles (</w:t>
            </w:r>
            <w:r>
              <w:rPr>
                <w:rFonts w:ascii="Consolas" w:eastAsia="Consolas" w:hAnsi="Consolas" w:cs="Consolas"/>
                <w:sz w:val="22"/>
                <w:szCs w:val="22"/>
                <w:shd w:val="clear" w:color="auto" w:fill="EAEEF3"/>
              </w:rPr>
              <w:t>E73_Objet_informationnel</w:t>
            </w:r>
            <w:r>
              <w:t>) sont détenus par (</w:t>
            </w:r>
            <w:r>
              <w:rPr>
                <w:rFonts w:ascii="Consolas" w:eastAsia="Consolas" w:hAnsi="Consolas" w:cs="Consolas"/>
                <w:sz w:val="22"/>
                <w:szCs w:val="22"/>
                <w:shd w:val="clear" w:color="auto" w:fill="EAEEF3"/>
              </w:rPr>
              <w:t>P105_droit_détenu_</w:t>
            </w:r>
            <w:proofErr w:type="gramStart"/>
            <w:r>
              <w:rPr>
                <w:rFonts w:ascii="Consolas" w:eastAsia="Consolas" w:hAnsi="Consolas" w:cs="Consolas"/>
                <w:sz w:val="22"/>
                <w:szCs w:val="22"/>
                <w:shd w:val="clear" w:color="auto" w:fill="EAEEF3"/>
              </w:rPr>
              <w:t>par</w:t>
            </w:r>
            <w:r>
              <w:t>)  Michael</w:t>
            </w:r>
            <w:proofErr w:type="gramEnd"/>
            <w:r>
              <w:t xml:space="preserve"> Jackson (</w:t>
            </w:r>
            <w:r>
              <w:rPr>
                <w:rFonts w:ascii="Consolas" w:eastAsia="Consolas" w:hAnsi="Consolas" w:cs="Consolas"/>
                <w:sz w:val="22"/>
                <w:szCs w:val="22"/>
                <w:shd w:val="clear" w:color="auto" w:fill="EAEEF3"/>
              </w:rPr>
              <w:t>E21_Personne</w:t>
            </w:r>
            <w:r>
              <w:t>) (Raga, 2016)</w:t>
            </w:r>
          </w:p>
        </w:tc>
      </w:tr>
      <w:tr w:rsidR="00BF18CF" w14:paraId="1A95C7AD" w14:textId="77777777" w:rsidTr="00BF18CF">
        <w:tc>
          <w:tcPr>
            <w:tcW w:w="2097" w:type="dxa"/>
          </w:tcPr>
          <w:p w14:paraId="6715726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5F45E9AE" w14:textId="77777777" w:rsidR="00E25267" w:rsidRDefault="00E51347">
            <w:r>
              <w:t>P105(</w:t>
            </w:r>
            <w:proofErr w:type="gramStart"/>
            <w:r>
              <w:t>x,y</w:t>
            </w:r>
            <w:proofErr w:type="gramEnd"/>
            <w:r>
              <w:t>) ⇒ E72(x)</w:t>
            </w:r>
          </w:p>
          <w:p w14:paraId="030FF9F7" w14:textId="77777777" w:rsidR="00E25267" w:rsidRDefault="00E51347">
            <w:r>
              <w:t>P105(</w:t>
            </w:r>
            <w:proofErr w:type="gramStart"/>
            <w:r>
              <w:t>x,y</w:t>
            </w:r>
            <w:proofErr w:type="gramEnd"/>
            <w:r>
              <w:t>) ⇒ E39(y)</w:t>
            </w:r>
          </w:p>
          <w:p w14:paraId="3CD38B5A" w14:textId="18229DE4" w:rsidR="00BF18CF" w:rsidRDefault="00E51347">
            <w:r>
              <w:t>P105(</w:t>
            </w:r>
            <w:proofErr w:type="gramStart"/>
            <w:r>
              <w:t>x,y</w:t>
            </w:r>
            <w:proofErr w:type="gramEnd"/>
            <w:r>
              <w:t>) ⇐ (∃z) [E30(z) ˄ P104(x,z) ˄ P75i(z,y)]</w:t>
            </w:r>
          </w:p>
        </w:tc>
      </w:tr>
      <w:tr w:rsidR="00BF18CF" w14:paraId="73B279C3" w14:textId="77777777" w:rsidTr="00BF18CF">
        <w:tc>
          <w:tcPr>
            <w:tcW w:w="2097" w:type="dxa"/>
          </w:tcPr>
          <w:p w14:paraId="7F19F25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2173D4AB" w14:textId="77777777" w:rsidR="00BF18CF" w:rsidRDefault="00BF18CF">
            <w:pPr>
              <w:pBdr>
                <w:top w:val="nil"/>
                <w:left w:val="nil"/>
                <w:bottom w:val="nil"/>
                <w:right w:val="nil"/>
                <w:between w:val="nil"/>
              </w:pBdr>
              <w:spacing w:before="36" w:after="36"/>
              <w:rPr>
                <w:color w:val="000000"/>
              </w:rPr>
            </w:pPr>
          </w:p>
        </w:tc>
      </w:tr>
      <w:tr w:rsidR="00BF18CF" w14:paraId="2C2815CB" w14:textId="77777777" w:rsidTr="00BF18CF">
        <w:tc>
          <w:tcPr>
            <w:tcW w:w="2097" w:type="dxa"/>
          </w:tcPr>
          <w:p w14:paraId="20F61F49" w14:textId="2FCE75D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1D1AE74C" w14:textId="77777777" w:rsidR="00BF18CF" w:rsidRDefault="00E51347">
            <w:r>
              <w:t>Tel que suggéré par Termium Plus, la traduction la plus adéquate du terme « back catalogue » est « fond de catalogue ».</w:t>
            </w:r>
          </w:p>
        </w:tc>
      </w:tr>
      <w:tr w:rsidR="00BF18CF" w14:paraId="181EDB5C" w14:textId="77777777" w:rsidTr="00BF18CF">
        <w:tc>
          <w:tcPr>
            <w:tcW w:w="2097" w:type="dxa"/>
          </w:tcPr>
          <w:p w14:paraId="18D8D5A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51893764" w14:textId="77777777" w:rsidR="00BF18CF" w:rsidRDefault="00E51347">
            <w:r>
              <w:t xml:space="preserve">Termium. « </w:t>
            </w:r>
            <w:proofErr w:type="gramStart"/>
            <w:r>
              <w:t>back</w:t>
            </w:r>
            <w:proofErr w:type="gramEnd"/>
            <w:r>
              <w:t xml:space="preserve"> catalogue ». Dans </w:t>
            </w:r>
            <w:r>
              <w:rPr>
                <w:i/>
              </w:rPr>
              <w:t>Termium Plus</w:t>
            </w:r>
            <w:r>
              <w:t>. Ottawa, CA-ON: Gouvernement du Canada, 8 octobre 2009.</w:t>
            </w:r>
            <w:hyperlink r:id="rId419" w:anchor="resultrecs">
              <w:r>
                <w:rPr>
                  <w:color w:val="4F81BD"/>
                </w:rPr>
                <w:t xml:space="preserve"> https://www.btb.termiumplus.gc.ca/tpv2alpha/alpha-fra.html?lang=fra&amp;i=1&amp;srchtxt=back+catalogue&amp;index=alt&amp;codom2nd_wet=1#resultrecs</w:t>
              </w:r>
            </w:hyperlink>
            <w:r>
              <w:t>.</w:t>
            </w:r>
          </w:p>
        </w:tc>
      </w:tr>
    </w:tbl>
    <w:p w14:paraId="72D21EB4" w14:textId="77777777" w:rsidR="00BF18CF" w:rsidRDefault="00E51347">
      <w:pPr>
        <w:pStyle w:val="Heading3"/>
      </w:pPr>
      <w:bookmarkStart w:id="441" w:name="bookmark=id.3zy8sjw" w:colFirst="0" w:colLast="0"/>
      <w:bookmarkStart w:id="442" w:name="_Toc144360964"/>
      <w:bookmarkEnd w:id="441"/>
      <w:r>
        <w:t>P106 est composé de (fait partie de)</w:t>
      </w:r>
      <w:bookmarkEnd w:id="442"/>
    </w:p>
    <w:tbl>
      <w:tblPr>
        <w:tblStyle w:val="afffff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46"/>
        <w:gridCol w:w="8744"/>
      </w:tblGrid>
      <w:tr w:rsidR="00BF18CF" w14:paraId="7FFAA9DB" w14:textId="77777777" w:rsidTr="00BF18CF">
        <w:tc>
          <w:tcPr>
            <w:tcW w:w="1946" w:type="dxa"/>
          </w:tcPr>
          <w:p w14:paraId="01F0C7C5"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44" w:type="dxa"/>
          </w:tcPr>
          <w:p w14:paraId="0D2C8518" w14:textId="77777777" w:rsidR="00BF18CF" w:rsidRDefault="00E51347">
            <w:r>
              <w:rPr>
                <w:rFonts w:ascii="Consolas" w:eastAsia="Consolas" w:hAnsi="Consolas" w:cs="Consolas"/>
                <w:sz w:val="22"/>
                <w:szCs w:val="22"/>
                <w:shd w:val="clear" w:color="auto" w:fill="EAEEF3"/>
              </w:rPr>
              <w:t>E90_Objet_symbolique</w:t>
            </w:r>
          </w:p>
        </w:tc>
      </w:tr>
      <w:tr w:rsidR="00BF18CF" w14:paraId="67252AD4" w14:textId="77777777" w:rsidTr="00BF18CF">
        <w:tc>
          <w:tcPr>
            <w:tcW w:w="1946" w:type="dxa"/>
          </w:tcPr>
          <w:p w14:paraId="4E5339F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44" w:type="dxa"/>
          </w:tcPr>
          <w:p w14:paraId="69E3E716" w14:textId="77777777" w:rsidR="00BF18CF" w:rsidRDefault="00E51347">
            <w:r>
              <w:rPr>
                <w:rFonts w:ascii="Consolas" w:eastAsia="Consolas" w:hAnsi="Consolas" w:cs="Consolas"/>
                <w:sz w:val="22"/>
                <w:szCs w:val="22"/>
                <w:shd w:val="clear" w:color="auto" w:fill="EAEEF3"/>
              </w:rPr>
              <w:t>E90_Objet_symbolique</w:t>
            </w:r>
          </w:p>
        </w:tc>
      </w:tr>
      <w:tr w:rsidR="00BF18CF" w14:paraId="230CAE1F" w14:textId="77777777" w:rsidTr="00BF18CF">
        <w:tc>
          <w:tcPr>
            <w:tcW w:w="1946" w:type="dxa"/>
          </w:tcPr>
          <w:p w14:paraId="17E9002D" w14:textId="77777777" w:rsidR="00BF18CF" w:rsidRDefault="00E51347">
            <w:pPr>
              <w:pBdr>
                <w:top w:val="nil"/>
                <w:left w:val="nil"/>
                <w:bottom w:val="nil"/>
                <w:right w:val="nil"/>
                <w:between w:val="nil"/>
              </w:pBdr>
              <w:spacing w:before="36" w:after="36"/>
              <w:rPr>
                <w:color w:val="000000"/>
              </w:rPr>
            </w:pPr>
            <w:r>
              <w:rPr>
                <w:b/>
                <w:color w:val="000000"/>
              </w:rPr>
              <w:lastRenderedPageBreak/>
              <w:t>Sous-propriété de</w:t>
            </w:r>
          </w:p>
        </w:tc>
        <w:tc>
          <w:tcPr>
            <w:tcW w:w="8744" w:type="dxa"/>
          </w:tcPr>
          <w:p w14:paraId="60B88D2C" w14:textId="77777777" w:rsidR="00BF18CF" w:rsidRDefault="00BF18CF">
            <w:pPr>
              <w:pBdr>
                <w:top w:val="nil"/>
                <w:left w:val="nil"/>
                <w:bottom w:val="nil"/>
                <w:right w:val="nil"/>
                <w:between w:val="nil"/>
              </w:pBdr>
              <w:spacing w:before="36" w:after="36"/>
              <w:rPr>
                <w:color w:val="000000"/>
              </w:rPr>
            </w:pPr>
          </w:p>
        </w:tc>
      </w:tr>
      <w:tr w:rsidR="00BF18CF" w14:paraId="05EBAE33" w14:textId="77777777" w:rsidTr="00BF18CF">
        <w:tc>
          <w:tcPr>
            <w:tcW w:w="1946" w:type="dxa"/>
          </w:tcPr>
          <w:p w14:paraId="3880ACA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44" w:type="dxa"/>
          </w:tcPr>
          <w:p w14:paraId="3B6BA6BB" w14:textId="77777777" w:rsidR="00BF18CF" w:rsidRDefault="00E51347">
            <w:r>
              <w:rPr>
                <w:rFonts w:ascii="Consolas" w:eastAsia="Consolas" w:hAnsi="Consolas" w:cs="Consolas"/>
                <w:sz w:val="22"/>
                <w:szCs w:val="22"/>
                <w:shd w:val="clear" w:color="auto" w:fill="EAEEF3"/>
              </w:rPr>
              <w:t>E73_Objet_informationnel</w:t>
            </w:r>
            <w:r>
              <w:t xml:space="preserve">. </w:t>
            </w:r>
            <w:r>
              <w:rPr>
                <w:rFonts w:ascii="Consolas" w:eastAsia="Consolas" w:hAnsi="Consolas" w:cs="Consolas"/>
                <w:sz w:val="22"/>
                <w:szCs w:val="22"/>
                <w:shd w:val="clear" w:color="auto" w:fill="EAEEF3"/>
              </w:rPr>
              <w:t>P165_inclut (est_inclus_dans)</w:t>
            </w:r>
          </w:p>
          <w:p w14:paraId="2BE832A5" w14:textId="77777777" w:rsidR="00BF18CF" w:rsidRDefault="00E51347">
            <w:r>
              <w:t xml:space="preserve">: </w:t>
            </w:r>
            <w:r>
              <w:rPr>
                <w:rFonts w:ascii="Consolas" w:eastAsia="Consolas" w:hAnsi="Consolas" w:cs="Consolas"/>
                <w:sz w:val="22"/>
                <w:szCs w:val="22"/>
                <w:shd w:val="clear" w:color="auto" w:fill="EAEEF3"/>
              </w:rPr>
              <w:t>E90_Objet_symbolique</w:t>
            </w:r>
          </w:p>
        </w:tc>
      </w:tr>
      <w:tr w:rsidR="00BF18CF" w14:paraId="3DE30655" w14:textId="77777777" w:rsidTr="00BF18CF">
        <w:tc>
          <w:tcPr>
            <w:tcW w:w="1946" w:type="dxa"/>
          </w:tcPr>
          <w:p w14:paraId="3D868E3A"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44" w:type="dxa"/>
          </w:tcPr>
          <w:p w14:paraId="6E0B2DA5" w14:textId="77777777" w:rsidR="00BF18CF" w:rsidRDefault="00E51347">
            <w:proofErr w:type="gramStart"/>
            <w:r>
              <w:t>plusieurs</w:t>
            </w:r>
            <w:proofErr w:type="gramEnd"/>
            <w:r>
              <w:t xml:space="preserve"> à plusieurs (0,n:0,n)</w:t>
            </w:r>
          </w:p>
        </w:tc>
      </w:tr>
      <w:tr w:rsidR="00BF18CF" w14:paraId="051AF6E3" w14:textId="77777777" w:rsidTr="00BF18CF">
        <w:tc>
          <w:tcPr>
            <w:tcW w:w="1946" w:type="dxa"/>
          </w:tcPr>
          <w:p w14:paraId="4976BA3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44" w:type="dxa"/>
          </w:tcPr>
          <w:p w14:paraId="6AD32A9E" w14:textId="77777777" w:rsidR="00BF18CF" w:rsidRDefault="00E51347">
            <w:r>
              <w:t xml:space="preserve">Cette propriété associe une instance de </w:t>
            </w:r>
            <w:r>
              <w:rPr>
                <w:rFonts w:ascii="Consolas" w:eastAsia="Consolas" w:hAnsi="Consolas" w:cs="Consolas"/>
                <w:sz w:val="22"/>
                <w:szCs w:val="22"/>
                <w:shd w:val="clear" w:color="auto" w:fill="EAEEF3"/>
              </w:rPr>
              <w:t>E90_Objet_symbolique</w:t>
            </w:r>
            <w:r>
              <w:t xml:space="preserve"> avec l'une de ses parties qui est elle-même une instance de </w:t>
            </w:r>
            <w:r>
              <w:rPr>
                <w:rFonts w:ascii="Consolas" w:eastAsia="Consolas" w:hAnsi="Consolas" w:cs="Consolas"/>
                <w:sz w:val="22"/>
                <w:szCs w:val="22"/>
                <w:shd w:val="clear" w:color="auto" w:fill="EAEEF3"/>
              </w:rPr>
              <w:t>E90_Objet_symbolique</w:t>
            </w:r>
            <w:r>
              <w:t xml:space="preserve"> par exemple de fragments d'un texte ou de coupures d'une image.</w:t>
            </w:r>
          </w:p>
          <w:p w14:paraId="4216F0A6" w14:textId="77777777" w:rsidR="00BF18CF" w:rsidRDefault="00E51347">
            <w:r>
              <w:t>Cette propriété est transitive et non réflexive.</w:t>
            </w:r>
          </w:p>
        </w:tc>
      </w:tr>
      <w:tr w:rsidR="00BF18CF" w14:paraId="55743E81" w14:textId="77777777" w:rsidTr="00BF18CF">
        <w:tc>
          <w:tcPr>
            <w:tcW w:w="1946" w:type="dxa"/>
          </w:tcPr>
          <w:p w14:paraId="767E092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44" w:type="dxa"/>
          </w:tcPr>
          <w:p w14:paraId="5C310656" w14:textId="77777777" w:rsidR="00BF18CF" w:rsidRDefault="00E51347">
            <w:pPr>
              <w:numPr>
                <w:ilvl w:val="0"/>
                <w:numId w:val="19"/>
              </w:numPr>
            </w:pPr>
            <w:r>
              <w:t>Cette note d'application (</w:t>
            </w:r>
            <w:r>
              <w:rPr>
                <w:rFonts w:ascii="Consolas" w:eastAsia="Consolas" w:hAnsi="Consolas" w:cs="Consolas"/>
                <w:sz w:val="22"/>
                <w:szCs w:val="22"/>
                <w:shd w:val="clear" w:color="auto" w:fill="EAEEF3"/>
              </w:rPr>
              <w:t>E33_Objet_linguistique</w:t>
            </w:r>
            <w:r>
              <w:t>) est composée de (</w:t>
            </w:r>
            <w:r>
              <w:rPr>
                <w:rFonts w:ascii="Consolas" w:eastAsia="Consolas" w:hAnsi="Consolas" w:cs="Consolas"/>
                <w:sz w:val="22"/>
                <w:szCs w:val="22"/>
                <w:shd w:val="clear" w:color="auto" w:fill="EAEEF3"/>
              </w:rPr>
              <w:t>P106_est_composé_de</w:t>
            </w:r>
            <w:r>
              <w:t>) « fragments de textes » (</w:t>
            </w:r>
            <w:r>
              <w:rPr>
                <w:rFonts w:ascii="Consolas" w:eastAsia="Consolas" w:hAnsi="Consolas" w:cs="Consolas"/>
                <w:sz w:val="22"/>
                <w:szCs w:val="22"/>
                <w:shd w:val="clear" w:color="auto" w:fill="EAEEF3"/>
              </w:rPr>
              <w:t>E33_Objet_linguistique</w:t>
            </w:r>
            <w:r>
              <w:t>)</w:t>
            </w:r>
          </w:p>
          <w:p w14:paraId="5FCCF8DE" w14:textId="77777777" w:rsidR="00BF18CF" w:rsidRDefault="00E51347">
            <w:pPr>
              <w:numPr>
                <w:ilvl w:val="0"/>
                <w:numId w:val="19"/>
              </w:numPr>
            </w:pPr>
            <w:r>
              <w:t>Le terme « reconnaissable » (</w:t>
            </w:r>
            <w:r>
              <w:rPr>
                <w:rFonts w:ascii="Consolas" w:eastAsia="Consolas" w:hAnsi="Consolas" w:cs="Consolas"/>
                <w:sz w:val="22"/>
                <w:szCs w:val="22"/>
                <w:shd w:val="clear" w:color="auto" w:fill="EAEEF3"/>
              </w:rPr>
              <w:t>E90_Objet_symbolique</w:t>
            </w:r>
            <w:r>
              <w:t>) est composé de (</w:t>
            </w:r>
            <w:r>
              <w:rPr>
                <w:rFonts w:ascii="Consolas" w:eastAsia="Consolas" w:hAnsi="Consolas" w:cs="Consolas"/>
                <w:sz w:val="22"/>
                <w:szCs w:val="22"/>
                <w:shd w:val="clear" w:color="auto" w:fill="EAEEF3"/>
              </w:rPr>
              <w:t>P106_est_composé_de</w:t>
            </w:r>
            <w:r>
              <w:t>) « econnaissabl » (</w:t>
            </w:r>
            <w:r>
              <w:rPr>
                <w:rFonts w:ascii="Consolas" w:eastAsia="Consolas" w:hAnsi="Consolas" w:cs="Consolas"/>
                <w:sz w:val="22"/>
                <w:szCs w:val="22"/>
                <w:shd w:val="clear" w:color="auto" w:fill="EAEEF3"/>
              </w:rPr>
              <w:t>E90_Objet_symbolique</w:t>
            </w:r>
            <w:r>
              <w:t>)</w:t>
            </w:r>
          </w:p>
        </w:tc>
      </w:tr>
      <w:tr w:rsidR="00BF18CF" w14:paraId="4D14FAB8" w14:textId="77777777" w:rsidTr="00BF18CF">
        <w:tc>
          <w:tcPr>
            <w:tcW w:w="1946" w:type="dxa"/>
          </w:tcPr>
          <w:p w14:paraId="678EBD3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44" w:type="dxa"/>
          </w:tcPr>
          <w:p w14:paraId="69FEE051" w14:textId="77777777" w:rsidR="00BF18CF" w:rsidRDefault="00E51347">
            <w:r>
              <w:t>P106(</w:t>
            </w:r>
            <w:proofErr w:type="gramStart"/>
            <w:r>
              <w:t>x,y</w:t>
            </w:r>
            <w:proofErr w:type="gramEnd"/>
            <w:r>
              <w:t>) ⇒ E90(x)</w:t>
            </w:r>
          </w:p>
          <w:p w14:paraId="71F079BC" w14:textId="77777777" w:rsidR="00BF18CF" w:rsidRDefault="00E51347">
            <w:r>
              <w:t>P106(</w:t>
            </w:r>
            <w:proofErr w:type="gramStart"/>
            <w:r>
              <w:t>x,y</w:t>
            </w:r>
            <w:proofErr w:type="gramEnd"/>
            <w:r>
              <w:t>) ⇒ E90(y)</w:t>
            </w:r>
          </w:p>
          <w:p w14:paraId="317B1A3B" w14:textId="77777777" w:rsidR="00BF18CF" w:rsidRDefault="00E51347">
            <w:r>
              <w:t>[P106(</w:t>
            </w:r>
            <w:proofErr w:type="gramStart"/>
            <w:r>
              <w:t>x,y</w:t>
            </w:r>
            <w:proofErr w:type="gramEnd"/>
            <w:r>
              <w:t>) ∧ P106(y,z)] ⇒ P106(x,z)</w:t>
            </w:r>
          </w:p>
          <w:p w14:paraId="5AAA29DD" w14:textId="77777777" w:rsidR="00BF18CF" w:rsidRDefault="00E51347">
            <w:r>
              <w:t>¬P106(</w:t>
            </w:r>
            <w:proofErr w:type="gramStart"/>
            <w:r>
              <w:t>x,x</w:t>
            </w:r>
            <w:proofErr w:type="gramEnd"/>
            <w:r>
              <w:t>)</w:t>
            </w:r>
          </w:p>
        </w:tc>
      </w:tr>
      <w:tr w:rsidR="00BF18CF" w14:paraId="7C764D51" w14:textId="77777777" w:rsidTr="00BF18CF">
        <w:tc>
          <w:tcPr>
            <w:tcW w:w="1946" w:type="dxa"/>
          </w:tcPr>
          <w:p w14:paraId="38E3533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44" w:type="dxa"/>
          </w:tcPr>
          <w:p w14:paraId="03FC2DD1" w14:textId="77777777" w:rsidR="00BF18CF" w:rsidRDefault="00BF18CF">
            <w:pPr>
              <w:pBdr>
                <w:top w:val="nil"/>
                <w:left w:val="nil"/>
                <w:bottom w:val="nil"/>
                <w:right w:val="nil"/>
                <w:between w:val="nil"/>
              </w:pBdr>
              <w:spacing w:before="36" w:after="36"/>
              <w:rPr>
                <w:color w:val="000000"/>
              </w:rPr>
            </w:pPr>
          </w:p>
        </w:tc>
      </w:tr>
      <w:tr w:rsidR="00BF18CF" w14:paraId="7130DD1F" w14:textId="77777777" w:rsidTr="00BF18CF">
        <w:tc>
          <w:tcPr>
            <w:tcW w:w="1946" w:type="dxa"/>
          </w:tcPr>
          <w:p w14:paraId="61810493" w14:textId="027637E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44" w:type="dxa"/>
          </w:tcPr>
          <w:p w14:paraId="2D9967D3" w14:textId="77777777" w:rsidR="00BF18CF" w:rsidRDefault="00BF18CF">
            <w:pPr>
              <w:pBdr>
                <w:top w:val="nil"/>
                <w:left w:val="nil"/>
                <w:bottom w:val="nil"/>
                <w:right w:val="nil"/>
                <w:between w:val="nil"/>
              </w:pBdr>
              <w:spacing w:before="36" w:after="36"/>
              <w:rPr>
                <w:color w:val="000000"/>
              </w:rPr>
            </w:pPr>
          </w:p>
        </w:tc>
      </w:tr>
      <w:tr w:rsidR="00BF18CF" w14:paraId="0E625BC6" w14:textId="77777777" w:rsidTr="00BF18CF">
        <w:tc>
          <w:tcPr>
            <w:tcW w:w="1946" w:type="dxa"/>
          </w:tcPr>
          <w:p w14:paraId="7A9FD56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44" w:type="dxa"/>
          </w:tcPr>
          <w:p w14:paraId="60CC082C" w14:textId="77777777" w:rsidR="00BF18CF" w:rsidRDefault="00BF18CF">
            <w:pPr>
              <w:pBdr>
                <w:top w:val="nil"/>
                <w:left w:val="nil"/>
                <w:bottom w:val="nil"/>
                <w:right w:val="nil"/>
                <w:between w:val="nil"/>
              </w:pBdr>
              <w:spacing w:before="36" w:after="36"/>
              <w:rPr>
                <w:color w:val="000000"/>
              </w:rPr>
            </w:pPr>
          </w:p>
        </w:tc>
      </w:tr>
    </w:tbl>
    <w:p w14:paraId="6E6781F6" w14:textId="77777777" w:rsidR="00BF18CF" w:rsidRDefault="00E51347">
      <w:pPr>
        <w:pStyle w:val="Heading3"/>
      </w:pPr>
      <w:bookmarkStart w:id="443" w:name="bookmark=id.2f3j2rp" w:colFirst="0" w:colLast="0"/>
      <w:bookmarkStart w:id="444" w:name="_Toc144360965"/>
      <w:bookmarkEnd w:id="443"/>
      <w:r>
        <w:t>P107 a pour membre actuel ou antérieur (est le membre actuel ou antérieur de)</w:t>
      </w:r>
      <w:bookmarkEnd w:id="444"/>
    </w:p>
    <w:tbl>
      <w:tblPr>
        <w:tblStyle w:val="afffff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08FC486E" w14:textId="77777777" w:rsidTr="00BF18CF">
        <w:tc>
          <w:tcPr>
            <w:tcW w:w="2097" w:type="dxa"/>
          </w:tcPr>
          <w:p w14:paraId="13F19BB4"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36EEFA12" w14:textId="77777777" w:rsidR="00BF18CF" w:rsidRDefault="00E51347">
            <w:r>
              <w:rPr>
                <w:rFonts w:ascii="Consolas" w:eastAsia="Consolas" w:hAnsi="Consolas" w:cs="Consolas"/>
                <w:sz w:val="22"/>
                <w:szCs w:val="22"/>
                <w:shd w:val="clear" w:color="auto" w:fill="EAEEF3"/>
              </w:rPr>
              <w:t>E74_Groupe</w:t>
            </w:r>
          </w:p>
        </w:tc>
      </w:tr>
      <w:tr w:rsidR="00BF18CF" w14:paraId="3C721016" w14:textId="77777777" w:rsidTr="00BF18CF">
        <w:tc>
          <w:tcPr>
            <w:tcW w:w="2097" w:type="dxa"/>
          </w:tcPr>
          <w:p w14:paraId="517346C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4E701212" w14:textId="77777777" w:rsidR="00BF18CF" w:rsidRDefault="00E51347">
            <w:r>
              <w:rPr>
                <w:rFonts w:ascii="Consolas" w:eastAsia="Consolas" w:hAnsi="Consolas" w:cs="Consolas"/>
                <w:sz w:val="22"/>
                <w:szCs w:val="22"/>
                <w:shd w:val="clear" w:color="auto" w:fill="EAEEF3"/>
              </w:rPr>
              <w:t>E39_Actant</w:t>
            </w:r>
          </w:p>
        </w:tc>
      </w:tr>
      <w:tr w:rsidR="00BF18CF" w14:paraId="0ECC228A" w14:textId="77777777" w:rsidTr="00BF18CF">
        <w:tc>
          <w:tcPr>
            <w:tcW w:w="2097" w:type="dxa"/>
          </w:tcPr>
          <w:p w14:paraId="7EDFE3C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6E31FD37" w14:textId="77777777" w:rsidR="00BF18CF" w:rsidRDefault="00BF18CF">
            <w:pPr>
              <w:pBdr>
                <w:top w:val="nil"/>
                <w:left w:val="nil"/>
                <w:bottom w:val="nil"/>
                <w:right w:val="nil"/>
                <w:between w:val="nil"/>
              </w:pBdr>
              <w:spacing w:before="36" w:after="36"/>
              <w:rPr>
                <w:color w:val="000000"/>
              </w:rPr>
            </w:pPr>
          </w:p>
        </w:tc>
      </w:tr>
      <w:tr w:rsidR="00BF18CF" w14:paraId="404EB4D6" w14:textId="77777777" w:rsidTr="00BF18CF">
        <w:tc>
          <w:tcPr>
            <w:tcW w:w="2097" w:type="dxa"/>
          </w:tcPr>
          <w:p w14:paraId="4855CFD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1F133E6E" w14:textId="77777777" w:rsidR="00BF18CF" w:rsidRDefault="00BF18CF">
            <w:pPr>
              <w:pBdr>
                <w:top w:val="nil"/>
                <w:left w:val="nil"/>
                <w:bottom w:val="nil"/>
                <w:right w:val="nil"/>
                <w:between w:val="nil"/>
              </w:pBdr>
              <w:spacing w:before="36" w:after="36"/>
              <w:rPr>
                <w:color w:val="000000"/>
              </w:rPr>
            </w:pPr>
          </w:p>
        </w:tc>
      </w:tr>
      <w:tr w:rsidR="00BF18CF" w14:paraId="4663C52A" w14:textId="77777777" w:rsidTr="00BF18CF">
        <w:tc>
          <w:tcPr>
            <w:tcW w:w="2097" w:type="dxa"/>
          </w:tcPr>
          <w:p w14:paraId="267C5C65"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0BF162B1" w14:textId="77777777" w:rsidR="00BF18CF" w:rsidRDefault="00E51347">
            <w:proofErr w:type="gramStart"/>
            <w:r>
              <w:t>plusieurs</w:t>
            </w:r>
            <w:proofErr w:type="gramEnd"/>
            <w:r>
              <w:t xml:space="preserve"> à plusieurs (0,n:0,n)</w:t>
            </w:r>
          </w:p>
        </w:tc>
      </w:tr>
      <w:tr w:rsidR="00BF18CF" w14:paraId="07D1A8F8" w14:textId="77777777" w:rsidTr="00BF18CF">
        <w:tc>
          <w:tcPr>
            <w:tcW w:w="2097" w:type="dxa"/>
          </w:tcPr>
          <w:p w14:paraId="7C8FC42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32661671" w14:textId="77777777" w:rsidR="00BF18CF" w:rsidRDefault="00E51347">
            <w:r>
              <w:t xml:space="preserve">Cette propriété associe une instance de </w:t>
            </w:r>
            <w:r>
              <w:rPr>
                <w:rFonts w:ascii="Consolas" w:eastAsia="Consolas" w:hAnsi="Consolas" w:cs="Consolas"/>
                <w:sz w:val="22"/>
                <w:szCs w:val="22"/>
                <w:shd w:val="clear" w:color="auto" w:fill="EAEEF3"/>
              </w:rPr>
              <w:t>E74_Groupe</w:t>
            </w:r>
            <w:r>
              <w:t xml:space="preserve"> à une instance de </w:t>
            </w:r>
            <w:r>
              <w:rPr>
                <w:rFonts w:ascii="Consolas" w:eastAsia="Consolas" w:hAnsi="Consolas" w:cs="Consolas"/>
                <w:sz w:val="22"/>
                <w:szCs w:val="22"/>
                <w:shd w:val="clear" w:color="auto" w:fill="EAEEF3"/>
              </w:rPr>
              <w:t>E39_Actant</w:t>
            </w:r>
            <w:r>
              <w:t xml:space="preserve"> qui en est membre ou qui l'a été.</w:t>
            </w:r>
          </w:p>
          <w:p w14:paraId="1177BF1A" w14:textId="77777777" w:rsidR="00BF18CF" w:rsidRDefault="00E51347">
            <w:r>
              <w:t xml:space="preserve">Les instances de </w:t>
            </w:r>
            <w:r>
              <w:rPr>
                <w:rFonts w:ascii="Consolas" w:eastAsia="Consolas" w:hAnsi="Consolas" w:cs="Consolas"/>
                <w:sz w:val="22"/>
                <w:szCs w:val="22"/>
                <w:shd w:val="clear" w:color="auto" w:fill="EAEEF3"/>
              </w:rPr>
              <w:t>E74_Groupe</w:t>
            </w:r>
            <w:r>
              <w:t xml:space="preserve"> et de </w:t>
            </w:r>
            <w:r>
              <w:rPr>
                <w:rFonts w:ascii="Consolas" w:eastAsia="Consolas" w:hAnsi="Consolas" w:cs="Consolas"/>
                <w:sz w:val="22"/>
                <w:szCs w:val="22"/>
                <w:shd w:val="clear" w:color="auto" w:fill="EAEEF3"/>
              </w:rPr>
              <w:t>E21_Personne</w:t>
            </w:r>
            <w:r>
              <w:t xml:space="preserve"> </w:t>
            </w:r>
            <w:proofErr w:type="gramStart"/>
            <w:r>
              <w:t>peuvent</w:t>
            </w:r>
            <w:proofErr w:type="gramEnd"/>
            <w:r>
              <w:t xml:space="preserve"> toutes être membres d'instances de </w:t>
            </w:r>
            <w:r>
              <w:rPr>
                <w:rFonts w:ascii="Consolas" w:eastAsia="Consolas" w:hAnsi="Consolas" w:cs="Consolas"/>
                <w:sz w:val="22"/>
                <w:szCs w:val="22"/>
                <w:shd w:val="clear" w:color="auto" w:fill="EAEEF3"/>
              </w:rPr>
              <w:t>E74_Groupe</w:t>
            </w:r>
            <w:r>
              <w:t xml:space="preserve">. Une instance de </w:t>
            </w:r>
            <w:r>
              <w:rPr>
                <w:rFonts w:ascii="Consolas" w:eastAsia="Consolas" w:hAnsi="Consolas" w:cs="Consolas"/>
                <w:sz w:val="22"/>
                <w:szCs w:val="22"/>
                <w:shd w:val="clear" w:color="auto" w:fill="EAEEF3"/>
              </w:rPr>
              <w:t>E74_Groupe</w:t>
            </w:r>
            <w:r>
              <w:t xml:space="preserve"> peut initialement être fondée sans aucun membre.</w:t>
            </w:r>
          </w:p>
          <w:p w14:paraId="39EAF7F3" w14:textId="77777777" w:rsidR="00BF18CF" w:rsidRDefault="00E51347">
            <w:r>
              <w:rPr>
                <w:rFonts w:ascii="Consolas" w:eastAsia="Consolas" w:hAnsi="Consolas" w:cs="Consolas"/>
                <w:sz w:val="22"/>
                <w:szCs w:val="22"/>
                <w:shd w:val="clear" w:color="auto" w:fill="EAEEF3"/>
              </w:rPr>
              <w:lastRenderedPageBreak/>
              <w:t>P107_a_pour_membre_actuel_ou_antérieur (est_le_membre_actuel_ou_antérieur_de)</w:t>
            </w:r>
            <w:r>
              <w:t xml:space="preserve"> est un raccourci du chemin sémantique suivant : </w:t>
            </w:r>
            <w:r>
              <w:rPr>
                <w:rFonts w:ascii="Consolas" w:eastAsia="Consolas" w:hAnsi="Consolas" w:cs="Consolas"/>
                <w:sz w:val="22"/>
                <w:szCs w:val="22"/>
                <w:shd w:val="clear" w:color="auto" w:fill="EAEEF3"/>
              </w:rPr>
              <w:t>E74_Groupe</w:t>
            </w:r>
            <w:r>
              <w:t xml:space="preserve">, </w:t>
            </w:r>
            <w:r>
              <w:rPr>
                <w:rFonts w:ascii="Consolas" w:eastAsia="Consolas" w:hAnsi="Consolas" w:cs="Consolas"/>
                <w:sz w:val="22"/>
                <w:szCs w:val="22"/>
                <w:shd w:val="clear" w:color="auto" w:fill="EAEEF3"/>
              </w:rPr>
              <w:t>P144i_a_accueilli_le_membre_par</w:t>
            </w:r>
            <w:r>
              <w:t xml:space="preserve">, </w:t>
            </w:r>
            <w:r>
              <w:rPr>
                <w:rFonts w:ascii="Consolas" w:eastAsia="Consolas" w:hAnsi="Consolas" w:cs="Consolas"/>
                <w:sz w:val="22"/>
                <w:szCs w:val="22"/>
                <w:shd w:val="clear" w:color="auto" w:fill="EAEEF3"/>
              </w:rPr>
              <w:t>E85_Adhésion</w:t>
            </w:r>
            <w:r>
              <w:t xml:space="preserve">, </w:t>
            </w:r>
            <w:r>
              <w:rPr>
                <w:rFonts w:ascii="Consolas" w:eastAsia="Consolas" w:hAnsi="Consolas" w:cs="Consolas"/>
                <w:sz w:val="22"/>
                <w:szCs w:val="22"/>
                <w:shd w:val="clear" w:color="auto" w:fill="EAEEF3"/>
              </w:rPr>
              <w:t>P143_a_fait_adhérer (a_adhéré_par)</w:t>
            </w:r>
            <w:r>
              <w:t xml:space="preserve">, </w:t>
            </w:r>
            <w:r>
              <w:rPr>
                <w:rFonts w:ascii="Consolas" w:eastAsia="Consolas" w:hAnsi="Consolas" w:cs="Consolas"/>
                <w:sz w:val="22"/>
                <w:szCs w:val="22"/>
                <w:shd w:val="clear" w:color="auto" w:fill="EAEEF3"/>
              </w:rPr>
              <w:t>E39_Actant</w:t>
            </w:r>
            <w:r>
              <w:t>.</w:t>
            </w:r>
          </w:p>
          <w:p w14:paraId="06370544" w14:textId="77777777" w:rsidR="00BF18CF" w:rsidRDefault="00E51347">
            <w:r>
              <w:t xml:space="preserve">La propriété </w:t>
            </w:r>
            <w:r>
              <w:rPr>
                <w:rFonts w:ascii="Consolas" w:eastAsia="Consolas" w:hAnsi="Consolas" w:cs="Consolas"/>
                <w:sz w:val="22"/>
                <w:szCs w:val="22"/>
                <w:shd w:val="clear" w:color="auto" w:fill="EAEEF3"/>
              </w:rPr>
              <w:t>P107.1_sorte_de_membre</w:t>
            </w:r>
            <w:r>
              <w:t xml:space="preserve"> peut être utilisée pour spécifier le type d'appartenance au groupe ou le rôle du membre au sein de celui-ci.</w:t>
            </w:r>
          </w:p>
        </w:tc>
      </w:tr>
      <w:tr w:rsidR="00BF18CF" w14:paraId="55B5DED7" w14:textId="77777777" w:rsidTr="00BF18CF">
        <w:tc>
          <w:tcPr>
            <w:tcW w:w="2097" w:type="dxa"/>
          </w:tcPr>
          <w:p w14:paraId="114BEC77"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93" w:type="dxa"/>
          </w:tcPr>
          <w:p w14:paraId="28BB57D1" w14:textId="77777777" w:rsidR="00BF18CF" w:rsidRDefault="00E51347">
            <w:pPr>
              <w:numPr>
                <w:ilvl w:val="0"/>
                <w:numId w:val="19"/>
              </w:numPr>
            </w:pPr>
            <w:r>
              <w:t>László Moholy-Nagy (</w:t>
            </w:r>
            <w:r>
              <w:rPr>
                <w:rFonts w:ascii="Consolas" w:eastAsia="Consolas" w:hAnsi="Consolas" w:cs="Consolas"/>
                <w:sz w:val="22"/>
                <w:szCs w:val="22"/>
                <w:shd w:val="clear" w:color="auto" w:fill="EAEEF3"/>
              </w:rPr>
              <w:t>E21_Personne</w:t>
            </w:r>
            <w:r>
              <w:t>) est le membre actuel ou antérieur du (</w:t>
            </w:r>
            <w:r>
              <w:rPr>
                <w:rFonts w:ascii="Consolas" w:eastAsia="Consolas" w:hAnsi="Consolas" w:cs="Consolas"/>
                <w:sz w:val="22"/>
                <w:szCs w:val="22"/>
                <w:shd w:val="clear" w:color="auto" w:fill="EAEEF3"/>
              </w:rPr>
              <w:t>P107i_est_le_membre_actuel_ou_antérieur_de</w:t>
            </w:r>
            <w:r>
              <w:t>) Bauhaus (</w:t>
            </w:r>
            <w:r>
              <w:rPr>
                <w:rFonts w:ascii="Consolas" w:eastAsia="Consolas" w:hAnsi="Consolas" w:cs="Consolas"/>
                <w:sz w:val="22"/>
                <w:szCs w:val="22"/>
                <w:shd w:val="clear" w:color="auto" w:fill="EAEEF3"/>
              </w:rPr>
              <w:t>E74_Groupe</w:t>
            </w:r>
            <w:r>
              <w:t>) (Moholy-Nagy, 2005)</w:t>
            </w:r>
          </w:p>
          <w:p w14:paraId="3624A473" w14:textId="77777777" w:rsidR="00BF18CF" w:rsidRDefault="00E51347">
            <w:pPr>
              <w:numPr>
                <w:ilvl w:val="0"/>
                <w:numId w:val="19"/>
              </w:numPr>
            </w:pPr>
            <w:r>
              <w:t>Le National Museum of Science and Industry (</w:t>
            </w:r>
            <w:r>
              <w:rPr>
                <w:rFonts w:ascii="Consolas" w:eastAsia="Consolas" w:hAnsi="Consolas" w:cs="Consolas"/>
                <w:sz w:val="22"/>
                <w:szCs w:val="22"/>
                <w:shd w:val="clear" w:color="auto" w:fill="EAEEF3"/>
              </w:rPr>
              <w:t>E74_Groupe</w:t>
            </w:r>
            <w:r>
              <w:t>) a pour membre actuel ou antérieur (</w:t>
            </w:r>
            <w:r>
              <w:rPr>
                <w:rFonts w:ascii="Consolas" w:eastAsia="Consolas" w:hAnsi="Consolas" w:cs="Consolas"/>
                <w:sz w:val="22"/>
                <w:szCs w:val="22"/>
                <w:shd w:val="clear" w:color="auto" w:fill="EAEEF3"/>
              </w:rPr>
              <w:t>P107_a_pour_membre_actuel_ou_antérieur</w:t>
            </w:r>
            <w:r>
              <w:t>) le National Railway Museum (</w:t>
            </w:r>
            <w:r>
              <w:rPr>
                <w:rFonts w:ascii="Consolas" w:eastAsia="Consolas" w:hAnsi="Consolas" w:cs="Consolas"/>
                <w:sz w:val="22"/>
                <w:szCs w:val="22"/>
                <w:shd w:val="clear" w:color="auto" w:fill="EAEEF3"/>
              </w:rPr>
              <w:t>E74_Groupe</w:t>
            </w:r>
            <w:r>
              <w:t>) (Rolt, 1971)</w:t>
            </w:r>
          </w:p>
          <w:p w14:paraId="36C59A1B" w14:textId="77777777" w:rsidR="00BF18CF" w:rsidRDefault="00E51347">
            <w:pPr>
              <w:numPr>
                <w:ilvl w:val="0"/>
                <w:numId w:val="19"/>
              </w:numPr>
            </w:pPr>
            <w:r>
              <w:t>Le couple marié formé de la reine Elizabeth II et du prince Phillip (</w:t>
            </w:r>
            <w:r>
              <w:rPr>
                <w:rFonts w:ascii="Consolas" w:eastAsia="Consolas" w:hAnsi="Consolas" w:cs="Consolas"/>
                <w:sz w:val="22"/>
                <w:szCs w:val="22"/>
                <w:shd w:val="clear" w:color="auto" w:fill="EAEEF3"/>
              </w:rPr>
              <w:t>E74_Groupe</w:t>
            </w:r>
            <w:r>
              <w:t>) a pour membre actuel ou antérieur (</w:t>
            </w:r>
            <w:r>
              <w:rPr>
                <w:rFonts w:ascii="Consolas" w:eastAsia="Consolas" w:hAnsi="Consolas" w:cs="Consolas"/>
                <w:sz w:val="22"/>
                <w:szCs w:val="22"/>
                <w:shd w:val="clear" w:color="auto" w:fill="EAEEF3"/>
              </w:rPr>
              <w:t>P107_a_pour_membre_actuel_ou_antérieur</w:t>
            </w:r>
            <w:r>
              <w:t>) le prince Phillip (</w:t>
            </w:r>
            <w:r>
              <w:rPr>
                <w:rFonts w:ascii="Consolas" w:eastAsia="Consolas" w:hAnsi="Consolas" w:cs="Consolas"/>
                <w:sz w:val="22"/>
                <w:szCs w:val="22"/>
                <w:shd w:val="clear" w:color="auto" w:fill="EAEEF3"/>
              </w:rPr>
              <w:t>E21_Personne</w:t>
            </w:r>
            <w:r>
              <w:t>) en tant que (</w:t>
            </w:r>
            <w:r>
              <w:rPr>
                <w:rFonts w:ascii="Consolas" w:eastAsia="Consolas" w:hAnsi="Consolas" w:cs="Consolas"/>
                <w:sz w:val="22"/>
                <w:szCs w:val="22"/>
                <w:shd w:val="clear" w:color="auto" w:fill="EAEEF3"/>
              </w:rPr>
              <w:t>P107.1_sorte_de_membre</w:t>
            </w:r>
            <w:r>
              <w:t>) mari (</w:t>
            </w:r>
            <w:r>
              <w:rPr>
                <w:rFonts w:ascii="Consolas" w:eastAsia="Consolas" w:hAnsi="Consolas" w:cs="Consolas"/>
                <w:sz w:val="22"/>
                <w:szCs w:val="22"/>
                <w:shd w:val="clear" w:color="auto" w:fill="EAEEF3"/>
              </w:rPr>
              <w:t>E55_Type</w:t>
            </w:r>
            <w:r>
              <w:t>) (Brandreth, 2004)</w:t>
            </w:r>
          </w:p>
        </w:tc>
      </w:tr>
      <w:tr w:rsidR="00BF18CF" w14:paraId="42D20649" w14:textId="77777777" w:rsidTr="00BF18CF">
        <w:tc>
          <w:tcPr>
            <w:tcW w:w="2097" w:type="dxa"/>
          </w:tcPr>
          <w:p w14:paraId="3D32C090"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5F1221B6" w14:textId="77777777" w:rsidR="00BF18CF" w:rsidRDefault="00E51347">
            <w:r>
              <w:t>P107(</w:t>
            </w:r>
            <w:proofErr w:type="gramStart"/>
            <w:r>
              <w:t>x,y</w:t>
            </w:r>
            <w:proofErr w:type="gramEnd"/>
            <w:r>
              <w:t>) ⇒ E74(x)</w:t>
            </w:r>
          </w:p>
          <w:p w14:paraId="55A4354F" w14:textId="77777777" w:rsidR="00BF18CF" w:rsidRDefault="00E51347">
            <w:r>
              <w:t>P107(</w:t>
            </w:r>
            <w:proofErr w:type="gramStart"/>
            <w:r>
              <w:t>x,y</w:t>
            </w:r>
            <w:proofErr w:type="gramEnd"/>
            <w:r>
              <w:t>) ⇒ E39(y)</w:t>
            </w:r>
          </w:p>
          <w:p w14:paraId="179DEAA6" w14:textId="77777777" w:rsidR="00BF18CF" w:rsidRDefault="00E51347">
            <w:r>
              <w:t>P107(</w:t>
            </w:r>
            <w:proofErr w:type="gramStart"/>
            <w:r>
              <w:t>x,y</w:t>
            </w:r>
            <w:proofErr w:type="gramEnd"/>
            <w:r>
              <w:t>,z) ⇒ [P107(x,y) ∧ E55(z)]</w:t>
            </w:r>
          </w:p>
          <w:p w14:paraId="203F98B4" w14:textId="77777777" w:rsidR="00BF18CF" w:rsidRDefault="00E51347">
            <w:r>
              <w:t>P107(</w:t>
            </w:r>
            <w:proofErr w:type="gramStart"/>
            <w:r>
              <w:t>x,y</w:t>
            </w:r>
            <w:proofErr w:type="gramEnd"/>
            <w:r>
              <w:t>) ⇐ (∃z) [E85(z) ˄ P144i(x,z) ˄ P143(z,y)]</w:t>
            </w:r>
          </w:p>
        </w:tc>
      </w:tr>
      <w:tr w:rsidR="00BF18CF" w14:paraId="6901DE5E" w14:textId="77777777" w:rsidTr="00BF18CF">
        <w:tc>
          <w:tcPr>
            <w:tcW w:w="2097" w:type="dxa"/>
          </w:tcPr>
          <w:p w14:paraId="0E47F0A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78E7A069" w14:textId="77777777" w:rsidR="00BF18CF" w:rsidRDefault="00E51347">
            <w:r>
              <w:rPr>
                <w:rFonts w:ascii="Consolas" w:eastAsia="Consolas" w:hAnsi="Consolas" w:cs="Consolas"/>
                <w:sz w:val="22"/>
                <w:szCs w:val="22"/>
                <w:shd w:val="clear" w:color="auto" w:fill="EAEEF3"/>
              </w:rPr>
              <w:t>P107.1_sorte_de_membre</w:t>
            </w:r>
            <w:r>
              <w:t xml:space="preserve"> : </w:t>
            </w:r>
            <w:r>
              <w:rPr>
                <w:rFonts w:ascii="Consolas" w:eastAsia="Consolas" w:hAnsi="Consolas" w:cs="Consolas"/>
                <w:sz w:val="22"/>
                <w:szCs w:val="22"/>
                <w:shd w:val="clear" w:color="auto" w:fill="EAEEF3"/>
              </w:rPr>
              <w:t>E55_Type</w:t>
            </w:r>
          </w:p>
        </w:tc>
      </w:tr>
      <w:tr w:rsidR="00BF18CF" w14:paraId="56505A98" w14:textId="77777777" w:rsidTr="00BF18CF">
        <w:tc>
          <w:tcPr>
            <w:tcW w:w="2097" w:type="dxa"/>
          </w:tcPr>
          <w:p w14:paraId="07BCB0AA" w14:textId="33FCF7C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6CD22E8A" w14:textId="77777777" w:rsidR="00BF18CF" w:rsidRDefault="00E51347">
            <w:r>
              <w:t>En hongrois, on devrait écrire « Moholy-Nagy László » puisque le nom de famille précède le prénom, mais la forme inversée a été retenue pour suivre la norme des pays francophones soit « László Moholy-Nagy ».</w:t>
            </w:r>
          </w:p>
        </w:tc>
      </w:tr>
      <w:tr w:rsidR="00BF18CF" w:rsidRPr="00103833" w14:paraId="508A10CF" w14:textId="77777777" w:rsidTr="00BF18CF">
        <w:tc>
          <w:tcPr>
            <w:tcW w:w="2097" w:type="dxa"/>
          </w:tcPr>
          <w:p w14:paraId="63B059C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7F71EC7A" w14:textId="77777777" w:rsidR="00BF18CF" w:rsidRPr="00EE61A5" w:rsidRDefault="00E51347">
            <w:pPr>
              <w:rPr>
                <w:lang w:val="en-CA"/>
              </w:rPr>
            </w:pPr>
            <w:r w:rsidRPr="00EE61A5">
              <w:rPr>
                <w:lang w:val="en-CA"/>
              </w:rPr>
              <w:t xml:space="preserve">Wikipedia. « László Moholy-Nagy ». Dans </w:t>
            </w:r>
            <w:r w:rsidRPr="00EE61A5">
              <w:rPr>
                <w:i/>
                <w:lang w:val="en-CA"/>
              </w:rPr>
              <w:t>Wikipédia</w:t>
            </w:r>
            <w:r w:rsidRPr="00EE61A5">
              <w:rPr>
                <w:lang w:val="en-CA"/>
              </w:rPr>
              <w:t>. San Francisco, US-CA: Wikipédia, 30 mars 2022.</w:t>
            </w:r>
            <w:hyperlink r:id="rId420">
              <w:r w:rsidRPr="00EE61A5">
                <w:rPr>
                  <w:color w:val="4F81BD"/>
                  <w:lang w:val="en-CA"/>
                </w:rPr>
                <w:t xml:space="preserve"> https://fr.wikipedia.org/w/index.php?title=L%C3%A1szl%C3%B3_Moholy-Nagy&amp;oldid=192385234</w:t>
              </w:r>
            </w:hyperlink>
            <w:r w:rsidRPr="00EE61A5">
              <w:rPr>
                <w:lang w:val="en-CA"/>
              </w:rPr>
              <w:t>.</w:t>
            </w:r>
          </w:p>
        </w:tc>
      </w:tr>
    </w:tbl>
    <w:p w14:paraId="5BB3C537" w14:textId="77777777" w:rsidR="00BF18CF" w:rsidRDefault="00E51347">
      <w:pPr>
        <w:pStyle w:val="Heading3"/>
      </w:pPr>
      <w:bookmarkStart w:id="445" w:name="bookmark=id.u8tczi" w:colFirst="0" w:colLast="0"/>
      <w:bookmarkStart w:id="446" w:name="_Toc144360966"/>
      <w:bookmarkEnd w:id="445"/>
      <w:r>
        <w:t>P108 a produit (a été produit par)</w:t>
      </w:r>
      <w:bookmarkEnd w:id="446"/>
    </w:p>
    <w:tbl>
      <w:tblPr>
        <w:tblStyle w:val="affffff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2"/>
        <w:gridCol w:w="8818"/>
      </w:tblGrid>
      <w:tr w:rsidR="00BF18CF" w14:paraId="0EEA32D1" w14:textId="77777777" w:rsidTr="00BF18CF">
        <w:tc>
          <w:tcPr>
            <w:tcW w:w="1872" w:type="dxa"/>
          </w:tcPr>
          <w:p w14:paraId="1AA1BE07"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8" w:type="dxa"/>
          </w:tcPr>
          <w:p w14:paraId="4A03CD5D" w14:textId="77777777" w:rsidR="00BF18CF" w:rsidRDefault="00E51347">
            <w:r>
              <w:rPr>
                <w:rFonts w:ascii="Consolas" w:eastAsia="Consolas" w:hAnsi="Consolas" w:cs="Consolas"/>
                <w:sz w:val="22"/>
                <w:szCs w:val="22"/>
                <w:shd w:val="clear" w:color="auto" w:fill="EAEEF3"/>
              </w:rPr>
              <w:t>E12_Production</w:t>
            </w:r>
          </w:p>
        </w:tc>
      </w:tr>
      <w:tr w:rsidR="00BF18CF" w14:paraId="56C76DF1" w14:textId="77777777" w:rsidTr="00BF18CF">
        <w:tc>
          <w:tcPr>
            <w:tcW w:w="1872" w:type="dxa"/>
          </w:tcPr>
          <w:p w14:paraId="49AC411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8" w:type="dxa"/>
          </w:tcPr>
          <w:p w14:paraId="7049B591" w14:textId="77777777" w:rsidR="00BF18CF" w:rsidRDefault="00E51347">
            <w:r>
              <w:rPr>
                <w:rFonts w:ascii="Consolas" w:eastAsia="Consolas" w:hAnsi="Consolas" w:cs="Consolas"/>
                <w:sz w:val="22"/>
                <w:szCs w:val="22"/>
                <w:shd w:val="clear" w:color="auto" w:fill="EAEEF3"/>
              </w:rPr>
              <w:t>E24_Chose_matérielle_élaborée_par_l’humain</w:t>
            </w:r>
          </w:p>
        </w:tc>
      </w:tr>
      <w:tr w:rsidR="00BF18CF" w14:paraId="7317CE08" w14:textId="77777777" w:rsidTr="00BF18CF">
        <w:tc>
          <w:tcPr>
            <w:tcW w:w="1872" w:type="dxa"/>
          </w:tcPr>
          <w:p w14:paraId="3BD1908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8" w:type="dxa"/>
          </w:tcPr>
          <w:p w14:paraId="71A2DDBD" w14:textId="77777777" w:rsidR="00BF18CF" w:rsidRDefault="00E51347">
            <w:r>
              <w:rPr>
                <w:rFonts w:ascii="Consolas" w:eastAsia="Consolas" w:hAnsi="Consolas" w:cs="Consolas"/>
                <w:sz w:val="22"/>
                <w:szCs w:val="22"/>
                <w:shd w:val="clear" w:color="auto" w:fill="EAEEF3"/>
              </w:rPr>
              <w:t>E11_Modification</w:t>
            </w:r>
            <w:r>
              <w:t xml:space="preserve">. </w:t>
            </w:r>
            <w:r>
              <w:rPr>
                <w:rFonts w:ascii="Consolas" w:eastAsia="Consolas" w:hAnsi="Consolas" w:cs="Consolas"/>
                <w:sz w:val="22"/>
                <w:szCs w:val="22"/>
                <w:shd w:val="clear" w:color="auto" w:fill="EAEEF3"/>
              </w:rPr>
              <w:t>P31_a_modifié (a_été_modifié_par)</w:t>
            </w:r>
            <w:r>
              <w:t xml:space="preserve"> : </w:t>
            </w:r>
            <w:r>
              <w:rPr>
                <w:rFonts w:ascii="Consolas" w:eastAsia="Consolas" w:hAnsi="Consolas" w:cs="Consolas"/>
                <w:sz w:val="22"/>
                <w:szCs w:val="22"/>
                <w:shd w:val="clear" w:color="auto" w:fill="EAEEF3"/>
              </w:rPr>
              <w:t>E18_Chose_matérielle</w:t>
            </w:r>
          </w:p>
          <w:p w14:paraId="1021932D" w14:textId="77777777" w:rsidR="00BF18CF" w:rsidRDefault="00E51347">
            <w:r>
              <w:rPr>
                <w:rFonts w:ascii="Consolas" w:eastAsia="Consolas" w:hAnsi="Consolas" w:cs="Consolas"/>
                <w:sz w:val="22"/>
                <w:szCs w:val="22"/>
                <w:shd w:val="clear" w:color="auto" w:fill="EAEEF3"/>
              </w:rPr>
              <w:t>E63_Début_d’existence</w:t>
            </w:r>
            <w:r>
              <w:t xml:space="preserve">. </w:t>
            </w:r>
            <w:r>
              <w:rPr>
                <w:rFonts w:ascii="Consolas" w:eastAsia="Consolas" w:hAnsi="Consolas" w:cs="Consolas"/>
                <w:sz w:val="22"/>
                <w:szCs w:val="22"/>
                <w:shd w:val="clear" w:color="auto" w:fill="EAEEF3"/>
              </w:rPr>
              <w:t>P92_a_fait_exister (a_commencé_à_exister_par)</w:t>
            </w:r>
            <w:r>
              <w:t xml:space="preserve"> : </w:t>
            </w:r>
            <w:r>
              <w:rPr>
                <w:rFonts w:ascii="Consolas" w:eastAsia="Consolas" w:hAnsi="Consolas" w:cs="Consolas"/>
                <w:sz w:val="22"/>
                <w:szCs w:val="22"/>
                <w:shd w:val="clear" w:color="auto" w:fill="EAEEF3"/>
              </w:rPr>
              <w:t>E77_Entité_persistante</w:t>
            </w:r>
          </w:p>
        </w:tc>
      </w:tr>
      <w:tr w:rsidR="00BF18CF" w14:paraId="760AF256" w14:textId="77777777" w:rsidTr="00BF18CF">
        <w:tc>
          <w:tcPr>
            <w:tcW w:w="1872" w:type="dxa"/>
          </w:tcPr>
          <w:p w14:paraId="7347FAF2" w14:textId="77777777" w:rsidR="00BF18CF" w:rsidRDefault="00E51347">
            <w:pPr>
              <w:pBdr>
                <w:top w:val="nil"/>
                <w:left w:val="nil"/>
                <w:bottom w:val="nil"/>
                <w:right w:val="nil"/>
                <w:between w:val="nil"/>
              </w:pBdr>
              <w:spacing w:before="36" w:after="36"/>
              <w:rPr>
                <w:color w:val="000000"/>
              </w:rPr>
            </w:pPr>
            <w:r>
              <w:rPr>
                <w:b/>
                <w:color w:val="000000"/>
              </w:rPr>
              <w:lastRenderedPageBreak/>
              <w:t>Super-propriété de</w:t>
            </w:r>
          </w:p>
        </w:tc>
        <w:tc>
          <w:tcPr>
            <w:tcW w:w="8818" w:type="dxa"/>
          </w:tcPr>
          <w:p w14:paraId="2B730170" w14:textId="77777777" w:rsidR="00BF18CF" w:rsidRDefault="00BF18CF">
            <w:pPr>
              <w:pBdr>
                <w:top w:val="nil"/>
                <w:left w:val="nil"/>
                <w:bottom w:val="nil"/>
                <w:right w:val="nil"/>
                <w:between w:val="nil"/>
              </w:pBdr>
              <w:spacing w:before="36" w:after="36"/>
              <w:rPr>
                <w:color w:val="000000"/>
              </w:rPr>
            </w:pPr>
          </w:p>
        </w:tc>
      </w:tr>
      <w:tr w:rsidR="00BF18CF" w14:paraId="67D94D4A" w14:textId="77777777" w:rsidTr="00BF18CF">
        <w:tc>
          <w:tcPr>
            <w:tcW w:w="1872" w:type="dxa"/>
          </w:tcPr>
          <w:p w14:paraId="1CFFC67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8" w:type="dxa"/>
          </w:tcPr>
          <w:p w14:paraId="1B6E0C44" w14:textId="77777777" w:rsidR="00BF18CF" w:rsidRDefault="00E51347">
            <w:r>
              <w:t>Un à plusieurs, nécessaire, dépendant (</w:t>
            </w:r>
            <w:proofErr w:type="gramStart"/>
            <w:r>
              <w:t>1,n</w:t>
            </w:r>
            <w:proofErr w:type="gramEnd"/>
            <w:r>
              <w:t>:1,1)</w:t>
            </w:r>
          </w:p>
        </w:tc>
      </w:tr>
      <w:tr w:rsidR="00BF18CF" w14:paraId="46376FE7" w14:textId="77777777" w:rsidTr="00BF18CF">
        <w:tc>
          <w:tcPr>
            <w:tcW w:w="1872" w:type="dxa"/>
          </w:tcPr>
          <w:p w14:paraId="1676FFC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8" w:type="dxa"/>
          </w:tcPr>
          <w:p w14:paraId="6E3E49DB" w14:textId="77777777" w:rsidR="00BF18CF" w:rsidRDefault="00E51347">
            <w:r>
              <w:t xml:space="preserve">Cette propriété identifie l’instance de </w:t>
            </w:r>
            <w:r>
              <w:rPr>
                <w:rFonts w:ascii="Consolas" w:eastAsia="Consolas" w:hAnsi="Consolas" w:cs="Consolas"/>
                <w:sz w:val="22"/>
                <w:szCs w:val="22"/>
                <w:shd w:val="clear" w:color="auto" w:fill="EAEEF3"/>
              </w:rPr>
              <w:t>E24_Chose_matérielle_élaborée_par_l’humain</w:t>
            </w:r>
            <w:r>
              <w:t xml:space="preserve"> qui a commencé à exister </w:t>
            </w:r>
            <w:proofErr w:type="gramStart"/>
            <w:r>
              <w:t>suite à</w:t>
            </w:r>
            <w:proofErr w:type="gramEnd"/>
            <w:r>
              <w:t xml:space="preserve"> l’instance de </w:t>
            </w:r>
            <w:r>
              <w:rPr>
                <w:rFonts w:ascii="Consolas" w:eastAsia="Consolas" w:hAnsi="Consolas" w:cs="Consolas"/>
                <w:sz w:val="22"/>
                <w:szCs w:val="22"/>
                <w:shd w:val="clear" w:color="auto" w:fill="EAEEF3"/>
              </w:rPr>
              <w:t>E12_Production</w:t>
            </w:r>
            <w:r>
              <w:t xml:space="preserve"> qui lui est rattachée.</w:t>
            </w:r>
          </w:p>
          <w:p w14:paraId="66A43FFB" w14:textId="77777777" w:rsidR="00BF18CF" w:rsidRDefault="00E51347">
            <w:r>
              <w:t xml:space="preserve">L'identité d'une instance de </w:t>
            </w:r>
            <w:r>
              <w:rPr>
                <w:rFonts w:ascii="Consolas" w:eastAsia="Consolas" w:hAnsi="Consolas" w:cs="Consolas"/>
                <w:sz w:val="22"/>
                <w:szCs w:val="22"/>
                <w:shd w:val="clear" w:color="auto" w:fill="EAEEF3"/>
              </w:rPr>
              <w:t>E24_Chose_matérielle_élaborée_par_l’humain</w:t>
            </w:r>
            <w:r>
              <w:t xml:space="preserve"> n'est pas </w:t>
            </w:r>
            <w:proofErr w:type="gramStart"/>
            <w:r>
              <w:t>définie</w:t>
            </w:r>
            <w:proofErr w:type="gramEnd"/>
            <w:r>
              <w:t xml:space="preserve"> par sa matière, mais par son existence en tant que sujet de documentation. Une activité de </w:t>
            </w:r>
            <w:r>
              <w:rPr>
                <w:rFonts w:ascii="Consolas" w:eastAsia="Consolas" w:hAnsi="Consolas" w:cs="Consolas"/>
                <w:sz w:val="22"/>
                <w:szCs w:val="22"/>
                <w:shd w:val="clear" w:color="auto" w:fill="EAEEF3"/>
              </w:rPr>
              <w:t>E12_Production</w:t>
            </w:r>
            <w:r>
              <w:t xml:space="preserve"> peut donner lieu à la création de plusieurs instances de </w:t>
            </w:r>
            <w:r>
              <w:rPr>
                <w:rFonts w:ascii="Consolas" w:eastAsia="Consolas" w:hAnsi="Consolas" w:cs="Consolas"/>
                <w:sz w:val="22"/>
                <w:szCs w:val="22"/>
                <w:shd w:val="clear" w:color="auto" w:fill="EAEEF3"/>
              </w:rPr>
              <w:t>E24_Chose_matérielle_élaborée_par_l’humain</w:t>
            </w:r>
            <w:r>
              <w:t>.</w:t>
            </w:r>
          </w:p>
        </w:tc>
      </w:tr>
      <w:tr w:rsidR="00BF18CF" w14:paraId="319428ED" w14:textId="77777777" w:rsidTr="00BF18CF">
        <w:tc>
          <w:tcPr>
            <w:tcW w:w="1872" w:type="dxa"/>
          </w:tcPr>
          <w:p w14:paraId="57CCC41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8" w:type="dxa"/>
          </w:tcPr>
          <w:p w14:paraId="658B71A8" w14:textId="77777777" w:rsidR="00BF18CF" w:rsidRDefault="00E51347">
            <w:pPr>
              <w:numPr>
                <w:ilvl w:val="0"/>
                <w:numId w:val="19"/>
              </w:numPr>
            </w:pPr>
            <w:r>
              <w:t>La construction de Rome (</w:t>
            </w:r>
            <w:r>
              <w:rPr>
                <w:rFonts w:ascii="Consolas" w:eastAsia="Consolas" w:hAnsi="Consolas" w:cs="Consolas"/>
                <w:sz w:val="22"/>
                <w:szCs w:val="22"/>
                <w:shd w:val="clear" w:color="auto" w:fill="EAEEF3"/>
              </w:rPr>
              <w:t>E12_Production</w:t>
            </w:r>
            <w:r>
              <w:t>) a produit (</w:t>
            </w:r>
            <w:r>
              <w:rPr>
                <w:rFonts w:ascii="Consolas" w:eastAsia="Consolas" w:hAnsi="Consolas" w:cs="Consolas"/>
                <w:sz w:val="22"/>
                <w:szCs w:val="22"/>
                <w:shd w:val="clear" w:color="auto" w:fill="EAEEF3"/>
              </w:rPr>
              <w:t>P108_a_produit</w:t>
            </w:r>
            <w:r>
              <w:t>) le Colisée (the Colosseum) (</w:t>
            </w:r>
            <w:r>
              <w:rPr>
                <w:rFonts w:ascii="Consolas" w:eastAsia="Consolas" w:hAnsi="Consolas" w:cs="Consolas"/>
                <w:sz w:val="22"/>
                <w:szCs w:val="22"/>
                <w:shd w:val="clear" w:color="auto" w:fill="EAEEF3"/>
              </w:rPr>
              <w:t>E22_Objet_élaborée_par_l’humain</w:t>
            </w:r>
            <w:r>
              <w:t>) (Hopkins, 2011)</w:t>
            </w:r>
          </w:p>
        </w:tc>
      </w:tr>
      <w:tr w:rsidR="00BF18CF" w14:paraId="7410146C" w14:textId="77777777" w:rsidTr="00BF18CF">
        <w:tc>
          <w:tcPr>
            <w:tcW w:w="1872" w:type="dxa"/>
          </w:tcPr>
          <w:p w14:paraId="1BF2DF5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8" w:type="dxa"/>
          </w:tcPr>
          <w:p w14:paraId="4F6F053D" w14:textId="77777777" w:rsidR="00BF18CF" w:rsidRDefault="00E51347">
            <w:r>
              <w:t>P108(</w:t>
            </w:r>
            <w:proofErr w:type="gramStart"/>
            <w:r>
              <w:t>x,y</w:t>
            </w:r>
            <w:proofErr w:type="gramEnd"/>
            <w:r>
              <w:t>) ⇒ E12(x)</w:t>
            </w:r>
          </w:p>
          <w:p w14:paraId="7128DFEE" w14:textId="77777777" w:rsidR="00BF18CF" w:rsidRDefault="00E51347">
            <w:r>
              <w:t>P108(</w:t>
            </w:r>
            <w:proofErr w:type="gramStart"/>
            <w:r>
              <w:t>x,y</w:t>
            </w:r>
            <w:proofErr w:type="gramEnd"/>
            <w:r>
              <w:t>) ⇒ E24(y)</w:t>
            </w:r>
          </w:p>
          <w:p w14:paraId="4823A772" w14:textId="77777777" w:rsidR="00BF18CF" w:rsidRDefault="00E51347">
            <w:r>
              <w:t>P108(</w:t>
            </w:r>
            <w:proofErr w:type="gramStart"/>
            <w:r>
              <w:t>x,y</w:t>
            </w:r>
            <w:proofErr w:type="gramEnd"/>
            <w:r>
              <w:t>) ⇒ P31(x,y)</w:t>
            </w:r>
          </w:p>
          <w:p w14:paraId="1ADB8F2B" w14:textId="77777777" w:rsidR="00BF18CF" w:rsidRDefault="00E51347">
            <w:r>
              <w:t>P108(</w:t>
            </w:r>
            <w:proofErr w:type="gramStart"/>
            <w:r>
              <w:t>x,y</w:t>
            </w:r>
            <w:proofErr w:type="gramEnd"/>
            <w:r>
              <w:t>) ⇒ P92(x,y)</w:t>
            </w:r>
          </w:p>
        </w:tc>
      </w:tr>
      <w:tr w:rsidR="00BF18CF" w14:paraId="1453C207" w14:textId="77777777" w:rsidTr="00BF18CF">
        <w:tc>
          <w:tcPr>
            <w:tcW w:w="1872" w:type="dxa"/>
          </w:tcPr>
          <w:p w14:paraId="27EC6F1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8" w:type="dxa"/>
          </w:tcPr>
          <w:p w14:paraId="346EA8F0" w14:textId="77777777" w:rsidR="00BF18CF" w:rsidRDefault="00BF18CF">
            <w:pPr>
              <w:pBdr>
                <w:top w:val="nil"/>
                <w:left w:val="nil"/>
                <w:bottom w:val="nil"/>
                <w:right w:val="nil"/>
                <w:between w:val="nil"/>
              </w:pBdr>
              <w:spacing w:before="36" w:after="36"/>
              <w:rPr>
                <w:color w:val="000000"/>
              </w:rPr>
            </w:pPr>
          </w:p>
        </w:tc>
      </w:tr>
      <w:tr w:rsidR="00BF18CF" w14:paraId="7D9EC2A2" w14:textId="77777777" w:rsidTr="00BF18CF">
        <w:tc>
          <w:tcPr>
            <w:tcW w:w="1872" w:type="dxa"/>
          </w:tcPr>
          <w:p w14:paraId="6C473AEA" w14:textId="20E9B99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8" w:type="dxa"/>
          </w:tcPr>
          <w:p w14:paraId="03AC21F1" w14:textId="77777777" w:rsidR="00BF18CF" w:rsidRDefault="00BF18CF">
            <w:pPr>
              <w:pBdr>
                <w:top w:val="nil"/>
                <w:left w:val="nil"/>
                <w:bottom w:val="nil"/>
                <w:right w:val="nil"/>
                <w:between w:val="nil"/>
              </w:pBdr>
              <w:spacing w:before="36" w:after="36"/>
              <w:rPr>
                <w:color w:val="000000"/>
              </w:rPr>
            </w:pPr>
          </w:p>
        </w:tc>
      </w:tr>
      <w:tr w:rsidR="00BF18CF" w14:paraId="09B7DAA9" w14:textId="77777777" w:rsidTr="00BF18CF">
        <w:tc>
          <w:tcPr>
            <w:tcW w:w="1872" w:type="dxa"/>
          </w:tcPr>
          <w:p w14:paraId="4E9DC7D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8" w:type="dxa"/>
          </w:tcPr>
          <w:p w14:paraId="16099C24" w14:textId="77777777" w:rsidR="00BF18CF" w:rsidRDefault="00BF18CF">
            <w:pPr>
              <w:pBdr>
                <w:top w:val="nil"/>
                <w:left w:val="nil"/>
                <w:bottom w:val="nil"/>
                <w:right w:val="nil"/>
                <w:between w:val="nil"/>
              </w:pBdr>
              <w:spacing w:before="36" w:after="36"/>
              <w:rPr>
                <w:color w:val="000000"/>
              </w:rPr>
            </w:pPr>
          </w:p>
        </w:tc>
      </w:tr>
    </w:tbl>
    <w:p w14:paraId="6D4C471B" w14:textId="77777777" w:rsidR="00BF18CF" w:rsidRDefault="00E51347">
      <w:pPr>
        <w:pStyle w:val="Heading3"/>
      </w:pPr>
      <w:bookmarkStart w:id="447" w:name="bookmark=id.3e8gvnb" w:colFirst="0" w:colLast="0"/>
      <w:bookmarkStart w:id="448" w:name="_Toc144360967"/>
      <w:bookmarkEnd w:id="447"/>
      <w:r>
        <w:t>P109 a pour responsable actuel ou antérieur de la collection (est responsable actuel ou antérieur de la collection)</w:t>
      </w:r>
      <w:bookmarkEnd w:id="448"/>
    </w:p>
    <w:tbl>
      <w:tblPr>
        <w:tblStyle w:val="afffff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4B89167B" w14:textId="77777777" w:rsidTr="00BF18CF">
        <w:tc>
          <w:tcPr>
            <w:tcW w:w="2097" w:type="dxa"/>
          </w:tcPr>
          <w:p w14:paraId="2250BC1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0E4D6E31" w14:textId="77777777" w:rsidR="00BF18CF" w:rsidRDefault="00E51347">
            <w:r>
              <w:rPr>
                <w:rFonts w:ascii="Consolas" w:eastAsia="Consolas" w:hAnsi="Consolas" w:cs="Consolas"/>
                <w:sz w:val="22"/>
                <w:szCs w:val="22"/>
                <w:shd w:val="clear" w:color="auto" w:fill="EAEEF3"/>
              </w:rPr>
              <w:t>E78_Collection</w:t>
            </w:r>
          </w:p>
        </w:tc>
      </w:tr>
      <w:tr w:rsidR="00BF18CF" w14:paraId="5FBB635E" w14:textId="77777777" w:rsidTr="00BF18CF">
        <w:tc>
          <w:tcPr>
            <w:tcW w:w="2097" w:type="dxa"/>
          </w:tcPr>
          <w:p w14:paraId="65304DD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092807AE" w14:textId="77777777" w:rsidR="00BF18CF" w:rsidRDefault="00E51347">
            <w:r>
              <w:rPr>
                <w:rFonts w:ascii="Consolas" w:eastAsia="Consolas" w:hAnsi="Consolas" w:cs="Consolas"/>
                <w:sz w:val="22"/>
                <w:szCs w:val="22"/>
                <w:shd w:val="clear" w:color="auto" w:fill="EAEEF3"/>
              </w:rPr>
              <w:t>E39_Actant</w:t>
            </w:r>
          </w:p>
        </w:tc>
      </w:tr>
      <w:tr w:rsidR="00BF18CF" w14:paraId="2B1143E4" w14:textId="77777777" w:rsidTr="00BF18CF">
        <w:tc>
          <w:tcPr>
            <w:tcW w:w="2097" w:type="dxa"/>
          </w:tcPr>
          <w:p w14:paraId="32E00017"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56703E42"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P49_a_pour_actant_détenteur_actuel_ou_antérieur (est_l’actant_détenteur_actuel_ou_antérieur_de)</w:t>
            </w:r>
            <w:r>
              <w:t xml:space="preserve"> : </w:t>
            </w:r>
            <w:r>
              <w:rPr>
                <w:rFonts w:ascii="Consolas" w:eastAsia="Consolas" w:hAnsi="Consolas" w:cs="Consolas"/>
                <w:sz w:val="22"/>
                <w:szCs w:val="22"/>
                <w:shd w:val="clear" w:color="auto" w:fill="EAEEF3"/>
              </w:rPr>
              <w:t>E39_Actant</w:t>
            </w:r>
          </w:p>
        </w:tc>
      </w:tr>
      <w:tr w:rsidR="00BF18CF" w14:paraId="5F0E26E2" w14:textId="77777777" w:rsidTr="00BF18CF">
        <w:tc>
          <w:tcPr>
            <w:tcW w:w="2097" w:type="dxa"/>
          </w:tcPr>
          <w:p w14:paraId="50665A78"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01A982DE" w14:textId="77777777" w:rsidR="00BF18CF" w:rsidRDefault="00BF18CF">
            <w:pPr>
              <w:pBdr>
                <w:top w:val="nil"/>
                <w:left w:val="nil"/>
                <w:bottom w:val="nil"/>
                <w:right w:val="nil"/>
                <w:between w:val="nil"/>
              </w:pBdr>
              <w:spacing w:before="36" w:after="36"/>
              <w:rPr>
                <w:color w:val="000000"/>
              </w:rPr>
            </w:pPr>
          </w:p>
        </w:tc>
      </w:tr>
      <w:tr w:rsidR="00BF18CF" w14:paraId="2BFE0406" w14:textId="77777777" w:rsidTr="00BF18CF">
        <w:tc>
          <w:tcPr>
            <w:tcW w:w="2097" w:type="dxa"/>
          </w:tcPr>
          <w:p w14:paraId="3CF69AB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5B9987DD" w14:textId="77777777" w:rsidR="00BF18CF" w:rsidRDefault="00E51347">
            <w:proofErr w:type="gramStart"/>
            <w:r>
              <w:t>plusieurs</w:t>
            </w:r>
            <w:proofErr w:type="gramEnd"/>
            <w:r>
              <w:t xml:space="preserve"> à plusieurs, nécessaire (1,n:0,n)</w:t>
            </w:r>
          </w:p>
        </w:tc>
      </w:tr>
      <w:tr w:rsidR="00BF18CF" w14:paraId="0180D441" w14:textId="77777777" w:rsidTr="00BF18CF">
        <w:tc>
          <w:tcPr>
            <w:tcW w:w="2097" w:type="dxa"/>
          </w:tcPr>
          <w:p w14:paraId="4AED32B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08C097B1" w14:textId="77777777" w:rsidR="00BF18CF" w:rsidRDefault="00E51347">
            <w:r>
              <w:t xml:space="preserve">Cette propriété identifie l'instance de </w:t>
            </w:r>
            <w:r>
              <w:rPr>
                <w:rFonts w:ascii="Consolas" w:eastAsia="Consolas" w:hAnsi="Consolas" w:cs="Consolas"/>
                <w:sz w:val="22"/>
                <w:szCs w:val="22"/>
                <w:shd w:val="clear" w:color="auto" w:fill="EAEEF3"/>
              </w:rPr>
              <w:t>E39_Actant</w:t>
            </w:r>
            <w:r>
              <w:t xml:space="preserve"> qui a assumé ou assume la responsabilité curatoriale d'une instance de </w:t>
            </w:r>
            <w:r>
              <w:rPr>
                <w:rFonts w:ascii="Consolas" w:eastAsia="Consolas" w:hAnsi="Consolas" w:cs="Consolas"/>
                <w:sz w:val="22"/>
                <w:szCs w:val="22"/>
                <w:shd w:val="clear" w:color="auto" w:fill="EAEEF3"/>
              </w:rPr>
              <w:t>E78_Collection</w:t>
            </w:r>
            <w:r>
              <w:t>.</w:t>
            </w:r>
          </w:p>
          <w:p w14:paraId="5F880DA8" w14:textId="77777777" w:rsidR="00BF18CF" w:rsidRDefault="00E51347">
            <w:r>
              <w:t>Cette propriété ne permet pas d'enregistrer l'historique de la responsabilité curatoriale. Ce cas nécessite la présence d'un évènement qui marque le début de la responsabilité d’une personne envers une collection.</w:t>
            </w:r>
          </w:p>
        </w:tc>
      </w:tr>
      <w:tr w:rsidR="00BF18CF" w14:paraId="07A04D57" w14:textId="77777777" w:rsidTr="00BF18CF">
        <w:tc>
          <w:tcPr>
            <w:tcW w:w="2097" w:type="dxa"/>
          </w:tcPr>
          <w:p w14:paraId="465B7C82"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93" w:type="dxa"/>
          </w:tcPr>
          <w:p w14:paraId="3EC4583A" w14:textId="77777777" w:rsidR="00BF18CF" w:rsidRDefault="00E51347">
            <w:pPr>
              <w:numPr>
                <w:ilvl w:val="0"/>
                <w:numId w:val="19"/>
              </w:numPr>
            </w:pPr>
            <w:r>
              <w:t>La collection Robert Opie (</w:t>
            </w:r>
            <w:r>
              <w:rPr>
                <w:rFonts w:ascii="Consolas" w:eastAsia="Consolas" w:hAnsi="Consolas" w:cs="Consolas"/>
                <w:sz w:val="22"/>
                <w:szCs w:val="22"/>
                <w:shd w:val="clear" w:color="auto" w:fill="EAEEF3"/>
              </w:rPr>
              <w:t>E78_Collection</w:t>
            </w:r>
            <w:r>
              <w:t>) a pour responsable actuel ou antérieur de la collection (</w:t>
            </w:r>
            <w:r>
              <w:rPr>
                <w:rFonts w:ascii="Consolas" w:eastAsia="Consolas" w:hAnsi="Consolas" w:cs="Consolas"/>
                <w:sz w:val="22"/>
                <w:szCs w:val="22"/>
                <w:shd w:val="clear" w:color="auto" w:fill="EAEEF3"/>
              </w:rPr>
              <w:t>P109_a_pour_responsable_actuel_ou_antérieur_de_la_collection</w:t>
            </w:r>
            <w:r>
              <w:t>) Robert Opie (</w:t>
            </w:r>
            <w:r>
              <w:rPr>
                <w:rFonts w:ascii="Consolas" w:eastAsia="Consolas" w:hAnsi="Consolas" w:cs="Consolas"/>
                <w:sz w:val="22"/>
                <w:szCs w:val="22"/>
                <w:shd w:val="clear" w:color="auto" w:fill="EAEEF3"/>
              </w:rPr>
              <w:t>E21_Personne</w:t>
            </w:r>
            <w:r>
              <w:t>) (https://www.robertopiecollection.com/)</w:t>
            </w:r>
          </w:p>
          <w:p w14:paraId="0D797593" w14:textId="77777777" w:rsidR="00BF18CF" w:rsidRDefault="00E51347">
            <w:pPr>
              <w:numPr>
                <w:ilvl w:val="0"/>
                <w:numId w:val="19"/>
              </w:numPr>
            </w:pPr>
            <w:r>
              <w:t>L'herbier d'algues rouges coralliennes de Mikael Heggelund Foslie (</w:t>
            </w:r>
            <w:r>
              <w:rPr>
                <w:rFonts w:ascii="Consolas" w:eastAsia="Consolas" w:hAnsi="Consolas" w:cs="Consolas"/>
                <w:sz w:val="22"/>
                <w:szCs w:val="22"/>
                <w:shd w:val="clear" w:color="auto" w:fill="EAEEF3"/>
              </w:rPr>
              <w:t>E78_Collection</w:t>
            </w:r>
            <w:r>
              <w:t>) a pour responsable actuel ou antérieur de la collection (</w:t>
            </w:r>
            <w:r>
              <w:rPr>
                <w:rFonts w:ascii="Consolas" w:eastAsia="Consolas" w:hAnsi="Consolas" w:cs="Consolas"/>
                <w:sz w:val="22"/>
                <w:szCs w:val="22"/>
                <w:shd w:val="clear" w:color="auto" w:fill="EAEEF3"/>
              </w:rPr>
              <w:t>P109_a_pour_responsable_actuel_ou_antérieur_de_la_collection</w:t>
            </w:r>
            <w:r>
              <w:t>) Mikael Heggelund Foslie (</w:t>
            </w:r>
            <w:r>
              <w:rPr>
                <w:rFonts w:ascii="Consolas" w:eastAsia="Consolas" w:hAnsi="Consolas" w:cs="Consolas"/>
                <w:sz w:val="22"/>
                <w:szCs w:val="22"/>
                <w:shd w:val="clear" w:color="auto" w:fill="EAEEF3"/>
              </w:rPr>
              <w:t>E21_Personne</w:t>
            </w:r>
            <w:r>
              <w:t>) (Woelkerling, 2005)</w:t>
            </w:r>
          </w:p>
        </w:tc>
      </w:tr>
      <w:tr w:rsidR="00BF18CF" w14:paraId="51AD8581" w14:textId="77777777" w:rsidTr="00BF18CF">
        <w:tc>
          <w:tcPr>
            <w:tcW w:w="2097" w:type="dxa"/>
          </w:tcPr>
          <w:p w14:paraId="2BC3BA4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0ECE0E10" w14:textId="77777777" w:rsidR="00BF18CF" w:rsidRDefault="00E51347">
            <w:r>
              <w:t>P109(</w:t>
            </w:r>
            <w:proofErr w:type="gramStart"/>
            <w:r>
              <w:t>x,y</w:t>
            </w:r>
            <w:proofErr w:type="gramEnd"/>
            <w:r>
              <w:t>) ⇒ E78(x)</w:t>
            </w:r>
          </w:p>
          <w:p w14:paraId="11FE2E3E" w14:textId="77777777" w:rsidR="00BF18CF" w:rsidRDefault="00E51347">
            <w:r>
              <w:t>P109(</w:t>
            </w:r>
            <w:proofErr w:type="gramStart"/>
            <w:r>
              <w:t>x,y</w:t>
            </w:r>
            <w:proofErr w:type="gramEnd"/>
            <w:r>
              <w:t>) ⇒ E39(y)</w:t>
            </w:r>
          </w:p>
          <w:p w14:paraId="5F40BD5D" w14:textId="77777777" w:rsidR="00BF18CF" w:rsidRDefault="00E51347">
            <w:r>
              <w:t>P109(</w:t>
            </w:r>
            <w:proofErr w:type="gramStart"/>
            <w:r>
              <w:t>x,y</w:t>
            </w:r>
            <w:proofErr w:type="gramEnd"/>
            <w:r>
              <w:t>) ⇒ P49(x,y)</w:t>
            </w:r>
          </w:p>
        </w:tc>
      </w:tr>
      <w:tr w:rsidR="00BF18CF" w14:paraId="291C6BD3" w14:textId="77777777" w:rsidTr="00BF18CF">
        <w:tc>
          <w:tcPr>
            <w:tcW w:w="2097" w:type="dxa"/>
          </w:tcPr>
          <w:p w14:paraId="08E7953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3753E8F2" w14:textId="77777777" w:rsidR="00BF18CF" w:rsidRDefault="00BF18CF">
            <w:pPr>
              <w:pBdr>
                <w:top w:val="nil"/>
                <w:left w:val="nil"/>
                <w:bottom w:val="nil"/>
                <w:right w:val="nil"/>
                <w:between w:val="nil"/>
              </w:pBdr>
              <w:spacing w:before="36" w:after="36"/>
              <w:rPr>
                <w:color w:val="000000"/>
              </w:rPr>
            </w:pPr>
          </w:p>
        </w:tc>
      </w:tr>
      <w:tr w:rsidR="00BF18CF" w14:paraId="487260CB" w14:textId="77777777" w:rsidTr="00BF18CF">
        <w:tc>
          <w:tcPr>
            <w:tcW w:w="2097" w:type="dxa"/>
          </w:tcPr>
          <w:p w14:paraId="4261444F" w14:textId="3479A8E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28866F8E" w14:textId="77777777" w:rsidR="00BF18CF" w:rsidRDefault="00E51347">
            <w:r>
              <w:t xml:space="preserve">Dans les deux exemples, les deux références à </w:t>
            </w:r>
            <w:r>
              <w:rPr>
                <w:rFonts w:ascii="Consolas" w:eastAsia="Consolas" w:hAnsi="Consolas" w:cs="Consolas"/>
                <w:sz w:val="22"/>
                <w:szCs w:val="22"/>
                <w:shd w:val="clear" w:color="auto" w:fill="EAEEF3"/>
              </w:rPr>
              <w:t>E39_Actant</w:t>
            </w:r>
            <w:r>
              <w:t xml:space="preserve"> ont été modifiées pour </w:t>
            </w:r>
            <w:r>
              <w:rPr>
                <w:rFonts w:ascii="Consolas" w:eastAsia="Consolas" w:hAnsi="Consolas" w:cs="Consolas"/>
                <w:sz w:val="22"/>
                <w:szCs w:val="22"/>
                <w:shd w:val="clear" w:color="auto" w:fill="EAEEF3"/>
              </w:rPr>
              <w:t>E21_Personne</w:t>
            </w:r>
            <w:r>
              <w:t xml:space="preserve"> puisqu’il s’agit de personnes et que le changement a été fait dans la version 7.2 de CIDOC CRM.</w:t>
            </w:r>
          </w:p>
        </w:tc>
      </w:tr>
      <w:tr w:rsidR="00BF18CF" w14:paraId="5D1B949A" w14:textId="77777777" w:rsidTr="00BF18CF">
        <w:tc>
          <w:tcPr>
            <w:tcW w:w="2097" w:type="dxa"/>
          </w:tcPr>
          <w:p w14:paraId="66F82D2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59E9101A" w14:textId="77777777" w:rsidR="00BF18CF" w:rsidRDefault="00BF18CF">
            <w:pPr>
              <w:pBdr>
                <w:top w:val="nil"/>
                <w:left w:val="nil"/>
                <w:bottom w:val="nil"/>
                <w:right w:val="nil"/>
                <w:between w:val="nil"/>
              </w:pBdr>
              <w:spacing w:before="36" w:after="36"/>
              <w:rPr>
                <w:color w:val="000000"/>
              </w:rPr>
            </w:pPr>
          </w:p>
        </w:tc>
      </w:tr>
    </w:tbl>
    <w:p w14:paraId="0620CC03" w14:textId="77777777" w:rsidR="00BF18CF" w:rsidRDefault="00E51347">
      <w:pPr>
        <w:pStyle w:val="Heading3"/>
      </w:pPr>
      <w:bookmarkStart w:id="449" w:name="bookmark=id.1tdr5v4" w:colFirst="0" w:colLast="0"/>
      <w:bookmarkStart w:id="450" w:name="_Toc144360968"/>
      <w:bookmarkEnd w:id="449"/>
      <w:r>
        <w:t>P110 a augmenté (a été augmenté par)</w:t>
      </w:r>
      <w:bookmarkEnd w:id="450"/>
    </w:p>
    <w:tbl>
      <w:tblPr>
        <w:tblStyle w:val="afffff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7"/>
        <w:gridCol w:w="8833"/>
      </w:tblGrid>
      <w:tr w:rsidR="00BF18CF" w14:paraId="76B6637E" w14:textId="77777777" w:rsidTr="00BF18CF">
        <w:tc>
          <w:tcPr>
            <w:tcW w:w="1857" w:type="dxa"/>
          </w:tcPr>
          <w:p w14:paraId="333F506E"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3" w:type="dxa"/>
          </w:tcPr>
          <w:p w14:paraId="1EFD4E6D" w14:textId="77777777" w:rsidR="00BF18CF" w:rsidRDefault="00E51347">
            <w:r>
              <w:rPr>
                <w:rFonts w:ascii="Consolas" w:eastAsia="Consolas" w:hAnsi="Consolas" w:cs="Consolas"/>
                <w:sz w:val="22"/>
                <w:szCs w:val="22"/>
                <w:shd w:val="clear" w:color="auto" w:fill="EAEEF3"/>
              </w:rPr>
              <w:t>E79_Ajout_d'élément</w:t>
            </w:r>
          </w:p>
        </w:tc>
      </w:tr>
      <w:tr w:rsidR="00BF18CF" w14:paraId="25464ACF" w14:textId="77777777" w:rsidTr="00BF18CF">
        <w:tc>
          <w:tcPr>
            <w:tcW w:w="1857" w:type="dxa"/>
          </w:tcPr>
          <w:p w14:paraId="4E13C5F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3" w:type="dxa"/>
          </w:tcPr>
          <w:p w14:paraId="679DA16A" w14:textId="77777777" w:rsidR="00BF18CF" w:rsidRDefault="00E51347">
            <w:r>
              <w:rPr>
                <w:rFonts w:ascii="Consolas" w:eastAsia="Consolas" w:hAnsi="Consolas" w:cs="Consolas"/>
                <w:sz w:val="22"/>
                <w:szCs w:val="22"/>
                <w:shd w:val="clear" w:color="auto" w:fill="EAEEF3"/>
              </w:rPr>
              <w:t>E24_Chose_matérielle_élaborée_par_l’humain</w:t>
            </w:r>
          </w:p>
        </w:tc>
      </w:tr>
      <w:tr w:rsidR="00BF18CF" w14:paraId="5E29E195" w14:textId="77777777" w:rsidTr="00BF18CF">
        <w:tc>
          <w:tcPr>
            <w:tcW w:w="1857" w:type="dxa"/>
          </w:tcPr>
          <w:p w14:paraId="14B09EE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3" w:type="dxa"/>
          </w:tcPr>
          <w:p w14:paraId="56CBA947" w14:textId="77777777" w:rsidR="00BF18CF" w:rsidRDefault="00E51347">
            <w:r>
              <w:rPr>
                <w:rFonts w:ascii="Consolas" w:eastAsia="Consolas" w:hAnsi="Consolas" w:cs="Consolas"/>
                <w:sz w:val="22"/>
                <w:szCs w:val="22"/>
                <w:shd w:val="clear" w:color="auto" w:fill="EAEEF3"/>
              </w:rPr>
              <w:t>E11_Modification</w:t>
            </w:r>
            <w:r>
              <w:t xml:space="preserve">. </w:t>
            </w:r>
            <w:r>
              <w:rPr>
                <w:rFonts w:ascii="Consolas" w:eastAsia="Consolas" w:hAnsi="Consolas" w:cs="Consolas"/>
                <w:sz w:val="22"/>
                <w:szCs w:val="22"/>
                <w:shd w:val="clear" w:color="auto" w:fill="EAEEF3"/>
              </w:rPr>
              <w:t>P31_a_modifié (a_été_modifié_par)</w:t>
            </w:r>
            <w:r>
              <w:t xml:space="preserve"> : </w:t>
            </w:r>
            <w:r>
              <w:rPr>
                <w:rFonts w:ascii="Consolas" w:eastAsia="Consolas" w:hAnsi="Consolas" w:cs="Consolas"/>
                <w:sz w:val="22"/>
                <w:szCs w:val="22"/>
                <w:shd w:val="clear" w:color="auto" w:fill="EAEEF3"/>
              </w:rPr>
              <w:t>E18_Chose_matérielle</w:t>
            </w:r>
          </w:p>
        </w:tc>
      </w:tr>
      <w:tr w:rsidR="00BF18CF" w14:paraId="1B66D5EE" w14:textId="77777777" w:rsidTr="00BF18CF">
        <w:tc>
          <w:tcPr>
            <w:tcW w:w="1857" w:type="dxa"/>
          </w:tcPr>
          <w:p w14:paraId="07BFF45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3" w:type="dxa"/>
          </w:tcPr>
          <w:p w14:paraId="6A0D4D99" w14:textId="77777777" w:rsidR="00BF18CF" w:rsidRDefault="00BF18CF">
            <w:pPr>
              <w:pBdr>
                <w:top w:val="nil"/>
                <w:left w:val="nil"/>
                <w:bottom w:val="nil"/>
                <w:right w:val="nil"/>
                <w:between w:val="nil"/>
              </w:pBdr>
              <w:spacing w:before="36" w:after="36"/>
              <w:rPr>
                <w:color w:val="000000"/>
              </w:rPr>
            </w:pPr>
          </w:p>
        </w:tc>
      </w:tr>
      <w:tr w:rsidR="00BF18CF" w14:paraId="011547E8" w14:textId="77777777" w:rsidTr="00BF18CF">
        <w:tc>
          <w:tcPr>
            <w:tcW w:w="1857" w:type="dxa"/>
          </w:tcPr>
          <w:p w14:paraId="5329BBCA"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3" w:type="dxa"/>
          </w:tcPr>
          <w:p w14:paraId="0316144C" w14:textId="77777777" w:rsidR="00BF18CF" w:rsidRDefault="00E51347">
            <w:proofErr w:type="gramStart"/>
            <w:r>
              <w:t>plusieurs</w:t>
            </w:r>
            <w:proofErr w:type="gramEnd"/>
            <w:r>
              <w:t xml:space="preserve"> à plusieurs, nécessaire (1,n:0,n)</w:t>
            </w:r>
          </w:p>
        </w:tc>
      </w:tr>
      <w:tr w:rsidR="00BF18CF" w14:paraId="2D24F6E3" w14:textId="77777777" w:rsidTr="00BF18CF">
        <w:tc>
          <w:tcPr>
            <w:tcW w:w="1857" w:type="dxa"/>
          </w:tcPr>
          <w:p w14:paraId="28744DC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3" w:type="dxa"/>
          </w:tcPr>
          <w:p w14:paraId="10D88223" w14:textId="77777777" w:rsidR="00BF18CF" w:rsidRDefault="00E51347">
            <w:r>
              <w:t xml:space="preserve">Cette propriété identifie l'instance de </w:t>
            </w:r>
            <w:r>
              <w:rPr>
                <w:rFonts w:ascii="Consolas" w:eastAsia="Consolas" w:hAnsi="Consolas" w:cs="Consolas"/>
                <w:sz w:val="22"/>
                <w:szCs w:val="22"/>
                <w:shd w:val="clear" w:color="auto" w:fill="EAEEF3"/>
              </w:rPr>
              <w:t>E24_Chose_matérielle_élaborée_par_l’humain</w:t>
            </w:r>
            <w:r>
              <w:t xml:space="preserve"> qui reçoit un ajout (est augmentée) par une instance de </w:t>
            </w:r>
            <w:r>
              <w:rPr>
                <w:rFonts w:ascii="Consolas" w:eastAsia="Consolas" w:hAnsi="Consolas" w:cs="Consolas"/>
                <w:sz w:val="22"/>
                <w:szCs w:val="22"/>
                <w:shd w:val="clear" w:color="auto" w:fill="EAEEF3"/>
              </w:rPr>
              <w:t>E79_Ajout_d'élément</w:t>
            </w:r>
            <w:r>
              <w:t>.</w:t>
            </w:r>
          </w:p>
          <w:p w14:paraId="5D053DE9" w14:textId="77777777" w:rsidR="00BF18CF" w:rsidRDefault="00E51347">
            <w:r>
              <w:t xml:space="preserve">Bien qu'une instance de </w:t>
            </w:r>
            <w:r>
              <w:rPr>
                <w:rFonts w:ascii="Consolas" w:eastAsia="Consolas" w:hAnsi="Consolas" w:cs="Consolas"/>
                <w:sz w:val="22"/>
                <w:szCs w:val="22"/>
                <w:shd w:val="clear" w:color="auto" w:fill="EAEEF3"/>
              </w:rPr>
              <w:t>E79_Ajout_d'élément</w:t>
            </w:r>
            <w:r>
              <w:t xml:space="preserve"> ne concerne normalement qu'une instance de </w:t>
            </w:r>
            <w:r>
              <w:rPr>
                <w:rFonts w:ascii="Consolas" w:eastAsia="Consolas" w:hAnsi="Consolas" w:cs="Consolas"/>
                <w:sz w:val="22"/>
                <w:szCs w:val="22"/>
                <w:shd w:val="clear" w:color="auto" w:fill="EAEEF3"/>
              </w:rPr>
              <w:t>E24_Chose_matérielle_élaborée_par_l’humain</w:t>
            </w:r>
            <w:r>
              <w:t xml:space="preserve">, il est possible d'imaginer des circonstances au cours desquelles plus d'un élément pourrait recevoir un ajout (être augmenté) [n.d.t. par une seule instance de </w:t>
            </w:r>
            <w:r>
              <w:rPr>
                <w:rFonts w:ascii="Consolas" w:eastAsia="Consolas" w:hAnsi="Consolas" w:cs="Consolas"/>
                <w:sz w:val="22"/>
                <w:szCs w:val="22"/>
                <w:shd w:val="clear" w:color="auto" w:fill="EAEEF3"/>
              </w:rPr>
              <w:t>E79_Ajout_d'élément</w:t>
            </w:r>
            <w:r>
              <w:t>]. Par exemple, l’artiste Jackson Pollock a effectué des traînées de peinture sur plusieurs toiles en même temps.</w:t>
            </w:r>
          </w:p>
        </w:tc>
      </w:tr>
      <w:tr w:rsidR="00BF18CF" w14:paraId="33AF457E" w14:textId="77777777" w:rsidTr="00BF18CF">
        <w:tc>
          <w:tcPr>
            <w:tcW w:w="1857" w:type="dxa"/>
          </w:tcPr>
          <w:p w14:paraId="7E203F8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33" w:type="dxa"/>
          </w:tcPr>
          <w:p w14:paraId="3631E873" w14:textId="77777777" w:rsidR="00BF18CF" w:rsidRDefault="00E51347">
            <w:pPr>
              <w:numPr>
                <w:ilvl w:val="0"/>
                <w:numId w:val="19"/>
              </w:numPr>
            </w:pPr>
            <w:r>
              <w:t>L’évènement d’insertion du dernier clou (</w:t>
            </w:r>
            <w:r>
              <w:rPr>
                <w:rFonts w:ascii="Consolas" w:eastAsia="Consolas" w:hAnsi="Consolas" w:cs="Consolas"/>
                <w:sz w:val="22"/>
                <w:szCs w:val="22"/>
                <w:shd w:val="clear" w:color="auto" w:fill="EAEEF3"/>
              </w:rPr>
              <w:t>E79_Ajout_d'élément</w:t>
            </w:r>
            <w:r>
              <w:t>) a augmenté (</w:t>
            </w:r>
            <w:r>
              <w:rPr>
                <w:rFonts w:ascii="Consolas" w:eastAsia="Consolas" w:hAnsi="Consolas" w:cs="Consolas"/>
                <w:sz w:val="22"/>
                <w:szCs w:val="22"/>
                <w:shd w:val="clear" w:color="auto" w:fill="EAEEF3"/>
              </w:rPr>
              <w:t>P110_a_augmenté</w:t>
            </w:r>
            <w:r>
              <w:t>) le cercueil de George VI (</w:t>
            </w:r>
            <w:r>
              <w:rPr>
                <w:rFonts w:ascii="Consolas" w:eastAsia="Consolas" w:hAnsi="Consolas" w:cs="Consolas"/>
                <w:sz w:val="22"/>
                <w:szCs w:val="22"/>
                <w:shd w:val="clear" w:color="auto" w:fill="EAEEF3"/>
              </w:rPr>
              <w:t>E24_Chose_matérielle_élaborée_par_l’humain</w:t>
            </w:r>
            <w:r>
              <w:t>) (https://www.rct.uk/collection/2000811/the-coffin-of-king-george-vi-during-the-lying-in-state)</w:t>
            </w:r>
          </w:p>
        </w:tc>
      </w:tr>
      <w:tr w:rsidR="00BF18CF" w14:paraId="2E398068" w14:textId="77777777" w:rsidTr="00BF18CF">
        <w:tc>
          <w:tcPr>
            <w:tcW w:w="1857" w:type="dxa"/>
          </w:tcPr>
          <w:p w14:paraId="6609B1B6"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33" w:type="dxa"/>
          </w:tcPr>
          <w:p w14:paraId="1CF38323" w14:textId="77777777" w:rsidR="00BF18CF" w:rsidRDefault="00E51347">
            <w:r>
              <w:t>P110(</w:t>
            </w:r>
            <w:proofErr w:type="gramStart"/>
            <w:r>
              <w:t>x,y</w:t>
            </w:r>
            <w:proofErr w:type="gramEnd"/>
            <w:r>
              <w:t>) ⇒ E79(x)</w:t>
            </w:r>
          </w:p>
          <w:p w14:paraId="44FA9E65" w14:textId="77777777" w:rsidR="00BF18CF" w:rsidRDefault="00E51347">
            <w:r>
              <w:t>P110(</w:t>
            </w:r>
            <w:proofErr w:type="gramStart"/>
            <w:r>
              <w:t>x,y</w:t>
            </w:r>
            <w:proofErr w:type="gramEnd"/>
            <w:r>
              <w:t>) ⇒ E24(y)</w:t>
            </w:r>
          </w:p>
          <w:p w14:paraId="5D9B69DF" w14:textId="77777777" w:rsidR="00BF18CF" w:rsidRDefault="00E51347">
            <w:r>
              <w:t>P110(</w:t>
            </w:r>
            <w:proofErr w:type="gramStart"/>
            <w:r>
              <w:t>x,y</w:t>
            </w:r>
            <w:proofErr w:type="gramEnd"/>
            <w:r>
              <w:t>) ⇒ P31(x,y)</w:t>
            </w:r>
          </w:p>
        </w:tc>
      </w:tr>
      <w:tr w:rsidR="00BF18CF" w14:paraId="6F66EA0A" w14:textId="77777777" w:rsidTr="00BF18CF">
        <w:tc>
          <w:tcPr>
            <w:tcW w:w="1857" w:type="dxa"/>
          </w:tcPr>
          <w:p w14:paraId="6EFFDAF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3" w:type="dxa"/>
          </w:tcPr>
          <w:p w14:paraId="687F1C20" w14:textId="77777777" w:rsidR="00BF18CF" w:rsidRDefault="00BF18CF">
            <w:pPr>
              <w:pBdr>
                <w:top w:val="nil"/>
                <w:left w:val="nil"/>
                <w:bottom w:val="nil"/>
                <w:right w:val="nil"/>
                <w:between w:val="nil"/>
              </w:pBdr>
              <w:spacing w:before="36" w:after="36"/>
              <w:rPr>
                <w:color w:val="000000"/>
              </w:rPr>
            </w:pPr>
          </w:p>
        </w:tc>
      </w:tr>
      <w:tr w:rsidR="00BF18CF" w14:paraId="49B5CD2C" w14:textId="77777777" w:rsidTr="00BF18CF">
        <w:tc>
          <w:tcPr>
            <w:tcW w:w="1857" w:type="dxa"/>
          </w:tcPr>
          <w:p w14:paraId="5A2D697B" w14:textId="057F60F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3" w:type="dxa"/>
          </w:tcPr>
          <w:p w14:paraId="1B348A99" w14:textId="77777777" w:rsidR="00BF18CF" w:rsidRDefault="00BF18CF">
            <w:pPr>
              <w:pBdr>
                <w:top w:val="nil"/>
                <w:left w:val="nil"/>
                <w:bottom w:val="nil"/>
                <w:right w:val="nil"/>
                <w:between w:val="nil"/>
              </w:pBdr>
              <w:spacing w:before="36" w:after="36"/>
              <w:rPr>
                <w:color w:val="000000"/>
              </w:rPr>
            </w:pPr>
          </w:p>
        </w:tc>
      </w:tr>
      <w:tr w:rsidR="00BF18CF" w14:paraId="7DB90E43" w14:textId="77777777" w:rsidTr="00BF18CF">
        <w:tc>
          <w:tcPr>
            <w:tcW w:w="1857" w:type="dxa"/>
          </w:tcPr>
          <w:p w14:paraId="5E8CF6A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3" w:type="dxa"/>
          </w:tcPr>
          <w:p w14:paraId="60DF9DE4" w14:textId="77777777" w:rsidR="00BF18CF" w:rsidRDefault="00BF18CF">
            <w:pPr>
              <w:pBdr>
                <w:top w:val="nil"/>
                <w:left w:val="nil"/>
                <w:bottom w:val="nil"/>
                <w:right w:val="nil"/>
                <w:between w:val="nil"/>
              </w:pBdr>
              <w:spacing w:before="36" w:after="36"/>
              <w:rPr>
                <w:color w:val="000000"/>
              </w:rPr>
            </w:pPr>
          </w:p>
        </w:tc>
      </w:tr>
    </w:tbl>
    <w:p w14:paraId="3F6529C2" w14:textId="77777777" w:rsidR="00BF18CF" w:rsidRDefault="00E51347">
      <w:pPr>
        <w:pStyle w:val="Heading3"/>
      </w:pPr>
      <w:bookmarkStart w:id="451" w:name="bookmark=id.4ddeoix" w:colFirst="0" w:colLast="0"/>
      <w:bookmarkStart w:id="452" w:name="_Toc144360969"/>
      <w:bookmarkEnd w:id="451"/>
      <w:r>
        <w:t>P111 a ajouté (a été ajouté par)</w:t>
      </w:r>
      <w:bookmarkEnd w:id="452"/>
    </w:p>
    <w:tbl>
      <w:tblPr>
        <w:tblStyle w:val="afffff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4"/>
        <w:gridCol w:w="8806"/>
      </w:tblGrid>
      <w:tr w:rsidR="00BF18CF" w14:paraId="5D5BD309" w14:textId="77777777" w:rsidTr="00BF18CF">
        <w:tc>
          <w:tcPr>
            <w:tcW w:w="1884" w:type="dxa"/>
          </w:tcPr>
          <w:p w14:paraId="26FFD66A"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6" w:type="dxa"/>
          </w:tcPr>
          <w:p w14:paraId="3FD1594E" w14:textId="77777777" w:rsidR="00BF18CF" w:rsidRDefault="00E51347">
            <w:r>
              <w:rPr>
                <w:rFonts w:ascii="Consolas" w:eastAsia="Consolas" w:hAnsi="Consolas" w:cs="Consolas"/>
                <w:sz w:val="22"/>
                <w:szCs w:val="22"/>
                <w:shd w:val="clear" w:color="auto" w:fill="EAEEF3"/>
              </w:rPr>
              <w:t>E79_Ajout_d’élément</w:t>
            </w:r>
          </w:p>
        </w:tc>
      </w:tr>
      <w:tr w:rsidR="00BF18CF" w14:paraId="671FFEA1" w14:textId="77777777" w:rsidTr="00BF18CF">
        <w:tc>
          <w:tcPr>
            <w:tcW w:w="1884" w:type="dxa"/>
          </w:tcPr>
          <w:p w14:paraId="26BBE7F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6" w:type="dxa"/>
          </w:tcPr>
          <w:p w14:paraId="11BEFDEC" w14:textId="77777777" w:rsidR="00BF18CF" w:rsidRDefault="00E51347">
            <w:r>
              <w:rPr>
                <w:rFonts w:ascii="Consolas" w:eastAsia="Consolas" w:hAnsi="Consolas" w:cs="Consolas"/>
                <w:sz w:val="22"/>
                <w:szCs w:val="22"/>
                <w:shd w:val="clear" w:color="auto" w:fill="EAEEF3"/>
              </w:rPr>
              <w:t>E18_Chose_matérielle</w:t>
            </w:r>
          </w:p>
        </w:tc>
      </w:tr>
      <w:tr w:rsidR="00BF18CF" w14:paraId="5A5FCA9E" w14:textId="77777777" w:rsidTr="00BF18CF">
        <w:tc>
          <w:tcPr>
            <w:tcW w:w="1884" w:type="dxa"/>
          </w:tcPr>
          <w:p w14:paraId="517853A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6" w:type="dxa"/>
          </w:tcPr>
          <w:p w14:paraId="102E46D3" w14:textId="77777777" w:rsidR="00BF18CF" w:rsidRDefault="00BF18CF">
            <w:pPr>
              <w:pBdr>
                <w:top w:val="nil"/>
                <w:left w:val="nil"/>
                <w:bottom w:val="nil"/>
                <w:right w:val="nil"/>
                <w:between w:val="nil"/>
              </w:pBdr>
              <w:spacing w:before="36" w:after="36"/>
              <w:rPr>
                <w:color w:val="000000"/>
              </w:rPr>
            </w:pPr>
          </w:p>
        </w:tc>
      </w:tr>
      <w:tr w:rsidR="00BF18CF" w14:paraId="1D14A0A2" w14:textId="77777777" w:rsidTr="00BF18CF">
        <w:tc>
          <w:tcPr>
            <w:tcW w:w="1884" w:type="dxa"/>
          </w:tcPr>
          <w:p w14:paraId="27ECF18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6" w:type="dxa"/>
          </w:tcPr>
          <w:p w14:paraId="47FBAC7A" w14:textId="77777777" w:rsidR="00BF18CF" w:rsidRDefault="00BF18CF">
            <w:pPr>
              <w:pBdr>
                <w:top w:val="nil"/>
                <w:left w:val="nil"/>
                <w:bottom w:val="nil"/>
                <w:right w:val="nil"/>
                <w:between w:val="nil"/>
              </w:pBdr>
              <w:spacing w:before="36" w:after="36"/>
              <w:rPr>
                <w:color w:val="000000"/>
              </w:rPr>
            </w:pPr>
          </w:p>
        </w:tc>
      </w:tr>
      <w:tr w:rsidR="00BF18CF" w14:paraId="37C5B118" w14:textId="77777777" w:rsidTr="00BF18CF">
        <w:tc>
          <w:tcPr>
            <w:tcW w:w="1884" w:type="dxa"/>
          </w:tcPr>
          <w:p w14:paraId="3B63384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6" w:type="dxa"/>
          </w:tcPr>
          <w:p w14:paraId="6873A674" w14:textId="77777777" w:rsidR="00BF18CF" w:rsidRDefault="00E51347">
            <w:proofErr w:type="gramStart"/>
            <w:r>
              <w:t>plusieurs</w:t>
            </w:r>
            <w:proofErr w:type="gramEnd"/>
            <w:r>
              <w:t xml:space="preserve"> à plusieurs, nécessaire (1,n:0,n)</w:t>
            </w:r>
          </w:p>
        </w:tc>
      </w:tr>
      <w:tr w:rsidR="00BF18CF" w14:paraId="78518F58" w14:textId="77777777" w:rsidTr="00BF18CF">
        <w:tc>
          <w:tcPr>
            <w:tcW w:w="1884" w:type="dxa"/>
          </w:tcPr>
          <w:p w14:paraId="3627B05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6" w:type="dxa"/>
          </w:tcPr>
          <w:p w14:paraId="2BA51CE0" w14:textId="77777777" w:rsidR="00BF18CF" w:rsidRDefault="00E51347">
            <w:r>
              <w:t xml:space="preserve">Cette propriété identifie l'instance de </w:t>
            </w:r>
            <w:r>
              <w:rPr>
                <w:rFonts w:ascii="Consolas" w:eastAsia="Consolas" w:hAnsi="Consolas" w:cs="Consolas"/>
                <w:sz w:val="22"/>
                <w:szCs w:val="22"/>
                <w:shd w:val="clear" w:color="auto" w:fill="EAEEF3"/>
              </w:rPr>
              <w:t>E18_Chose_matérielle</w:t>
            </w:r>
            <w:r>
              <w:t xml:space="preserve"> qui est ajoutée lors d'une activité d'ajout d'élément (</w:t>
            </w:r>
            <w:r>
              <w:rPr>
                <w:rFonts w:ascii="Consolas" w:eastAsia="Consolas" w:hAnsi="Consolas" w:cs="Consolas"/>
                <w:sz w:val="22"/>
                <w:szCs w:val="22"/>
                <w:shd w:val="clear" w:color="auto" w:fill="EAEEF3"/>
              </w:rPr>
              <w:t>E79_Ajout_d’élément</w:t>
            </w:r>
            <w:r>
              <w:t>).</w:t>
            </w:r>
          </w:p>
        </w:tc>
      </w:tr>
      <w:tr w:rsidR="00BF18CF" w14:paraId="49F32254" w14:textId="77777777" w:rsidTr="00BF18CF">
        <w:tc>
          <w:tcPr>
            <w:tcW w:w="1884" w:type="dxa"/>
          </w:tcPr>
          <w:p w14:paraId="6BF5183B"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6" w:type="dxa"/>
          </w:tcPr>
          <w:p w14:paraId="34AF739D" w14:textId="77777777" w:rsidR="00BF18CF" w:rsidRDefault="00E51347">
            <w:pPr>
              <w:numPr>
                <w:ilvl w:val="0"/>
                <w:numId w:val="19"/>
              </w:numPr>
            </w:pPr>
            <w:r>
              <w:t>L'insertion du dernier clou (</w:t>
            </w:r>
            <w:r>
              <w:rPr>
                <w:rFonts w:ascii="Consolas" w:eastAsia="Consolas" w:hAnsi="Consolas" w:cs="Consolas"/>
                <w:sz w:val="22"/>
                <w:szCs w:val="22"/>
                <w:shd w:val="clear" w:color="auto" w:fill="EAEEF3"/>
              </w:rPr>
              <w:t>E79_Ajout_d’élément</w:t>
            </w:r>
            <w:r>
              <w:t>) a ajouté (</w:t>
            </w:r>
            <w:r>
              <w:rPr>
                <w:rFonts w:ascii="Consolas" w:eastAsia="Consolas" w:hAnsi="Consolas" w:cs="Consolas"/>
                <w:sz w:val="22"/>
                <w:szCs w:val="22"/>
                <w:shd w:val="clear" w:color="auto" w:fill="EAEEF3"/>
              </w:rPr>
              <w:t>P111_a_ajouté</w:t>
            </w:r>
            <w:r>
              <w:t>) le dernier clou dans le cercueil de George VI (</w:t>
            </w:r>
            <w:r>
              <w:rPr>
                <w:rFonts w:ascii="Consolas" w:eastAsia="Consolas" w:hAnsi="Consolas" w:cs="Consolas"/>
                <w:sz w:val="22"/>
                <w:szCs w:val="22"/>
                <w:shd w:val="clear" w:color="auto" w:fill="EAEEF3"/>
              </w:rPr>
              <w:t>E18_Chose_matérielle</w:t>
            </w:r>
            <w:r>
              <w:t>) (https://www.rct.uk/collection/2000811/the-coffin-of-king-george-vi-during-the -en état)</w:t>
            </w:r>
          </w:p>
        </w:tc>
      </w:tr>
      <w:tr w:rsidR="00BF18CF" w14:paraId="7171084D" w14:textId="77777777" w:rsidTr="00BF18CF">
        <w:tc>
          <w:tcPr>
            <w:tcW w:w="1884" w:type="dxa"/>
          </w:tcPr>
          <w:p w14:paraId="0F78D79F"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6" w:type="dxa"/>
          </w:tcPr>
          <w:p w14:paraId="29F49FD7" w14:textId="77777777" w:rsidR="00BF18CF" w:rsidRDefault="00E51347">
            <w:r>
              <w:t>P111(</w:t>
            </w:r>
            <w:proofErr w:type="gramStart"/>
            <w:r>
              <w:t>x,y</w:t>
            </w:r>
            <w:proofErr w:type="gramEnd"/>
            <w:r>
              <w:t>) ⇒ E79(x)</w:t>
            </w:r>
          </w:p>
          <w:p w14:paraId="28A4D3F9" w14:textId="77777777" w:rsidR="00BF18CF" w:rsidRDefault="00E51347">
            <w:r>
              <w:t>P111(</w:t>
            </w:r>
            <w:proofErr w:type="gramStart"/>
            <w:r>
              <w:t>x,y</w:t>
            </w:r>
            <w:proofErr w:type="gramEnd"/>
            <w:r>
              <w:t>) ⇒ E18(y)</w:t>
            </w:r>
          </w:p>
          <w:p w14:paraId="5664BB44" w14:textId="77777777" w:rsidR="00BF18CF" w:rsidRDefault="00E51347">
            <w:r>
              <w:t>P111(</w:t>
            </w:r>
            <w:proofErr w:type="gramStart"/>
            <w:r>
              <w:t>x,y</w:t>
            </w:r>
            <w:proofErr w:type="gramEnd"/>
            <w:r>
              <w:t>) ⇒ P16(x,y)</w:t>
            </w:r>
          </w:p>
        </w:tc>
      </w:tr>
      <w:tr w:rsidR="00BF18CF" w14:paraId="0BA44B22" w14:textId="77777777" w:rsidTr="00BF18CF">
        <w:tc>
          <w:tcPr>
            <w:tcW w:w="1884" w:type="dxa"/>
          </w:tcPr>
          <w:p w14:paraId="185861B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6" w:type="dxa"/>
          </w:tcPr>
          <w:p w14:paraId="11A8968D" w14:textId="77777777" w:rsidR="00BF18CF" w:rsidRDefault="00BF18CF">
            <w:pPr>
              <w:pBdr>
                <w:top w:val="nil"/>
                <w:left w:val="nil"/>
                <w:bottom w:val="nil"/>
                <w:right w:val="nil"/>
                <w:between w:val="nil"/>
              </w:pBdr>
              <w:spacing w:before="36" w:after="36"/>
              <w:rPr>
                <w:color w:val="000000"/>
              </w:rPr>
            </w:pPr>
          </w:p>
        </w:tc>
      </w:tr>
      <w:tr w:rsidR="00BF18CF" w14:paraId="316C0C9E" w14:textId="77777777" w:rsidTr="00BF18CF">
        <w:tc>
          <w:tcPr>
            <w:tcW w:w="1884" w:type="dxa"/>
          </w:tcPr>
          <w:p w14:paraId="38E31BC3" w14:textId="68D77E2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6" w:type="dxa"/>
          </w:tcPr>
          <w:p w14:paraId="7BACDB75" w14:textId="77777777" w:rsidR="00BF18CF" w:rsidRDefault="00BF18CF">
            <w:pPr>
              <w:pBdr>
                <w:top w:val="nil"/>
                <w:left w:val="nil"/>
                <w:bottom w:val="nil"/>
                <w:right w:val="nil"/>
                <w:between w:val="nil"/>
              </w:pBdr>
              <w:spacing w:before="36" w:after="36"/>
              <w:rPr>
                <w:color w:val="000000"/>
              </w:rPr>
            </w:pPr>
          </w:p>
        </w:tc>
      </w:tr>
      <w:tr w:rsidR="00BF18CF" w14:paraId="4C262604" w14:textId="77777777" w:rsidTr="00BF18CF">
        <w:tc>
          <w:tcPr>
            <w:tcW w:w="1884" w:type="dxa"/>
          </w:tcPr>
          <w:p w14:paraId="192CDFA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6" w:type="dxa"/>
          </w:tcPr>
          <w:p w14:paraId="698C730A" w14:textId="77777777" w:rsidR="00BF18CF" w:rsidRDefault="00BF18CF">
            <w:pPr>
              <w:pBdr>
                <w:top w:val="nil"/>
                <w:left w:val="nil"/>
                <w:bottom w:val="nil"/>
                <w:right w:val="nil"/>
                <w:between w:val="nil"/>
              </w:pBdr>
              <w:spacing w:before="36" w:after="36"/>
              <w:rPr>
                <w:color w:val="000000"/>
              </w:rPr>
            </w:pPr>
          </w:p>
        </w:tc>
      </w:tr>
    </w:tbl>
    <w:p w14:paraId="6E8D4A0E" w14:textId="77777777" w:rsidR="00BF18CF" w:rsidRDefault="00E51347">
      <w:pPr>
        <w:pStyle w:val="Heading3"/>
      </w:pPr>
      <w:bookmarkStart w:id="453" w:name="bookmark=id.2sioyqq" w:colFirst="0" w:colLast="0"/>
      <w:bookmarkStart w:id="454" w:name="_Toc144360970"/>
      <w:bookmarkEnd w:id="453"/>
      <w:r>
        <w:t>P112 a diminué (a été diminué par)</w:t>
      </w:r>
      <w:bookmarkEnd w:id="454"/>
    </w:p>
    <w:tbl>
      <w:tblPr>
        <w:tblStyle w:val="afffff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2"/>
        <w:gridCol w:w="8818"/>
      </w:tblGrid>
      <w:tr w:rsidR="00BF18CF" w14:paraId="30A6A1A9" w14:textId="77777777" w:rsidTr="00BF18CF">
        <w:tc>
          <w:tcPr>
            <w:tcW w:w="1872" w:type="dxa"/>
          </w:tcPr>
          <w:p w14:paraId="3D5EFCCA"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8" w:type="dxa"/>
          </w:tcPr>
          <w:p w14:paraId="0014950C" w14:textId="77777777" w:rsidR="00BF18CF" w:rsidRDefault="00E51347">
            <w:r>
              <w:rPr>
                <w:rFonts w:ascii="Consolas" w:eastAsia="Consolas" w:hAnsi="Consolas" w:cs="Consolas"/>
                <w:sz w:val="22"/>
                <w:szCs w:val="22"/>
                <w:shd w:val="clear" w:color="auto" w:fill="EAEEF3"/>
              </w:rPr>
              <w:t>E80_Retrait_d’élément</w:t>
            </w:r>
          </w:p>
        </w:tc>
      </w:tr>
      <w:tr w:rsidR="00BF18CF" w14:paraId="35CA2A79" w14:textId="77777777" w:rsidTr="00BF18CF">
        <w:tc>
          <w:tcPr>
            <w:tcW w:w="1872" w:type="dxa"/>
          </w:tcPr>
          <w:p w14:paraId="0394A1F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8" w:type="dxa"/>
          </w:tcPr>
          <w:p w14:paraId="78176D54" w14:textId="77777777" w:rsidR="00BF18CF" w:rsidRDefault="00E51347">
            <w:r>
              <w:rPr>
                <w:rFonts w:ascii="Consolas" w:eastAsia="Consolas" w:hAnsi="Consolas" w:cs="Consolas"/>
                <w:sz w:val="22"/>
                <w:szCs w:val="22"/>
                <w:shd w:val="clear" w:color="auto" w:fill="EAEEF3"/>
              </w:rPr>
              <w:t>E24_Chose_matérielle_élaborée_par_l’humain</w:t>
            </w:r>
          </w:p>
        </w:tc>
      </w:tr>
      <w:tr w:rsidR="00BF18CF" w14:paraId="547865E4" w14:textId="77777777" w:rsidTr="00BF18CF">
        <w:tc>
          <w:tcPr>
            <w:tcW w:w="1872" w:type="dxa"/>
          </w:tcPr>
          <w:p w14:paraId="27CC40A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8" w:type="dxa"/>
          </w:tcPr>
          <w:p w14:paraId="61D8C7DD" w14:textId="77777777" w:rsidR="00BF18CF" w:rsidRDefault="00E51347">
            <w:r>
              <w:rPr>
                <w:rFonts w:ascii="Consolas" w:eastAsia="Consolas" w:hAnsi="Consolas" w:cs="Consolas"/>
                <w:sz w:val="22"/>
                <w:szCs w:val="22"/>
                <w:shd w:val="clear" w:color="auto" w:fill="EAEEF3"/>
              </w:rPr>
              <w:t>E11_Modification</w:t>
            </w:r>
            <w:r>
              <w:t xml:space="preserve">. </w:t>
            </w:r>
            <w:r>
              <w:rPr>
                <w:rFonts w:ascii="Consolas" w:eastAsia="Consolas" w:hAnsi="Consolas" w:cs="Consolas"/>
                <w:sz w:val="22"/>
                <w:szCs w:val="22"/>
                <w:shd w:val="clear" w:color="auto" w:fill="EAEEF3"/>
              </w:rPr>
              <w:t>P31_a_modifié (a_été_modifié_par)</w:t>
            </w:r>
            <w:r>
              <w:t xml:space="preserve"> : </w:t>
            </w:r>
            <w:r>
              <w:rPr>
                <w:rFonts w:ascii="Consolas" w:eastAsia="Consolas" w:hAnsi="Consolas" w:cs="Consolas"/>
                <w:sz w:val="22"/>
                <w:szCs w:val="22"/>
                <w:shd w:val="clear" w:color="auto" w:fill="EAEEF3"/>
              </w:rPr>
              <w:t>E18_Chose_matérielle</w:t>
            </w:r>
          </w:p>
        </w:tc>
      </w:tr>
      <w:tr w:rsidR="00BF18CF" w14:paraId="3EA8E94F" w14:textId="77777777" w:rsidTr="00BF18CF">
        <w:tc>
          <w:tcPr>
            <w:tcW w:w="1872" w:type="dxa"/>
          </w:tcPr>
          <w:p w14:paraId="29E9B84B"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8" w:type="dxa"/>
          </w:tcPr>
          <w:p w14:paraId="064FCE45" w14:textId="77777777" w:rsidR="00BF18CF" w:rsidRDefault="00BF18CF">
            <w:pPr>
              <w:pBdr>
                <w:top w:val="nil"/>
                <w:left w:val="nil"/>
                <w:bottom w:val="nil"/>
                <w:right w:val="nil"/>
                <w:between w:val="nil"/>
              </w:pBdr>
              <w:spacing w:before="36" w:after="36"/>
              <w:rPr>
                <w:color w:val="000000"/>
              </w:rPr>
            </w:pPr>
          </w:p>
        </w:tc>
      </w:tr>
      <w:tr w:rsidR="00BF18CF" w14:paraId="1757DE31" w14:textId="77777777" w:rsidTr="00BF18CF">
        <w:tc>
          <w:tcPr>
            <w:tcW w:w="1872" w:type="dxa"/>
          </w:tcPr>
          <w:p w14:paraId="710B5709"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818" w:type="dxa"/>
          </w:tcPr>
          <w:p w14:paraId="5B16DE38" w14:textId="77777777" w:rsidR="00BF18CF" w:rsidRDefault="00E51347">
            <w:proofErr w:type="gramStart"/>
            <w:r>
              <w:t>plusieurs</w:t>
            </w:r>
            <w:proofErr w:type="gramEnd"/>
            <w:r>
              <w:t xml:space="preserve"> à plusieurs, nécessaire (1,n:0,n)</w:t>
            </w:r>
          </w:p>
        </w:tc>
      </w:tr>
      <w:tr w:rsidR="00BF18CF" w14:paraId="340D584C" w14:textId="77777777" w:rsidTr="00BF18CF">
        <w:tc>
          <w:tcPr>
            <w:tcW w:w="1872" w:type="dxa"/>
          </w:tcPr>
          <w:p w14:paraId="20F3BB1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8" w:type="dxa"/>
          </w:tcPr>
          <w:p w14:paraId="56C4BDE4" w14:textId="77777777" w:rsidR="00E25267" w:rsidRDefault="00E51347">
            <w:r>
              <w:t xml:space="preserve">Cette propriété identifie l'instance de </w:t>
            </w:r>
            <w:r>
              <w:rPr>
                <w:rFonts w:ascii="Consolas" w:eastAsia="Consolas" w:hAnsi="Consolas" w:cs="Consolas"/>
                <w:sz w:val="22"/>
                <w:szCs w:val="22"/>
                <w:shd w:val="clear" w:color="auto" w:fill="EAEEF3"/>
              </w:rPr>
              <w:t>E24_Chose_matérielle_élaborée_par_l’humain</w:t>
            </w:r>
            <w:r>
              <w:t xml:space="preserve"> qui a été diminuée par une instance de </w:t>
            </w:r>
            <w:r>
              <w:rPr>
                <w:rFonts w:ascii="Consolas" w:eastAsia="Consolas" w:hAnsi="Consolas" w:cs="Consolas"/>
                <w:sz w:val="22"/>
                <w:szCs w:val="22"/>
                <w:shd w:val="clear" w:color="auto" w:fill="EAEEF3"/>
              </w:rPr>
              <w:t>E80_Retrait_d’élément</w:t>
            </w:r>
            <w:r>
              <w:t>.</w:t>
            </w:r>
          </w:p>
          <w:p w14:paraId="415D5186" w14:textId="16F52CCF" w:rsidR="00BF18CF" w:rsidRDefault="00E51347">
            <w:r>
              <w:t xml:space="preserve">Bien qu'une instance de </w:t>
            </w:r>
            <w:r>
              <w:rPr>
                <w:rFonts w:ascii="Consolas" w:eastAsia="Consolas" w:hAnsi="Consolas" w:cs="Consolas"/>
                <w:sz w:val="22"/>
                <w:szCs w:val="22"/>
                <w:shd w:val="clear" w:color="auto" w:fill="EAEEF3"/>
              </w:rPr>
              <w:t>E80_Retrait_d’élément</w:t>
            </w:r>
            <w:r>
              <w:t xml:space="preserve"> ne concerne normalement qu'une instance de </w:t>
            </w:r>
            <w:r>
              <w:rPr>
                <w:rFonts w:ascii="Consolas" w:eastAsia="Consolas" w:hAnsi="Consolas" w:cs="Consolas"/>
                <w:sz w:val="22"/>
                <w:szCs w:val="22"/>
                <w:shd w:val="clear" w:color="auto" w:fill="EAEEF3"/>
              </w:rPr>
              <w:t>E24_Chose_matérielle_élaborée_par_l’humain</w:t>
            </w:r>
            <w:r>
              <w:t xml:space="preserve">, il est possible d'imaginer des circonstances au cours desquelles plus d'un élément pourrait être diminué par une seule instance de </w:t>
            </w:r>
            <w:r>
              <w:rPr>
                <w:rFonts w:ascii="Consolas" w:eastAsia="Consolas" w:hAnsi="Consolas" w:cs="Consolas"/>
                <w:sz w:val="22"/>
                <w:szCs w:val="22"/>
                <w:shd w:val="clear" w:color="auto" w:fill="EAEEF3"/>
              </w:rPr>
              <w:t>E80_Retrait_d’élément</w:t>
            </w:r>
            <w:r>
              <w:t>.</w:t>
            </w:r>
          </w:p>
        </w:tc>
      </w:tr>
      <w:tr w:rsidR="00BF18CF" w14:paraId="66BD74A0" w14:textId="77777777" w:rsidTr="00BF18CF">
        <w:tc>
          <w:tcPr>
            <w:tcW w:w="1872" w:type="dxa"/>
          </w:tcPr>
          <w:p w14:paraId="7F01348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8" w:type="dxa"/>
          </w:tcPr>
          <w:p w14:paraId="6C49D000" w14:textId="77777777" w:rsidR="00BF18CF" w:rsidRDefault="00E51347">
            <w:pPr>
              <w:numPr>
                <w:ilvl w:val="0"/>
                <w:numId w:val="19"/>
              </w:numPr>
            </w:pPr>
            <w:r>
              <w:t>Le cercueil de Toutânkhamon (</w:t>
            </w:r>
            <w:r>
              <w:rPr>
                <w:rFonts w:ascii="Consolas" w:eastAsia="Consolas" w:hAnsi="Consolas" w:cs="Consolas"/>
                <w:sz w:val="22"/>
                <w:szCs w:val="22"/>
                <w:shd w:val="clear" w:color="auto" w:fill="EAEEF3"/>
              </w:rPr>
              <w:t>E22_Objet_élaboré_par_l’humain</w:t>
            </w:r>
            <w:r>
              <w:t>) a été diminué par (</w:t>
            </w:r>
            <w:r>
              <w:rPr>
                <w:rFonts w:ascii="Consolas" w:eastAsia="Consolas" w:hAnsi="Consolas" w:cs="Consolas"/>
                <w:sz w:val="22"/>
                <w:szCs w:val="22"/>
                <w:shd w:val="clear" w:color="auto" w:fill="EAEEF3"/>
              </w:rPr>
              <w:t>P112i_a_été_diminué_par</w:t>
            </w:r>
            <w:r>
              <w:t>) l'ouverture du cercueil de Toutânkhamon (</w:t>
            </w:r>
            <w:r>
              <w:rPr>
                <w:rFonts w:ascii="Consolas" w:eastAsia="Consolas" w:hAnsi="Consolas" w:cs="Consolas"/>
                <w:sz w:val="22"/>
                <w:szCs w:val="22"/>
                <w:shd w:val="clear" w:color="auto" w:fill="EAEEF3"/>
              </w:rPr>
              <w:t>E80_Retrait_d’élément</w:t>
            </w:r>
            <w:r>
              <w:t>) (Carter, 2014)</w:t>
            </w:r>
          </w:p>
        </w:tc>
      </w:tr>
      <w:tr w:rsidR="00BF18CF" w14:paraId="6BF8CBE3" w14:textId="77777777" w:rsidTr="00BF18CF">
        <w:tc>
          <w:tcPr>
            <w:tcW w:w="1872" w:type="dxa"/>
          </w:tcPr>
          <w:p w14:paraId="0D301C3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8" w:type="dxa"/>
          </w:tcPr>
          <w:p w14:paraId="5D047A8E" w14:textId="77777777" w:rsidR="00E25267" w:rsidRDefault="00E51347">
            <w:r>
              <w:t>P112(</w:t>
            </w:r>
            <w:proofErr w:type="gramStart"/>
            <w:r>
              <w:t>x,y</w:t>
            </w:r>
            <w:proofErr w:type="gramEnd"/>
            <w:r>
              <w:t xml:space="preserve">) ⇒ E80(x) </w:t>
            </w:r>
          </w:p>
          <w:p w14:paraId="63891392" w14:textId="77777777" w:rsidR="00E25267" w:rsidRDefault="00E51347">
            <w:r>
              <w:t>P112(</w:t>
            </w:r>
            <w:proofErr w:type="gramStart"/>
            <w:r>
              <w:t>x,y</w:t>
            </w:r>
            <w:proofErr w:type="gramEnd"/>
            <w:r>
              <w:t xml:space="preserve">) ⇒ E24(y) </w:t>
            </w:r>
          </w:p>
          <w:p w14:paraId="09B7D1D0" w14:textId="0FDE705B" w:rsidR="00BF18CF" w:rsidRDefault="00E51347">
            <w:r>
              <w:t>P112(</w:t>
            </w:r>
            <w:proofErr w:type="gramStart"/>
            <w:r>
              <w:t>x,y</w:t>
            </w:r>
            <w:proofErr w:type="gramEnd"/>
            <w:r>
              <w:t>) ⇒ P31(x,y)</w:t>
            </w:r>
          </w:p>
        </w:tc>
      </w:tr>
      <w:tr w:rsidR="00BF18CF" w14:paraId="6F166763" w14:textId="77777777" w:rsidTr="00BF18CF">
        <w:tc>
          <w:tcPr>
            <w:tcW w:w="1872" w:type="dxa"/>
          </w:tcPr>
          <w:p w14:paraId="42B2AD9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8" w:type="dxa"/>
          </w:tcPr>
          <w:p w14:paraId="5BB94EF1" w14:textId="77777777" w:rsidR="00BF18CF" w:rsidRDefault="00BF18CF">
            <w:pPr>
              <w:pBdr>
                <w:top w:val="nil"/>
                <w:left w:val="nil"/>
                <w:bottom w:val="nil"/>
                <w:right w:val="nil"/>
                <w:between w:val="nil"/>
              </w:pBdr>
              <w:spacing w:before="36" w:after="36"/>
              <w:rPr>
                <w:color w:val="000000"/>
              </w:rPr>
            </w:pPr>
          </w:p>
        </w:tc>
      </w:tr>
      <w:tr w:rsidR="00BF18CF" w14:paraId="5FF274C8" w14:textId="77777777" w:rsidTr="00BF18CF">
        <w:tc>
          <w:tcPr>
            <w:tcW w:w="1872" w:type="dxa"/>
          </w:tcPr>
          <w:p w14:paraId="49893A20" w14:textId="09A84B58"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8" w:type="dxa"/>
          </w:tcPr>
          <w:p w14:paraId="3087AC87" w14:textId="77777777" w:rsidR="00BF18CF" w:rsidRDefault="00BF18CF">
            <w:pPr>
              <w:pBdr>
                <w:top w:val="nil"/>
                <w:left w:val="nil"/>
                <w:bottom w:val="nil"/>
                <w:right w:val="nil"/>
                <w:between w:val="nil"/>
              </w:pBdr>
              <w:spacing w:before="36" w:after="36"/>
              <w:rPr>
                <w:color w:val="000000"/>
              </w:rPr>
            </w:pPr>
          </w:p>
        </w:tc>
      </w:tr>
      <w:tr w:rsidR="00BF18CF" w14:paraId="64972420" w14:textId="77777777" w:rsidTr="00BF18CF">
        <w:tc>
          <w:tcPr>
            <w:tcW w:w="1872" w:type="dxa"/>
          </w:tcPr>
          <w:p w14:paraId="7377104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8" w:type="dxa"/>
          </w:tcPr>
          <w:p w14:paraId="39B80B52" w14:textId="77777777" w:rsidR="00BF18CF" w:rsidRDefault="00BF18CF">
            <w:pPr>
              <w:pBdr>
                <w:top w:val="nil"/>
                <w:left w:val="nil"/>
                <w:bottom w:val="nil"/>
                <w:right w:val="nil"/>
                <w:between w:val="nil"/>
              </w:pBdr>
              <w:spacing w:before="36" w:after="36"/>
              <w:rPr>
                <w:color w:val="000000"/>
              </w:rPr>
            </w:pPr>
          </w:p>
        </w:tc>
      </w:tr>
    </w:tbl>
    <w:p w14:paraId="1551C994" w14:textId="77777777" w:rsidR="00BF18CF" w:rsidRDefault="00E51347">
      <w:pPr>
        <w:pStyle w:val="Heading3"/>
      </w:pPr>
      <w:bookmarkStart w:id="455" w:name="bookmark=id.17nz8yj" w:colFirst="0" w:colLast="0"/>
      <w:bookmarkStart w:id="456" w:name="_Toc144360971"/>
      <w:bookmarkEnd w:id="455"/>
      <w:r>
        <w:t>P113 a retiré (a été retiré par)</w:t>
      </w:r>
      <w:bookmarkEnd w:id="456"/>
    </w:p>
    <w:tbl>
      <w:tblPr>
        <w:tblStyle w:val="affffffff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1"/>
        <w:gridCol w:w="8759"/>
      </w:tblGrid>
      <w:tr w:rsidR="00BF18CF" w14:paraId="4FD72E85" w14:textId="77777777" w:rsidTr="00BF18CF">
        <w:tc>
          <w:tcPr>
            <w:tcW w:w="1931" w:type="dxa"/>
          </w:tcPr>
          <w:p w14:paraId="7DAEE01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59" w:type="dxa"/>
          </w:tcPr>
          <w:p w14:paraId="38D7F4CD" w14:textId="77777777" w:rsidR="00BF18CF" w:rsidRDefault="00E51347">
            <w:r>
              <w:rPr>
                <w:rFonts w:ascii="Consolas" w:eastAsia="Consolas" w:hAnsi="Consolas" w:cs="Consolas"/>
                <w:sz w:val="22"/>
                <w:szCs w:val="22"/>
                <w:shd w:val="clear" w:color="auto" w:fill="EAEEF3"/>
              </w:rPr>
              <w:t>E80_Retrait_d’élément</w:t>
            </w:r>
          </w:p>
        </w:tc>
      </w:tr>
      <w:tr w:rsidR="00BF18CF" w14:paraId="34BF3613" w14:textId="77777777" w:rsidTr="00BF18CF">
        <w:tc>
          <w:tcPr>
            <w:tcW w:w="1931" w:type="dxa"/>
          </w:tcPr>
          <w:p w14:paraId="0D207A30"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59" w:type="dxa"/>
          </w:tcPr>
          <w:p w14:paraId="31FC3D0F" w14:textId="77777777" w:rsidR="00BF18CF" w:rsidRDefault="00E51347">
            <w:r>
              <w:rPr>
                <w:rFonts w:ascii="Consolas" w:eastAsia="Consolas" w:hAnsi="Consolas" w:cs="Consolas"/>
                <w:sz w:val="22"/>
                <w:szCs w:val="22"/>
                <w:shd w:val="clear" w:color="auto" w:fill="EAEEF3"/>
              </w:rPr>
              <w:t>E18_Chose_matérielle</w:t>
            </w:r>
          </w:p>
        </w:tc>
      </w:tr>
      <w:tr w:rsidR="00BF18CF" w14:paraId="4B1A45FF" w14:textId="77777777" w:rsidTr="00BF18CF">
        <w:tc>
          <w:tcPr>
            <w:tcW w:w="1931" w:type="dxa"/>
          </w:tcPr>
          <w:p w14:paraId="268A57A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59" w:type="dxa"/>
          </w:tcPr>
          <w:p w14:paraId="2450CECD"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P12_a_eu_lieu_en_présence_de (a_été_présent_à)</w:t>
            </w:r>
            <w:r>
              <w:t xml:space="preserve"> : </w:t>
            </w:r>
            <w:r>
              <w:rPr>
                <w:rFonts w:ascii="Consolas" w:eastAsia="Consolas" w:hAnsi="Consolas" w:cs="Consolas"/>
                <w:sz w:val="22"/>
                <w:szCs w:val="22"/>
                <w:shd w:val="clear" w:color="auto" w:fill="EAEEF3"/>
              </w:rPr>
              <w:t>E77_Entité_persistante</w:t>
            </w:r>
          </w:p>
        </w:tc>
      </w:tr>
      <w:tr w:rsidR="00BF18CF" w14:paraId="4298484C" w14:textId="77777777" w:rsidTr="00BF18CF">
        <w:tc>
          <w:tcPr>
            <w:tcW w:w="1931" w:type="dxa"/>
          </w:tcPr>
          <w:p w14:paraId="49FC11F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59" w:type="dxa"/>
          </w:tcPr>
          <w:p w14:paraId="664A11C3" w14:textId="77777777" w:rsidR="00BF18CF" w:rsidRDefault="00BF18CF">
            <w:pPr>
              <w:pBdr>
                <w:top w:val="nil"/>
                <w:left w:val="nil"/>
                <w:bottom w:val="nil"/>
                <w:right w:val="nil"/>
                <w:between w:val="nil"/>
              </w:pBdr>
              <w:spacing w:before="36" w:after="36"/>
              <w:rPr>
                <w:color w:val="000000"/>
              </w:rPr>
            </w:pPr>
          </w:p>
        </w:tc>
      </w:tr>
      <w:tr w:rsidR="00BF18CF" w14:paraId="34987151" w14:textId="77777777" w:rsidTr="00BF18CF">
        <w:tc>
          <w:tcPr>
            <w:tcW w:w="1931" w:type="dxa"/>
          </w:tcPr>
          <w:p w14:paraId="671A590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59" w:type="dxa"/>
          </w:tcPr>
          <w:p w14:paraId="78D593EA" w14:textId="77777777" w:rsidR="00BF18CF" w:rsidRDefault="00E51347">
            <w:proofErr w:type="gramStart"/>
            <w:r>
              <w:t>plusieurs</w:t>
            </w:r>
            <w:proofErr w:type="gramEnd"/>
            <w:r>
              <w:t xml:space="preserve"> à plusieurs, nécessaire (1,n:0,n)</w:t>
            </w:r>
          </w:p>
        </w:tc>
      </w:tr>
      <w:tr w:rsidR="00BF18CF" w14:paraId="566D5BE4" w14:textId="77777777" w:rsidTr="00BF18CF">
        <w:tc>
          <w:tcPr>
            <w:tcW w:w="1931" w:type="dxa"/>
          </w:tcPr>
          <w:p w14:paraId="57400D4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59" w:type="dxa"/>
          </w:tcPr>
          <w:p w14:paraId="4F499F34" w14:textId="77777777" w:rsidR="00BF18CF" w:rsidRDefault="00E51347">
            <w:r>
              <w:t xml:space="preserve">Cette propriété identifie l'instance de </w:t>
            </w:r>
            <w:r>
              <w:rPr>
                <w:rFonts w:ascii="Consolas" w:eastAsia="Consolas" w:hAnsi="Consolas" w:cs="Consolas"/>
                <w:sz w:val="22"/>
                <w:szCs w:val="22"/>
                <w:shd w:val="clear" w:color="auto" w:fill="EAEEF3"/>
              </w:rPr>
              <w:t>E18_Chose_matérielle</w:t>
            </w:r>
            <w:r>
              <w:t xml:space="preserve"> qui est retirée lors d'une activité de retrait d'élément (</w:t>
            </w:r>
            <w:r>
              <w:rPr>
                <w:rFonts w:ascii="Consolas" w:eastAsia="Consolas" w:hAnsi="Consolas" w:cs="Consolas"/>
                <w:sz w:val="22"/>
                <w:szCs w:val="22"/>
                <w:shd w:val="clear" w:color="auto" w:fill="EAEEF3"/>
              </w:rPr>
              <w:t>E80_Retrait_d’élément</w:t>
            </w:r>
            <w:r>
              <w:t>).</w:t>
            </w:r>
          </w:p>
        </w:tc>
      </w:tr>
      <w:tr w:rsidR="00BF18CF" w14:paraId="3961DA37" w14:textId="77777777" w:rsidTr="00BF18CF">
        <w:tc>
          <w:tcPr>
            <w:tcW w:w="1931" w:type="dxa"/>
          </w:tcPr>
          <w:p w14:paraId="3C6B170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59" w:type="dxa"/>
          </w:tcPr>
          <w:p w14:paraId="735FB2F8" w14:textId="77777777" w:rsidR="00BF18CF" w:rsidRDefault="00E51347">
            <w:pPr>
              <w:numPr>
                <w:ilvl w:val="0"/>
                <w:numId w:val="19"/>
              </w:numPr>
            </w:pPr>
            <w:r>
              <w:t>L'ouverture du cercueil de Toutânkhamon (</w:t>
            </w:r>
            <w:r>
              <w:rPr>
                <w:rFonts w:ascii="Consolas" w:eastAsia="Consolas" w:hAnsi="Consolas" w:cs="Consolas"/>
                <w:sz w:val="22"/>
                <w:szCs w:val="22"/>
                <w:shd w:val="clear" w:color="auto" w:fill="EAEEF3"/>
              </w:rPr>
              <w:t>E80_Retrait_d’élément</w:t>
            </w:r>
            <w:r>
              <w:t>) a retiré (</w:t>
            </w:r>
            <w:r>
              <w:rPr>
                <w:rFonts w:ascii="Consolas" w:eastAsia="Consolas" w:hAnsi="Consolas" w:cs="Consolas"/>
                <w:sz w:val="22"/>
                <w:szCs w:val="22"/>
                <w:shd w:val="clear" w:color="auto" w:fill="EAEEF3"/>
              </w:rPr>
              <w:t>P113_a_retiré</w:t>
            </w:r>
            <w:r>
              <w:t>) la momie de Toutânkhamon (</w:t>
            </w:r>
            <w:r>
              <w:rPr>
                <w:rFonts w:ascii="Consolas" w:eastAsia="Consolas" w:hAnsi="Consolas" w:cs="Consolas"/>
                <w:sz w:val="22"/>
                <w:szCs w:val="22"/>
                <w:shd w:val="clear" w:color="auto" w:fill="EAEEF3"/>
              </w:rPr>
              <w:t>E20_Objet_biologique</w:t>
            </w:r>
            <w:r>
              <w:t xml:space="preserve">, </w:t>
            </w:r>
            <w:r>
              <w:rPr>
                <w:rFonts w:ascii="Consolas" w:eastAsia="Consolas" w:hAnsi="Consolas" w:cs="Consolas"/>
                <w:sz w:val="22"/>
                <w:szCs w:val="22"/>
                <w:shd w:val="clear" w:color="auto" w:fill="EAEEF3"/>
              </w:rPr>
              <w:t>E22_Objet_élaboré_par_l’humain</w:t>
            </w:r>
            <w:r>
              <w:t>) (Carter, 2014)</w:t>
            </w:r>
          </w:p>
        </w:tc>
      </w:tr>
      <w:tr w:rsidR="00BF18CF" w14:paraId="2DDA777E" w14:textId="77777777" w:rsidTr="00BF18CF">
        <w:tc>
          <w:tcPr>
            <w:tcW w:w="1931" w:type="dxa"/>
          </w:tcPr>
          <w:p w14:paraId="79FD4F36"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59" w:type="dxa"/>
          </w:tcPr>
          <w:p w14:paraId="05D4C5A7" w14:textId="77777777" w:rsidR="00BF18CF" w:rsidRDefault="00E51347">
            <w:r>
              <w:t>P113(</w:t>
            </w:r>
            <w:proofErr w:type="gramStart"/>
            <w:r>
              <w:t>x,y</w:t>
            </w:r>
            <w:proofErr w:type="gramEnd"/>
            <w:r>
              <w:t>) ⇒ E80(x)</w:t>
            </w:r>
          </w:p>
          <w:p w14:paraId="4EAF5509" w14:textId="77777777" w:rsidR="00BF18CF" w:rsidRDefault="00E51347">
            <w:r>
              <w:t>P113(</w:t>
            </w:r>
            <w:proofErr w:type="gramStart"/>
            <w:r>
              <w:t>x,y</w:t>
            </w:r>
            <w:proofErr w:type="gramEnd"/>
            <w:r>
              <w:t>) ⇒ E18(y)</w:t>
            </w:r>
          </w:p>
          <w:p w14:paraId="375E0B0B" w14:textId="77777777" w:rsidR="00BF18CF" w:rsidRDefault="00E51347">
            <w:r>
              <w:t>P113(</w:t>
            </w:r>
            <w:proofErr w:type="gramStart"/>
            <w:r>
              <w:t>x,y</w:t>
            </w:r>
            <w:proofErr w:type="gramEnd"/>
            <w:r>
              <w:t>) ⇒ P12(x,y)</w:t>
            </w:r>
          </w:p>
        </w:tc>
      </w:tr>
      <w:tr w:rsidR="00BF18CF" w14:paraId="3DB431E9" w14:textId="77777777" w:rsidTr="00BF18CF">
        <w:tc>
          <w:tcPr>
            <w:tcW w:w="1931" w:type="dxa"/>
          </w:tcPr>
          <w:p w14:paraId="3126F617"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759" w:type="dxa"/>
          </w:tcPr>
          <w:p w14:paraId="3EBB979D" w14:textId="77777777" w:rsidR="00BF18CF" w:rsidRDefault="00BF18CF">
            <w:pPr>
              <w:pBdr>
                <w:top w:val="nil"/>
                <w:left w:val="nil"/>
                <w:bottom w:val="nil"/>
                <w:right w:val="nil"/>
                <w:between w:val="nil"/>
              </w:pBdr>
              <w:spacing w:before="36" w:after="36"/>
              <w:rPr>
                <w:color w:val="000000"/>
              </w:rPr>
            </w:pPr>
          </w:p>
        </w:tc>
      </w:tr>
      <w:tr w:rsidR="00BF18CF" w14:paraId="7C73BC01" w14:textId="77777777" w:rsidTr="00BF18CF">
        <w:tc>
          <w:tcPr>
            <w:tcW w:w="1931" w:type="dxa"/>
          </w:tcPr>
          <w:p w14:paraId="44EB833F" w14:textId="163A6FC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59" w:type="dxa"/>
          </w:tcPr>
          <w:p w14:paraId="1A16EC4B" w14:textId="77777777" w:rsidR="00BF18CF" w:rsidRDefault="00BF18CF">
            <w:pPr>
              <w:pBdr>
                <w:top w:val="nil"/>
                <w:left w:val="nil"/>
                <w:bottom w:val="nil"/>
                <w:right w:val="nil"/>
                <w:between w:val="nil"/>
              </w:pBdr>
              <w:spacing w:before="36" w:after="36"/>
              <w:rPr>
                <w:color w:val="000000"/>
              </w:rPr>
            </w:pPr>
          </w:p>
        </w:tc>
      </w:tr>
      <w:tr w:rsidR="00BF18CF" w14:paraId="4CB0CC65" w14:textId="77777777" w:rsidTr="00BF18CF">
        <w:tc>
          <w:tcPr>
            <w:tcW w:w="1931" w:type="dxa"/>
          </w:tcPr>
          <w:p w14:paraId="7F006C7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59" w:type="dxa"/>
          </w:tcPr>
          <w:p w14:paraId="4E4F20F9" w14:textId="77777777" w:rsidR="00BF18CF" w:rsidRDefault="00BF18CF">
            <w:pPr>
              <w:pBdr>
                <w:top w:val="nil"/>
                <w:left w:val="nil"/>
                <w:bottom w:val="nil"/>
                <w:right w:val="nil"/>
                <w:between w:val="nil"/>
              </w:pBdr>
              <w:spacing w:before="36" w:after="36"/>
              <w:rPr>
                <w:color w:val="000000"/>
              </w:rPr>
            </w:pPr>
          </w:p>
        </w:tc>
      </w:tr>
    </w:tbl>
    <w:p w14:paraId="359E13A9" w14:textId="77777777" w:rsidR="00BF18CF" w:rsidRDefault="00E51347">
      <w:pPr>
        <w:pStyle w:val="Heading3"/>
      </w:pPr>
      <w:bookmarkStart w:id="457" w:name="bookmark=id.3rnmrmc" w:colFirst="0" w:colLast="0"/>
      <w:bookmarkStart w:id="458" w:name="_Toc144360972"/>
      <w:bookmarkEnd w:id="457"/>
      <w:r>
        <w:t>P121 se superpose partiellement à</w:t>
      </w:r>
      <w:bookmarkEnd w:id="458"/>
    </w:p>
    <w:tbl>
      <w:tblPr>
        <w:tblStyle w:val="affffff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6"/>
        <w:gridCol w:w="8814"/>
      </w:tblGrid>
      <w:tr w:rsidR="00BF18CF" w14:paraId="27259914" w14:textId="77777777" w:rsidTr="00BF18CF">
        <w:tc>
          <w:tcPr>
            <w:tcW w:w="1876" w:type="dxa"/>
          </w:tcPr>
          <w:p w14:paraId="0C65137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4" w:type="dxa"/>
          </w:tcPr>
          <w:p w14:paraId="1CA954C4" w14:textId="77777777" w:rsidR="00BF18CF" w:rsidRDefault="00E51347">
            <w:r>
              <w:rPr>
                <w:rFonts w:ascii="Consolas" w:eastAsia="Consolas" w:hAnsi="Consolas" w:cs="Consolas"/>
                <w:sz w:val="22"/>
                <w:szCs w:val="22"/>
                <w:shd w:val="clear" w:color="auto" w:fill="EAEEF3"/>
              </w:rPr>
              <w:t>E53_Lieu</w:t>
            </w:r>
          </w:p>
        </w:tc>
      </w:tr>
      <w:tr w:rsidR="00BF18CF" w14:paraId="3A95237D" w14:textId="77777777" w:rsidTr="00BF18CF">
        <w:tc>
          <w:tcPr>
            <w:tcW w:w="1876" w:type="dxa"/>
          </w:tcPr>
          <w:p w14:paraId="686E5EBE"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4" w:type="dxa"/>
          </w:tcPr>
          <w:p w14:paraId="6D358DFD" w14:textId="77777777" w:rsidR="00BF18CF" w:rsidRDefault="00E51347">
            <w:r>
              <w:rPr>
                <w:rFonts w:ascii="Consolas" w:eastAsia="Consolas" w:hAnsi="Consolas" w:cs="Consolas"/>
                <w:sz w:val="22"/>
                <w:szCs w:val="22"/>
                <w:shd w:val="clear" w:color="auto" w:fill="EAEEF3"/>
              </w:rPr>
              <w:t>E53_Lieu</w:t>
            </w:r>
          </w:p>
        </w:tc>
      </w:tr>
      <w:tr w:rsidR="00BF18CF" w14:paraId="5BEA242E" w14:textId="77777777" w:rsidTr="00BF18CF">
        <w:tc>
          <w:tcPr>
            <w:tcW w:w="1876" w:type="dxa"/>
          </w:tcPr>
          <w:p w14:paraId="067F409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4" w:type="dxa"/>
          </w:tcPr>
          <w:p w14:paraId="5ADC9918" w14:textId="77777777" w:rsidR="00BF18CF" w:rsidRDefault="00BF18CF">
            <w:pPr>
              <w:pBdr>
                <w:top w:val="nil"/>
                <w:left w:val="nil"/>
                <w:bottom w:val="nil"/>
                <w:right w:val="nil"/>
                <w:between w:val="nil"/>
              </w:pBdr>
              <w:spacing w:before="36" w:after="36"/>
              <w:rPr>
                <w:color w:val="000000"/>
              </w:rPr>
            </w:pPr>
          </w:p>
        </w:tc>
      </w:tr>
      <w:tr w:rsidR="00BF18CF" w14:paraId="5263C6D9" w14:textId="77777777" w:rsidTr="00BF18CF">
        <w:tc>
          <w:tcPr>
            <w:tcW w:w="1876" w:type="dxa"/>
          </w:tcPr>
          <w:p w14:paraId="407AD938"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4" w:type="dxa"/>
          </w:tcPr>
          <w:p w14:paraId="43EC1162" w14:textId="77777777" w:rsidR="00BF18CF" w:rsidRDefault="00BF18CF">
            <w:pPr>
              <w:pBdr>
                <w:top w:val="nil"/>
                <w:left w:val="nil"/>
                <w:bottom w:val="nil"/>
                <w:right w:val="nil"/>
                <w:between w:val="nil"/>
              </w:pBdr>
              <w:spacing w:before="36" w:after="36"/>
              <w:rPr>
                <w:color w:val="000000"/>
              </w:rPr>
            </w:pPr>
          </w:p>
        </w:tc>
      </w:tr>
      <w:tr w:rsidR="00BF18CF" w14:paraId="5613B036" w14:textId="77777777" w:rsidTr="00BF18CF">
        <w:tc>
          <w:tcPr>
            <w:tcW w:w="1876" w:type="dxa"/>
          </w:tcPr>
          <w:p w14:paraId="58D0626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4" w:type="dxa"/>
          </w:tcPr>
          <w:p w14:paraId="4D5BCEA7" w14:textId="77777777" w:rsidR="00BF18CF" w:rsidRDefault="00E51347">
            <w:proofErr w:type="gramStart"/>
            <w:r>
              <w:t>plusieurs</w:t>
            </w:r>
            <w:proofErr w:type="gramEnd"/>
            <w:r>
              <w:t xml:space="preserve"> à plusieurs (0,n:0,n)</w:t>
            </w:r>
          </w:p>
        </w:tc>
      </w:tr>
      <w:tr w:rsidR="00BF18CF" w14:paraId="54716F37" w14:textId="77777777" w:rsidTr="00BF18CF">
        <w:tc>
          <w:tcPr>
            <w:tcW w:w="1876" w:type="dxa"/>
          </w:tcPr>
          <w:p w14:paraId="4C5BF5C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4" w:type="dxa"/>
          </w:tcPr>
          <w:p w14:paraId="7EF01420" w14:textId="77777777" w:rsidR="00BF18CF" w:rsidRDefault="00E51347">
            <w:r>
              <w:t xml:space="preserve">Cette propriété symétrique associe deux instances de </w:t>
            </w:r>
            <w:r>
              <w:rPr>
                <w:rFonts w:ascii="Consolas" w:eastAsia="Consolas" w:hAnsi="Consolas" w:cs="Consolas"/>
                <w:sz w:val="22"/>
                <w:szCs w:val="22"/>
                <w:shd w:val="clear" w:color="auto" w:fill="EAEEF3"/>
              </w:rPr>
              <w:t>E53_Lieu</w:t>
            </w:r>
            <w:r>
              <w:t xml:space="preserve"> dont les étendues géométriques se superposent partiellement.</w:t>
            </w:r>
          </w:p>
          <w:p w14:paraId="5B410B1B" w14:textId="77777777" w:rsidR="00BF18CF" w:rsidRDefault="00E51347">
            <w:r>
              <w:t xml:space="preserve">La propriété ne précise rien sur l'étendue partagée par ces deux instances. Cette propriété est purement spatiale. Cela ne signifie pas que des phénomènes qui définissent, par leur étendue, des lieux liés par </w:t>
            </w:r>
            <w:r>
              <w:rPr>
                <w:rFonts w:ascii="Consolas" w:eastAsia="Consolas" w:hAnsi="Consolas" w:cs="Consolas"/>
                <w:sz w:val="22"/>
                <w:szCs w:val="22"/>
                <w:shd w:val="clear" w:color="auto" w:fill="EAEEF3"/>
              </w:rPr>
              <w:t>P121_se_superpose_partiellement_à</w:t>
            </w:r>
            <w:r>
              <w:t xml:space="preserve"> aient couvert une étendue commune au même moment ou coexisté. En revanche, les chevauchements spatio-temporels décrits par </w:t>
            </w:r>
            <w:r>
              <w:rPr>
                <w:rFonts w:ascii="Consolas" w:eastAsia="Consolas" w:hAnsi="Consolas" w:cs="Consolas"/>
                <w:sz w:val="22"/>
                <w:szCs w:val="22"/>
                <w:shd w:val="clear" w:color="auto" w:fill="EAEEF3"/>
              </w:rPr>
              <w:t>P132_recoupe_spatio-temporellement</w:t>
            </w:r>
            <w:r>
              <w:t xml:space="preserve"> sont le total des étendues couvertes simultanément par les volumes spatio-temporels associés.</w:t>
            </w:r>
          </w:p>
          <w:p w14:paraId="6953F1D5" w14:textId="77777777" w:rsidR="00BF18CF" w:rsidRDefault="00E51347">
            <w:r>
              <w:t>Cette propriété est symétrique.</w:t>
            </w:r>
          </w:p>
        </w:tc>
      </w:tr>
      <w:tr w:rsidR="00BF18CF" w14:paraId="51128A4B" w14:textId="77777777" w:rsidTr="00BF18CF">
        <w:tc>
          <w:tcPr>
            <w:tcW w:w="1876" w:type="dxa"/>
          </w:tcPr>
          <w:p w14:paraId="1EC46DF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4" w:type="dxa"/>
          </w:tcPr>
          <w:p w14:paraId="70BB8687" w14:textId="77777777" w:rsidR="00BF18CF" w:rsidRDefault="00E51347">
            <w:pPr>
              <w:numPr>
                <w:ilvl w:val="0"/>
                <w:numId w:val="19"/>
              </w:numPr>
            </w:pPr>
            <w:r>
              <w:t>Le territoire des États-Unis (</w:t>
            </w:r>
            <w:r>
              <w:rPr>
                <w:rFonts w:ascii="Consolas" w:eastAsia="Consolas" w:hAnsi="Consolas" w:cs="Consolas"/>
                <w:sz w:val="22"/>
                <w:szCs w:val="22"/>
                <w:shd w:val="clear" w:color="auto" w:fill="EAEEF3"/>
              </w:rPr>
              <w:t>E53_Lieu</w:t>
            </w:r>
            <w:r>
              <w:t>) se superpose partiellement à (</w:t>
            </w:r>
            <w:r>
              <w:rPr>
                <w:rFonts w:ascii="Consolas" w:eastAsia="Consolas" w:hAnsi="Consolas" w:cs="Consolas"/>
                <w:sz w:val="22"/>
                <w:szCs w:val="22"/>
                <w:shd w:val="clear" w:color="auto" w:fill="EAEEF3"/>
              </w:rPr>
              <w:t>P121_se_superpose_partiellement_à</w:t>
            </w:r>
            <w:r>
              <w:t>) l'Arctique (</w:t>
            </w:r>
            <w:r>
              <w:rPr>
                <w:rFonts w:ascii="Consolas" w:eastAsia="Consolas" w:hAnsi="Consolas" w:cs="Consolas"/>
                <w:sz w:val="22"/>
                <w:szCs w:val="22"/>
                <w:shd w:val="clear" w:color="auto" w:fill="EAEEF3"/>
              </w:rPr>
              <w:t>E53_Lieu</w:t>
            </w:r>
            <w:r>
              <w:t>) (Gannett, 1904)</w:t>
            </w:r>
          </w:p>
          <w:p w14:paraId="6524D52A" w14:textId="77777777" w:rsidR="00BF18CF" w:rsidRDefault="00E51347">
            <w:pPr>
              <w:numPr>
                <w:ilvl w:val="0"/>
                <w:numId w:val="19"/>
              </w:numPr>
            </w:pPr>
            <w:r>
              <w:t>L'étendue maximale du royaume de Grèce (1832-1973) (</w:t>
            </w:r>
            <w:r>
              <w:rPr>
                <w:rFonts w:ascii="Consolas" w:eastAsia="Consolas" w:hAnsi="Consolas" w:cs="Consolas"/>
                <w:sz w:val="22"/>
                <w:szCs w:val="22"/>
                <w:shd w:val="clear" w:color="auto" w:fill="EAEEF3"/>
              </w:rPr>
              <w:t>E53_Lieu</w:t>
            </w:r>
            <w:r>
              <w:t>) se superpose partiellement à (</w:t>
            </w:r>
            <w:r>
              <w:rPr>
                <w:rFonts w:ascii="Consolas" w:eastAsia="Consolas" w:hAnsi="Consolas" w:cs="Consolas"/>
                <w:sz w:val="22"/>
                <w:szCs w:val="22"/>
                <w:shd w:val="clear" w:color="auto" w:fill="EAEEF3"/>
              </w:rPr>
              <w:t>P121_se_superpose_partiellement_à</w:t>
            </w:r>
            <w:r>
              <w:t>) l'étendue maximale de la république de Turquie (29 octobre 1923 à aujourd'hui) (</w:t>
            </w:r>
            <w:r>
              <w:rPr>
                <w:rFonts w:ascii="Consolas" w:eastAsia="Consolas" w:hAnsi="Consolas" w:cs="Consolas"/>
                <w:sz w:val="22"/>
                <w:szCs w:val="22"/>
                <w:shd w:val="clear" w:color="auto" w:fill="EAEEF3"/>
              </w:rPr>
              <w:t>E53_Lieu</w:t>
            </w:r>
            <w:r>
              <w:t>)</w:t>
            </w:r>
          </w:p>
        </w:tc>
      </w:tr>
      <w:tr w:rsidR="00BF18CF" w14:paraId="4F99ED71" w14:textId="77777777" w:rsidTr="00BF18CF">
        <w:tc>
          <w:tcPr>
            <w:tcW w:w="1876" w:type="dxa"/>
          </w:tcPr>
          <w:p w14:paraId="4F50378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4" w:type="dxa"/>
          </w:tcPr>
          <w:p w14:paraId="6CEADDB6" w14:textId="77777777" w:rsidR="00620ECC" w:rsidRDefault="00E51347">
            <w:r>
              <w:t>P121(</w:t>
            </w:r>
            <w:proofErr w:type="gramStart"/>
            <w:r>
              <w:t>x,y</w:t>
            </w:r>
            <w:proofErr w:type="gramEnd"/>
            <w:r>
              <w:t xml:space="preserve">) ⇒ E53(x) </w:t>
            </w:r>
          </w:p>
          <w:p w14:paraId="3C7053FD" w14:textId="77777777" w:rsidR="00620ECC" w:rsidRDefault="00E51347">
            <w:r>
              <w:t>P121(</w:t>
            </w:r>
            <w:proofErr w:type="gramStart"/>
            <w:r>
              <w:t>x,y</w:t>
            </w:r>
            <w:proofErr w:type="gramEnd"/>
            <w:r>
              <w:t xml:space="preserve">) ⇒ E53(y) </w:t>
            </w:r>
          </w:p>
          <w:p w14:paraId="536E7561" w14:textId="094879AB" w:rsidR="00BF18CF" w:rsidRDefault="00E51347">
            <w:r>
              <w:t>P121(</w:t>
            </w:r>
            <w:proofErr w:type="gramStart"/>
            <w:r>
              <w:t>x,y</w:t>
            </w:r>
            <w:proofErr w:type="gramEnd"/>
            <w:r>
              <w:t>) ⇒ P121(y,x)</w:t>
            </w:r>
          </w:p>
        </w:tc>
      </w:tr>
      <w:tr w:rsidR="00BF18CF" w14:paraId="271D7957" w14:textId="77777777" w:rsidTr="00BF18CF">
        <w:tc>
          <w:tcPr>
            <w:tcW w:w="1876" w:type="dxa"/>
          </w:tcPr>
          <w:p w14:paraId="5F36F4C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4" w:type="dxa"/>
          </w:tcPr>
          <w:p w14:paraId="5A5918E9" w14:textId="77777777" w:rsidR="00BF18CF" w:rsidRDefault="00BF18CF">
            <w:pPr>
              <w:pBdr>
                <w:top w:val="nil"/>
                <w:left w:val="nil"/>
                <w:bottom w:val="nil"/>
                <w:right w:val="nil"/>
                <w:between w:val="nil"/>
              </w:pBdr>
              <w:spacing w:before="36" w:after="36"/>
              <w:rPr>
                <w:color w:val="000000"/>
              </w:rPr>
            </w:pPr>
          </w:p>
        </w:tc>
      </w:tr>
      <w:tr w:rsidR="00BF18CF" w14:paraId="02B06183" w14:textId="77777777" w:rsidTr="00BF18CF">
        <w:tc>
          <w:tcPr>
            <w:tcW w:w="1876" w:type="dxa"/>
          </w:tcPr>
          <w:p w14:paraId="30C4B827" w14:textId="18D9F30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4" w:type="dxa"/>
          </w:tcPr>
          <w:p w14:paraId="05D976D4" w14:textId="77777777" w:rsidR="00BF18CF" w:rsidRDefault="00BF18CF">
            <w:pPr>
              <w:pBdr>
                <w:top w:val="nil"/>
                <w:left w:val="nil"/>
                <w:bottom w:val="nil"/>
                <w:right w:val="nil"/>
                <w:between w:val="nil"/>
              </w:pBdr>
              <w:spacing w:before="36" w:after="36"/>
              <w:rPr>
                <w:color w:val="000000"/>
              </w:rPr>
            </w:pPr>
          </w:p>
        </w:tc>
      </w:tr>
      <w:tr w:rsidR="00BF18CF" w14:paraId="3DDD80DF" w14:textId="77777777" w:rsidTr="00BF18CF">
        <w:tc>
          <w:tcPr>
            <w:tcW w:w="1876" w:type="dxa"/>
          </w:tcPr>
          <w:p w14:paraId="43997E6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4" w:type="dxa"/>
          </w:tcPr>
          <w:p w14:paraId="729449BB" w14:textId="77777777" w:rsidR="00BF18CF" w:rsidRDefault="00BF18CF">
            <w:pPr>
              <w:pBdr>
                <w:top w:val="nil"/>
                <w:left w:val="nil"/>
                <w:bottom w:val="nil"/>
                <w:right w:val="nil"/>
                <w:between w:val="nil"/>
              </w:pBdr>
              <w:spacing w:before="36" w:after="36"/>
              <w:rPr>
                <w:color w:val="000000"/>
              </w:rPr>
            </w:pPr>
          </w:p>
        </w:tc>
      </w:tr>
    </w:tbl>
    <w:p w14:paraId="75A5C140" w14:textId="77777777" w:rsidR="00BF18CF" w:rsidRDefault="00E51347">
      <w:pPr>
        <w:pStyle w:val="Heading3"/>
      </w:pPr>
      <w:bookmarkStart w:id="459" w:name="bookmark=id.26sx1u5" w:colFirst="0" w:colLast="0"/>
      <w:bookmarkStart w:id="460" w:name="_Toc144360973"/>
      <w:bookmarkEnd w:id="459"/>
      <w:r>
        <w:lastRenderedPageBreak/>
        <w:t>P122 est limitrophe de</w:t>
      </w:r>
      <w:bookmarkEnd w:id="460"/>
    </w:p>
    <w:tbl>
      <w:tblPr>
        <w:tblStyle w:val="afffff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0"/>
        <w:gridCol w:w="8800"/>
      </w:tblGrid>
      <w:tr w:rsidR="00BF18CF" w14:paraId="7D9919F0" w14:textId="77777777" w:rsidTr="00BF18CF">
        <w:tc>
          <w:tcPr>
            <w:tcW w:w="1890" w:type="dxa"/>
          </w:tcPr>
          <w:p w14:paraId="72F3B71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0" w:type="dxa"/>
          </w:tcPr>
          <w:p w14:paraId="0AC33371" w14:textId="77777777" w:rsidR="00BF18CF" w:rsidRDefault="00E51347">
            <w:r>
              <w:rPr>
                <w:rFonts w:ascii="Consolas" w:eastAsia="Consolas" w:hAnsi="Consolas" w:cs="Consolas"/>
                <w:sz w:val="22"/>
                <w:szCs w:val="22"/>
                <w:shd w:val="clear" w:color="auto" w:fill="EAEEF3"/>
              </w:rPr>
              <w:t>E53_Lieu</w:t>
            </w:r>
          </w:p>
        </w:tc>
      </w:tr>
      <w:tr w:rsidR="00BF18CF" w14:paraId="52E618E0" w14:textId="77777777" w:rsidTr="00BF18CF">
        <w:tc>
          <w:tcPr>
            <w:tcW w:w="1890" w:type="dxa"/>
          </w:tcPr>
          <w:p w14:paraId="75850C9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0" w:type="dxa"/>
          </w:tcPr>
          <w:p w14:paraId="0C41C9C4" w14:textId="77777777" w:rsidR="00BF18CF" w:rsidRDefault="00E51347">
            <w:r>
              <w:rPr>
                <w:rFonts w:ascii="Consolas" w:eastAsia="Consolas" w:hAnsi="Consolas" w:cs="Consolas"/>
                <w:sz w:val="22"/>
                <w:szCs w:val="22"/>
                <w:shd w:val="clear" w:color="auto" w:fill="EAEEF3"/>
              </w:rPr>
              <w:t>E53_Lieu</w:t>
            </w:r>
          </w:p>
        </w:tc>
      </w:tr>
      <w:tr w:rsidR="00BF18CF" w14:paraId="185AA53F" w14:textId="77777777" w:rsidTr="00BF18CF">
        <w:tc>
          <w:tcPr>
            <w:tcW w:w="1890" w:type="dxa"/>
          </w:tcPr>
          <w:p w14:paraId="60553DD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0" w:type="dxa"/>
          </w:tcPr>
          <w:p w14:paraId="413138BE" w14:textId="77777777" w:rsidR="00BF18CF" w:rsidRDefault="00BF18CF">
            <w:pPr>
              <w:pBdr>
                <w:top w:val="nil"/>
                <w:left w:val="nil"/>
                <w:bottom w:val="nil"/>
                <w:right w:val="nil"/>
                <w:between w:val="nil"/>
              </w:pBdr>
              <w:spacing w:before="36" w:after="36"/>
              <w:rPr>
                <w:color w:val="000000"/>
              </w:rPr>
            </w:pPr>
          </w:p>
        </w:tc>
      </w:tr>
      <w:tr w:rsidR="00BF18CF" w14:paraId="5E3ABAB5" w14:textId="77777777" w:rsidTr="00BF18CF">
        <w:tc>
          <w:tcPr>
            <w:tcW w:w="1890" w:type="dxa"/>
          </w:tcPr>
          <w:p w14:paraId="68821BA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0" w:type="dxa"/>
          </w:tcPr>
          <w:p w14:paraId="626BD798" w14:textId="77777777" w:rsidR="00BF18CF" w:rsidRDefault="00BF18CF">
            <w:pPr>
              <w:pBdr>
                <w:top w:val="nil"/>
                <w:left w:val="nil"/>
                <w:bottom w:val="nil"/>
                <w:right w:val="nil"/>
                <w:between w:val="nil"/>
              </w:pBdr>
              <w:spacing w:before="36" w:after="36"/>
              <w:rPr>
                <w:color w:val="000000"/>
              </w:rPr>
            </w:pPr>
          </w:p>
        </w:tc>
      </w:tr>
      <w:tr w:rsidR="00BF18CF" w14:paraId="093DFC3F" w14:textId="77777777" w:rsidTr="00BF18CF">
        <w:tc>
          <w:tcPr>
            <w:tcW w:w="1890" w:type="dxa"/>
          </w:tcPr>
          <w:p w14:paraId="0E199F74"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0" w:type="dxa"/>
          </w:tcPr>
          <w:p w14:paraId="0806D59F" w14:textId="77777777" w:rsidR="00BF18CF" w:rsidRDefault="00E51347">
            <w:proofErr w:type="gramStart"/>
            <w:r>
              <w:t>plusieurs</w:t>
            </w:r>
            <w:proofErr w:type="gramEnd"/>
            <w:r>
              <w:t xml:space="preserve"> à plusieurs (0,n:0,n)</w:t>
            </w:r>
          </w:p>
        </w:tc>
      </w:tr>
      <w:tr w:rsidR="00BF18CF" w14:paraId="3B56897F" w14:textId="77777777" w:rsidTr="00BF18CF">
        <w:tc>
          <w:tcPr>
            <w:tcW w:w="1890" w:type="dxa"/>
          </w:tcPr>
          <w:p w14:paraId="2A02BB4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0" w:type="dxa"/>
          </w:tcPr>
          <w:p w14:paraId="45D85E93" w14:textId="77777777" w:rsidR="00BF18CF" w:rsidRDefault="00E51347">
            <w:r>
              <w:t xml:space="preserve">Cette propriété symétrique associe une instance de </w:t>
            </w:r>
            <w:r>
              <w:rPr>
                <w:rFonts w:ascii="Consolas" w:eastAsia="Consolas" w:hAnsi="Consolas" w:cs="Consolas"/>
                <w:sz w:val="22"/>
                <w:szCs w:val="22"/>
                <w:shd w:val="clear" w:color="auto" w:fill="EAEEF3"/>
              </w:rPr>
              <w:t>E53_Lieu</w:t>
            </w:r>
            <w:r>
              <w:t xml:space="preserve"> à une autre instance de </w:t>
            </w:r>
            <w:r>
              <w:rPr>
                <w:rFonts w:ascii="Consolas" w:eastAsia="Consolas" w:hAnsi="Consolas" w:cs="Consolas"/>
                <w:sz w:val="22"/>
                <w:szCs w:val="22"/>
                <w:shd w:val="clear" w:color="auto" w:fill="EAEEF3"/>
              </w:rPr>
              <w:t>E53_Lieu</w:t>
            </w:r>
            <w:r>
              <w:t xml:space="preserve"> qui partage une partie de sa frontière.</w:t>
            </w:r>
          </w:p>
          <w:p w14:paraId="18B112EF" w14:textId="77777777" w:rsidR="00BF18CF" w:rsidRDefault="00E51347">
            <w:r>
              <w:t xml:space="preserve">Cette propriété est purement spatiale. Cela ne signifie pas que des phénomènes qui définissent, par leur étendue, des lieux liés par </w:t>
            </w:r>
            <w:r>
              <w:rPr>
                <w:rFonts w:ascii="Consolas" w:eastAsia="Consolas" w:hAnsi="Consolas" w:cs="Consolas"/>
                <w:sz w:val="22"/>
                <w:szCs w:val="22"/>
                <w:shd w:val="clear" w:color="auto" w:fill="EAEEF3"/>
              </w:rPr>
              <w:t>P122_est_limitrophe_de</w:t>
            </w:r>
            <w:r>
              <w:t xml:space="preserve"> aient partagé une frontière respective au même moment ou coexisté. Cela peut notamment être le cas lorsque la frontière commune respective est formée par une caractéristique naturelle.</w:t>
            </w:r>
          </w:p>
          <w:p w14:paraId="5C301305" w14:textId="77777777" w:rsidR="00BF18CF" w:rsidRDefault="00E51347">
            <w:r>
              <w:t>Cette propriété n’est pas transitive, mais elle est symétrique.</w:t>
            </w:r>
          </w:p>
        </w:tc>
      </w:tr>
      <w:tr w:rsidR="00BF18CF" w14:paraId="0305F6D0" w14:textId="77777777" w:rsidTr="00BF18CF">
        <w:tc>
          <w:tcPr>
            <w:tcW w:w="1890" w:type="dxa"/>
          </w:tcPr>
          <w:p w14:paraId="01E5AF7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0" w:type="dxa"/>
          </w:tcPr>
          <w:p w14:paraId="638867E0" w14:textId="77777777" w:rsidR="00BF18CF" w:rsidRDefault="00E51347">
            <w:pPr>
              <w:numPr>
                <w:ilvl w:val="0"/>
                <w:numId w:val="19"/>
              </w:numPr>
            </w:pPr>
            <w:r>
              <w:t>L'Écosse (</w:t>
            </w:r>
            <w:r>
              <w:rPr>
                <w:rFonts w:ascii="Consolas" w:eastAsia="Consolas" w:hAnsi="Consolas" w:cs="Consolas"/>
                <w:sz w:val="22"/>
                <w:szCs w:val="22"/>
                <w:shd w:val="clear" w:color="auto" w:fill="EAEEF3"/>
              </w:rPr>
              <w:t>E53_Lieu</w:t>
            </w:r>
            <w:r>
              <w:t>) est limitrophe de (</w:t>
            </w:r>
            <w:r>
              <w:rPr>
                <w:rFonts w:ascii="Consolas" w:eastAsia="Consolas" w:hAnsi="Consolas" w:cs="Consolas"/>
                <w:sz w:val="22"/>
                <w:szCs w:val="22"/>
                <w:shd w:val="clear" w:color="auto" w:fill="EAEEF3"/>
              </w:rPr>
              <w:t>P122_est_limitrophe_de</w:t>
            </w:r>
            <w:r>
              <w:t>) l'Angleterre (</w:t>
            </w:r>
            <w:r>
              <w:rPr>
                <w:rFonts w:ascii="Consolas" w:eastAsia="Consolas" w:hAnsi="Consolas" w:cs="Consolas"/>
                <w:sz w:val="22"/>
                <w:szCs w:val="22"/>
                <w:shd w:val="clear" w:color="auto" w:fill="EAEEF3"/>
              </w:rPr>
              <w:t>E53_Lieu</w:t>
            </w:r>
            <w:r>
              <w:t>) (Crofton, 2015)</w:t>
            </w:r>
          </w:p>
        </w:tc>
      </w:tr>
      <w:tr w:rsidR="00BF18CF" w14:paraId="7117BE50" w14:textId="77777777" w:rsidTr="00BF18CF">
        <w:tc>
          <w:tcPr>
            <w:tcW w:w="1890" w:type="dxa"/>
          </w:tcPr>
          <w:p w14:paraId="16DA4C6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0" w:type="dxa"/>
          </w:tcPr>
          <w:p w14:paraId="508C6162" w14:textId="77777777" w:rsidR="00620ECC" w:rsidRDefault="00E51347">
            <w:r>
              <w:t>P122(</w:t>
            </w:r>
            <w:proofErr w:type="gramStart"/>
            <w:r>
              <w:t>x,y</w:t>
            </w:r>
            <w:proofErr w:type="gramEnd"/>
            <w:r>
              <w:t>) ⇒ E53(x)</w:t>
            </w:r>
          </w:p>
          <w:p w14:paraId="4C5502B2" w14:textId="77777777" w:rsidR="00620ECC" w:rsidRDefault="00E51347">
            <w:r>
              <w:t>P122(</w:t>
            </w:r>
            <w:proofErr w:type="gramStart"/>
            <w:r>
              <w:t>x,y</w:t>
            </w:r>
            <w:proofErr w:type="gramEnd"/>
            <w:r>
              <w:t>) ⇒ E53(y)</w:t>
            </w:r>
          </w:p>
          <w:p w14:paraId="4FB1BFCB" w14:textId="3480CD69" w:rsidR="00BF18CF" w:rsidRDefault="00E51347">
            <w:r>
              <w:t>P122(</w:t>
            </w:r>
            <w:proofErr w:type="gramStart"/>
            <w:r>
              <w:t>x,y</w:t>
            </w:r>
            <w:proofErr w:type="gramEnd"/>
            <w:r>
              <w:t>) ⇒ P122(y,x)</w:t>
            </w:r>
          </w:p>
        </w:tc>
      </w:tr>
      <w:tr w:rsidR="00BF18CF" w14:paraId="3F6D9155" w14:textId="77777777" w:rsidTr="00BF18CF">
        <w:tc>
          <w:tcPr>
            <w:tcW w:w="1890" w:type="dxa"/>
          </w:tcPr>
          <w:p w14:paraId="36ECEEA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0" w:type="dxa"/>
          </w:tcPr>
          <w:p w14:paraId="3A8C9CF1" w14:textId="77777777" w:rsidR="00BF18CF" w:rsidRDefault="00BF18CF">
            <w:pPr>
              <w:pBdr>
                <w:top w:val="nil"/>
                <w:left w:val="nil"/>
                <w:bottom w:val="nil"/>
                <w:right w:val="nil"/>
                <w:between w:val="nil"/>
              </w:pBdr>
              <w:spacing w:before="36" w:after="36"/>
              <w:rPr>
                <w:color w:val="000000"/>
              </w:rPr>
            </w:pPr>
          </w:p>
        </w:tc>
      </w:tr>
      <w:tr w:rsidR="00BF18CF" w14:paraId="7B8C0BAF" w14:textId="77777777" w:rsidTr="00BF18CF">
        <w:tc>
          <w:tcPr>
            <w:tcW w:w="1890" w:type="dxa"/>
          </w:tcPr>
          <w:p w14:paraId="696D442A" w14:textId="0BBD960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0" w:type="dxa"/>
          </w:tcPr>
          <w:p w14:paraId="1FDCFABE" w14:textId="77777777" w:rsidR="00BF18CF" w:rsidRDefault="00E51347">
            <w:r>
              <w:t xml:space="preserve">La note d'application de cette propriété ressemble beaucoup à celle de </w:t>
            </w:r>
            <w:r>
              <w:rPr>
                <w:rFonts w:ascii="Consolas" w:eastAsia="Consolas" w:hAnsi="Consolas" w:cs="Consolas"/>
                <w:sz w:val="22"/>
                <w:szCs w:val="22"/>
                <w:shd w:val="clear" w:color="auto" w:fill="EAEEF3"/>
              </w:rPr>
              <w:t>P121_se_superpose_partiellement_à</w:t>
            </w:r>
            <w:r>
              <w:t>.</w:t>
            </w:r>
          </w:p>
        </w:tc>
      </w:tr>
      <w:tr w:rsidR="00BF18CF" w14:paraId="26BA1788" w14:textId="77777777" w:rsidTr="00BF18CF">
        <w:tc>
          <w:tcPr>
            <w:tcW w:w="1890" w:type="dxa"/>
          </w:tcPr>
          <w:p w14:paraId="46A92F6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0" w:type="dxa"/>
          </w:tcPr>
          <w:p w14:paraId="638CAC47" w14:textId="77777777" w:rsidR="00BF18CF" w:rsidRDefault="00BF18CF">
            <w:pPr>
              <w:pBdr>
                <w:top w:val="nil"/>
                <w:left w:val="nil"/>
                <w:bottom w:val="nil"/>
                <w:right w:val="nil"/>
                <w:between w:val="nil"/>
              </w:pBdr>
              <w:spacing w:before="36" w:after="36"/>
              <w:rPr>
                <w:color w:val="000000"/>
              </w:rPr>
            </w:pPr>
          </w:p>
        </w:tc>
      </w:tr>
    </w:tbl>
    <w:p w14:paraId="4C2579EC" w14:textId="77777777" w:rsidR="00BF18CF" w:rsidRDefault="00E51347">
      <w:pPr>
        <w:pStyle w:val="Heading3"/>
      </w:pPr>
      <w:bookmarkStart w:id="461" w:name="bookmark=id.ly7c1y" w:colFirst="0" w:colLast="0"/>
      <w:bookmarkStart w:id="462" w:name="_Toc144360974"/>
      <w:bookmarkEnd w:id="461"/>
      <w:r>
        <w:t>P123 a eu pour résultat (a résulté de)</w:t>
      </w:r>
      <w:bookmarkEnd w:id="462"/>
    </w:p>
    <w:tbl>
      <w:tblPr>
        <w:tblStyle w:val="afffffff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7"/>
        <w:gridCol w:w="8833"/>
      </w:tblGrid>
      <w:tr w:rsidR="00BF18CF" w14:paraId="1B88F630" w14:textId="77777777" w:rsidTr="00BF18CF">
        <w:tc>
          <w:tcPr>
            <w:tcW w:w="1857" w:type="dxa"/>
          </w:tcPr>
          <w:p w14:paraId="54C3317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3" w:type="dxa"/>
          </w:tcPr>
          <w:p w14:paraId="5F4CACAB" w14:textId="77777777" w:rsidR="00BF18CF" w:rsidRDefault="00E51347">
            <w:r>
              <w:rPr>
                <w:rFonts w:ascii="Consolas" w:eastAsia="Consolas" w:hAnsi="Consolas" w:cs="Consolas"/>
                <w:sz w:val="22"/>
                <w:szCs w:val="22"/>
                <w:shd w:val="clear" w:color="auto" w:fill="EAEEF3"/>
              </w:rPr>
              <w:t>E81_Transformation</w:t>
            </w:r>
          </w:p>
        </w:tc>
      </w:tr>
      <w:tr w:rsidR="00BF18CF" w14:paraId="2BA92A04" w14:textId="77777777" w:rsidTr="00BF18CF">
        <w:tc>
          <w:tcPr>
            <w:tcW w:w="1857" w:type="dxa"/>
          </w:tcPr>
          <w:p w14:paraId="70594FA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3" w:type="dxa"/>
          </w:tcPr>
          <w:p w14:paraId="2D5186B2" w14:textId="77777777" w:rsidR="00BF18CF" w:rsidRDefault="00E51347">
            <w:r>
              <w:rPr>
                <w:rFonts w:ascii="Consolas" w:eastAsia="Consolas" w:hAnsi="Consolas" w:cs="Consolas"/>
                <w:sz w:val="22"/>
                <w:szCs w:val="22"/>
                <w:shd w:val="clear" w:color="auto" w:fill="EAEEF3"/>
              </w:rPr>
              <w:t>E18_Chose_matérielle</w:t>
            </w:r>
          </w:p>
        </w:tc>
      </w:tr>
      <w:tr w:rsidR="00BF18CF" w14:paraId="66172DBB" w14:textId="77777777" w:rsidTr="00BF18CF">
        <w:tc>
          <w:tcPr>
            <w:tcW w:w="1857" w:type="dxa"/>
          </w:tcPr>
          <w:p w14:paraId="13BD9CA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3" w:type="dxa"/>
          </w:tcPr>
          <w:p w14:paraId="6C2F1A77" w14:textId="77777777" w:rsidR="00BF18CF" w:rsidRDefault="00E51347">
            <w:r>
              <w:rPr>
                <w:rFonts w:ascii="Consolas" w:eastAsia="Consolas" w:hAnsi="Consolas" w:cs="Consolas"/>
                <w:sz w:val="22"/>
                <w:szCs w:val="22"/>
                <w:shd w:val="clear" w:color="auto" w:fill="EAEEF3"/>
              </w:rPr>
              <w:t>E63_Début_d’existence</w:t>
            </w:r>
            <w:r>
              <w:t xml:space="preserve">. </w:t>
            </w:r>
            <w:r>
              <w:rPr>
                <w:rFonts w:ascii="Consolas" w:eastAsia="Consolas" w:hAnsi="Consolas" w:cs="Consolas"/>
                <w:sz w:val="22"/>
                <w:szCs w:val="22"/>
                <w:shd w:val="clear" w:color="auto" w:fill="EAEEF3"/>
              </w:rPr>
              <w:t xml:space="preserve">P92_a_fait_exister (a_commencé_à_exister_par) </w:t>
            </w:r>
            <w:r>
              <w:t xml:space="preserve">: </w:t>
            </w:r>
            <w:r>
              <w:rPr>
                <w:rFonts w:ascii="Consolas" w:eastAsia="Consolas" w:hAnsi="Consolas" w:cs="Consolas"/>
                <w:sz w:val="22"/>
                <w:szCs w:val="22"/>
                <w:shd w:val="clear" w:color="auto" w:fill="EAEEF3"/>
              </w:rPr>
              <w:t>E77_Entité_persistante</w:t>
            </w:r>
          </w:p>
        </w:tc>
      </w:tr>
      <w:tr w:rsidR="00BF18CF" w14:paraId="2DADE338" w14:textId="77777777" w:rsidTr="00BF18CF">
        <w:tc>
          <w:tcPr>
            <w:tcW w:w="1857" w:type="dxa"/>
          </w:tcPr>
          <w:p w14:paraId="22424B5B"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3" w:type="dxa"/>
          </w:tcPr>
          <w:p w14:paraId="6451B587" w14:textId="77777777" w:rsidR="00BF18CF" w:rsidRDefault="00BF18CF">
            <w:pPr>
              <w:pBdr>
                <w:top w:val="nil"/>
                <w:left w:val="nil"/>
                <w:bottom w:val="nil"/>
                <w:right w:val="nil"/>
                <w:between w:val="nil"/>
              </w:pBdr>
              <w:spacing w:before="36" w:after="36"/>
              <w:rPr>
                <w:color w:val="000000"/>
              </w:rPr>
            </w:pPr>
          </w:p>
        </w:tc>
      </w:tr>
      <w:tr w:rsidR="00BF18CF" w14:paraId="3600BD1C" w14:textId="77777777" w:rsidTr="00BF18CF">
        <w:tc>
          <w:tcPr>
            <w:tcW w:w="1857" w:type="dxa"/>
          </w:tcPr>
          <w:p w14:paraId="02F2B9C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3" w:type="dxa"/>
          </w:tcPr>
          <w:p w14:paraId="34CCF5DC" w14:textId="77777777" w:rsidR="00BF18CF" w:rsidRDefault="00E51347">
            <w:proofErr w:type="gramStart"/>
            <w:r>
              <w:t>plusieurs</w:t>
            </w:r>
            <w:proofErr w:type="gramEnd"/>
            <w:r>
              <w:t xml:space="preserve"> à plusieurs, nécessaire (1,n:0,n)</w:t>
            </w:r>
          </w:p>
        </w:tc>
      </w:tr>
      <w:tr w:rsidR="00BF18CF" w14:paraId="68DD233E" w14:textId="77777777" w:rsidTr="00BF18CF">
        <w:tc>
          <w:tcPr>
            <w:tcW w:w="1857" w:type="dxa"/>
          </w:tcPr>
          <w:p w14:paraId="5563B0E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3" w:type="dxa"/>
          </w:tcPr>
          <w:p w14:paraId="6C85ECDF" w14:textId="77777777" w:rsidR="00BF18CF" w:rsidRDefault="00E51347">
            <w:r>
              <w:t xml:space="preserve">Cette propriété identifie la ou les instances de </w:t>
            </w:r>
            <w:r>
              <w:rPr>
                <w:rFonts w:ascii="Consolas" w:eastAsia="Consolas" w:hAnsi="Consolas" w:cs="Consolas"/>
                <w:sz w:val="22"/>
                <w:szCs w:val="22"/>
                <w:shd w:val="clear" w:color="auto" w:fill="EAEEF3"/>
              </w:rPr>
              <w:t>E18_Chose_matérielle</w:t>
            </w:r>
            <w:r>
              <w:t xml:space="preserve"> qui a ou qui ont résulté d’une instance de </w:t>
            </w:r>
            <w:r>
              <w:rPr>
                <w:rFonts w:ascii="Consolas" w:eastAsia="Consolas" w:hAnsi="Consolas" w:cs="Consolas"/>
                <w:sz w:val="22"/>
                <w:szCs w:val="22"/>
                <w:shd w:val="clear" w:color="auto" w:fill="EAEEF3"/>
              </w:rPr>
              <w:t>E81_Transformation</w:t>
            </w:r>
            <w:r>
              <w:t xml:space="preserve">. Le ou les éléments ayant été transformés cessent d’exister en tant qu’unité de documentation et de nouveaux </w:t>
            </w:r>
            <w:r>
              <w:lastRenderedPageBreak/>
              <w:t xml:space="preserve">éléments les remplacent. La continuité physique entre l’élément ancien et nouveau est exprimée par les liens vers l’instance commune de </w:t>
            </w:r>
            <w:r>
              <w:rPr>
                <w:rFonts w:ascii="Consolas" w:eastAsia="Consolas" w:hAnsi="Consolas" w:cs="Consolas"/>
                <w:sz w:val="22"/>
                <w:szCs w:val="22"/>
                <w:shd w:val="clear" w:color="auto" w:fill="EAEEF3"/>
              </w:rPr>
              <w:t>E81_Transformation</w:t>
            </w:r>
            <w:r>
              <w:t>.</w:t>
            </w:r>
          </w:p>
        </w:tc>
      </w:tr>
      <w:tr w:rsidR="00BF18CF" w14:paraId="09605B7E" w14:textId="77777777" w:rsidTr="00BF18CF">
        <w:tc>
          <w:tcPr>
            <w:tcW w:w="1857" w:type="dxa"/>
          </w:tcPr>
          <w:p w14:paraId="069DE1A9"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33" w:type="dxa"/>
          </w:tcPr>
          <w:p w14:paraId="71E6C597" w14:textId="77777777" w:rsidR="00BF18CF" w:rsidRDefault="00E51347">
            <w:pPr>
              <w:numPr>
                <w:ilvl w:val="0"/>
                <w:numId w:val="19"/>
              </w:numPr>
            </w:pPr>
            <w:r>
              <w:t>La transformation de la loggia vénitienne d’Héraklion en hôtel de ville (</w:t>
            </w:r>
            <w:r>
              <w:rPr>
                <w:rFonts w:ascii="Consolas" w:eastAsia="Consolas" w:hAnsi="Consolas" w:cs="Consolas"/>
                <w:sz w:val="22"/>
                <w:szCs w:val="22"/>
                <w:shd w:val="clear" w:color="auto" w:fill="EAEEF3"/>
              </w:rPr>
              <w:t>E81_Transformation</w:t>
            </w:r>
            <w:r>
              <w:t xml:space="preserve">, </w:t>
            </w:r>
            <w:r>
              <w:rPr>
                <w:rFonts w:ascii="Consolas" w:eastAsia="Consolas" w:hAnsi="Consolas" w:cs="Consolas"/>
                <w:sz w:val="22"/>
                <w:szCs w:val="22"/>
                <w:shd w:val="clear" w:color="auto" w:fill="EAEEF3"/>
              </w:rPr>
              <w:t>E12_Production</w:t>
            </w:r>
            <w:r>
              <w:t>) a eu pour résultat (</w:t>
            </w:r>
            <w:r>
              <w:rPr>
                <w:rFonts w:ascii="Consolas" w:eastAsia="Consolas" w:hAnsi="Consolas" w:cs="Consolas"/>
                <w:sz w:val="22"/>
                <w:szCs w:val="22"/>
                <w:shd w:val="clear" w:color="auto" w:fill="EAEEF3"/>
              </w:rPr>
              <w:t>P123_a_eu_pour_résultat</w:t>
            </w:r>
            <w:r>
              <w:t>) l’hôtel de ville d’Héraklion (</w:t>
            </w:r>
            <w:r>
              <w:rPr>
                <w:rFonts w:ascii="Consolas" w:eastAsia="Consolas" w:hAnsi="Consolas" w:cs="Consolas"/>
                <w:sz w:val="22"/>
                <w:szCs w:val="22"/>
                <w:shd w:val="clear" w:color="auto" w:fill="EAEEF3"/>
              </w:rPr>
              <w:t>E24_Chose_matérielle_élaborée_par_l’humain</w:t>
            </w:r>
            <w:r>
              <w:t>) [ET : a produit (</w:t>
            </w:r>
            <w:r>
              <w:rPr>
                <w:rFonts w:ascii="Consolas" w:eastAsia="Consolas" w:hAnsi="Consolas" w:cs="Consolas"/>
                <w:sz w:val="22"/>
                <w:szCs w:val="22"/>
                <w:shd w:val="clear" w:color="auto" w:fill="EAEEF3"/>
              </w:rPr>
              <w:t>P108_a_produit</w:t>
            </w:r>
            <w:r>
              <w:t>) l’hôtel de ville d’Héraklion (</w:t>
            </w:r>
            <w:r>
              <w:rPr>
                <w:rFonts w:ascii="Consolas" w:eastAsia="Consolas" w:hAnsi="Consolas" w:cs="Consolas"/>
                <w:sz w:val="22"/>
                <w:szCs w:val="22"/>
                <w:shd w:val="clear" w:color="auto" w:fill="EAEEF3"/>
              </w:rPr>
              <w:t>E22_Objet_élaboré_par_l’humain</w:t>
            </w:r>
            <w:r>
              <w:t>)] (Municipalité d’Héraklion, 2020)</w:t>
            </w:r>
          </w:p>
          <w:p w14:paraId="3D3730B6" w14:textId="77777777" w:rsidR="00BF18CF" w:rsidRDefault="00E51347">
            <w:pPr>
              <w:numPr>
                <w:ilvl w:val="0"/>
                <w:numId w:val="19"/>
              </w:numPr>
            </w:pPr>
            <w:r>
              <w:t>La momification de Toutânkhamon (</w:t>
            </w:r>
            <w:r>
              <w:rPr>
                <w:rFonts w:ascii="Consolas" w:eastAsia="Consolas" w:hAnsi="Consolas" w:cs="Consolas"/>
                <w:sz w:val="22"/>
                <w:szCs w:val="22"/>
                <w:shd w:val="clear" w:color="auto" w:fill="EAEEF3"/>
              </w:rPr>
              <w:t>E81_Transformation</w:t>
            </w:r>
            <w:r>
              <w:t xml:space="preserve">, </w:t>
            </w:r>
            <w:r>
              <w:rPr>
                <w:rFonts w:ascii="Consolas" w:eastAsia="Consolas" w:hAnsi="Consolas" w:cs="Consolas"/>
                <w:sz w:val="22"/>
                <w:szCs w:val="22"/>
                <w:shd w:val="clear" w:color="auto" w:fill="EAEEF3"/>
              </w:rPr>
              <w:t>E12_Production</w:t>
            </w:r>
            <w:r>
              <w:t>) a eu pour résultat (</w:t>
            </w:r>
            <w:r>
              <w:rPr>
                <w:rFonts w:ascii="Consolas" w:eastAsia="Consolas" w:hAnsi="Consolas" w:cs="Consolas"/>
                <w:sz w:val="22"/>
                <w:szCs w:val="22"/>
                <w:shd w:val="clear" w:color="auto" w:fill="EAEEF3"/>
              </w:rPr>
              <w:t>P123_a_eu_pour_résultat</w:t>
            </w:r>
            <w:r>
              <w:t>) la momie de Toutânkhamon (</w:t>
            </w:r>
            <w:r>
              <w:rPr>
                <w:rFonts w:ascii="Consolas" w:eastAsia="Consolas" w:hAnsi="Consolas" w:cs="Consolas"/>
                <w:sz w:val="22"/>
                <w:szCs w:val="22"/>
                <w:shd w:val="clear" w:color="auto" w:fill="EAEEF3"/>
              </w:rPr>
              <w:t>E22_Objet_élaboré_par_l’humain</w:t>
            </w:r>
            <w:r>
              <w:t xml:space="preserve">, </w:t>
            </w:r>
            <w:r>
              <w:rPr>
                <w:rFonts w:ascii="Consolas" w:eastAsia="Consolas" w:hAnsi="Consolas" w:cs="Consolas"/>
                <w:sz w:val="22"/>
                <w:szCs w:val="22"/>
                <w:shd w:val="clear" w:color="auto" w:fill="EAEEF3"/>
              </w:rPr>
              <w:t>E20_Objet_biologique</w:t>
            </w:r>
            <w:r>
              <w:t>) [ET : a produit (</w:t>
            </w:r>
            <w:r>
              <w:rPr>
                <w:rFonts w:ascii="Consolas" w:eastAsia="Consolas" w:hAnsi="Consolas" w:cs="Consolas"/>
                <w:sz w:val="22"/>
                <w:szCs w:val="22"/>
                <w:shd w:val="clear" w:color="auto" w:fill="EAEEF3"/>
              </w:rPr>
              <w:t>P108_a_produit</w:t>
            </w:r>
            <w:r>
              <w:t>) la momie de Toutânkhamon (</w:t>
            </w:r>
            <w:r>
              <w:rPr>
                <w:rFonts w:ascii="Consolas" w:eastAsia="Consolas" w:hAnsi="Consolas" w:cs="Consolas"/>
                <w:sz w:val="22"/>
                <w:szCs w:val="22"/>
                <w:shd w:val="clear" w:color="auto" w:fill="EAEEF3"/>
              </w:rPr>
              <w:t>E22_Objet_élaboré_par_l’humain</w:t>
            </w:r>
            <w:r>
              <w:t xml:space="preserve">, </w:t>
            </w:r>
            <w:r>
              <w:rPr>
                <w:rFonts w:ascii="Consolas" w:eastAsia="Consolas" w:hAnsi="Consolas" w:cs="Consolas"/>
                <w:sz w:val="22"/>
                <w:szCs w:val="22"/>
                <w:shd w:val="clear" w:color="auto" w:fill="EAEEF3"/>
              </w:rPr>
              <w:t>E20_Objet_biologique</w:t>
            </w:r>
            <w:r>
              <w:t>)] (Carter, H., et Mace A.C. (1977))</w:t>
            </w:r>
          </w:p>
          <w:p w14:paraId="09547D87" w14:textId="77777777" w:rsidR="00BF18CF" w:rsidRDefault="00E51347">
            <w:pPr>
              <w:numPr>
                <w:ilvl w:val="0"/>
                <w:numId w:val="19"/>
              </w:numPr>
            </w:pPr>
            <w:r>
              <w:t>La mort, la carbonisation et la pétrification de certains habitants de Pompéi en 79 EC provoquées par la chaleur intense d’un nuage pyroclastique et par les cendres provenant de l’éruption du mont Vésuve (</w:t>
            </w:r>
            <w:r>
              <w:rPr>
                <w:rFonts w:ascii="Consolas" w:eastAsia="Consolas" w:hAnsi="Consolas" w:cs="Consolas"/>
                <w:sz w:val="22"/>
                <w:szCs w:val="22"/>
                <w:shd w:val="clear" w:color="auto" w:fill="EAEEF3"/>
              </w:rPr>
              <w:t>E69_Mort</w:t>
            </w:r>
            <w:r>
              <w:t xml:space="preserve">, </w:t>
            </w:r>
            <w:r>
              <w:rPr>
                <w:rFonts w:ascii="Consolas" w:eastAsia="Consolas" w:hAnsi="Consolas" w:cs="Consolas"/>
                <w:sz w:val="22"/>
                <w:szCs w:val="22"/>
                <w:shd w:val="clear" w:color="auto" w:fill="EAEEF3"/>
              </w:rPr>
              <w:t>E81_Transformation</w:t>
            </w:r>
            <w:r>
              <w:t>) a eu pour résultat (</w:t>
            </w:r>
            <w:r>
              <w:rPr>
                <w:rFonts w:ascii="Consolas" w:eastAsia="Consolas" w:hAnsi="Consolas" w:cs="Consolas"/>
                <w:sz w:val="22"/>
                <w:szCs w:val="22"/>
                <w:shd w:val="clear" w:color="auto" w:fill="EAEEF3"/>
              </w:rPr>
              <w:t>P123_a_eu_pour_résultat</w:t>
            </w:r>
            <w:r>
              <w:t>) des corps pétrifiés (</w:t>
            </w:r>
            <w:r>
              <w:rPr>
                <w:rFonts w:ascii="Consolas" w:eastAsia="Consolas" w:hAnsi="Consolas" w:cs="Consolas"/>
                <w:sz w:val="22"/>
                <w:szCs w:val="22"/>
                <w:shd w:val="clear" w:color="auto" w:fill="EAEEF3"/>
              </w:rPr>
              <w:t>E20_Objet_biologique</w:t>
            </w:r>
            <w:r>
              <w:t>) [certains de ces corps ont pu ensuite être conservés dans du plâtre]</w:t>
            </w:r>
          </w:p>
        </w:tc>
      </w:tr>
      <w:tr w:rsidR="00BF18CF" w14:paraId="0A64812E" w14:textId="77777777" w:rsidTr="00BF18CF">
        <w:tc>
          <w:tcPr>
            <w:tcW w:w="1857" w:type="dxa"/>
          </w:tcPr>
          <w:p w14:paraId="50A2B422"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3" w:type="dxa"/>
          </w:tcPr>
          <w:p w14:paraId="0CE56182" w14:textId="77777777" w:rsidR="00BF18CF" w:rsidRDefault="00E51347">
            <w:r>
              <w:t>P123(</w:t>
            </w:r>
            <w:proofErr w:type="gramStart"/>
            <w:r>
              <w:t>x,y</w:t>
            </w:r>
            <w:proofErr w:type="gramEnd"/>
            <w:r>
              <w:t>) ⇒ E81(x)</w:t>
            </w:r>
          </w:p>
          <w:p w14:paraId="56DA73F1" w14:textId="77777777" w:rsidR="00BF18CF" w:rsidRDefault="00E51347">
            <w:r>
              <w:t>P123(</w:t>
            </w:r>
            <w:proofErr w:type="gramStart"/>
            <w:r>
              <w:t>x,y</w:t>
            </w:r>
            <w:proofErr w:type="gramEnd"/>
            <w:r>
              <w:t>) ⇒ E18(y)</w:t>
            </w:r>
          </w:p>
          <w:p w14:paraId="159EDBD7" w14:textId="77777777" w:rsidR="00BF18CF" w:rsidRDefault="00E51347">
            <w:r>
              <w:t>P123(</w:t>
            </w:r>
            <w:proofErr w:type="gramStart"/>
            <w:r>
              <w:t>x,y</w:t>
            </w:r>
            <w:proofErr w:type="gramEnd"/>
            <w:r>
              <w:t>) ⇒ P92(x,y)</w:t>
            </w:r>
          </w:p>
        </w:tc>
      </w:tr>
      <w:tr w:rsidR="00BF18CF" w14:paraId="30F29A5B" w14:textId="77777777" w:rsidTr="00BF18CF">
        <w:tc>
          <w:tcPr>
            <w:tcW w:w="1857" w:type="dxa"/>
          </w:tcPr>
          <w:p w14:paraId="4CBC6C6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3" w:type="dxa"/>
          </w:tcPr>
          <w:p w14:paraId="7398333D" w14:textId="77777777" w:rsidR="00BF18CF" w:rsidRDefault="00BF18CF">
            <w:pPr>
              <w:pBdr>
                <w:top w:val="nil"/>
                <w:left w:val="nil"/>
                <w:bottom w:val="nil"/>
                <w:right w:val="nil"/>
                <w:between w:val="nil"/>
              </w:pBdr>
              <w:spacing w:before="36" w:after="36"/>
              <w:rPr>
                <w:color w:val="000000"/>
              </w:rPr>
            </w:pPr>
          </w:p>
        </w:tc>
      </w:tr>
      <w:tr w:rsidR="00BF18CF" w14:paraId="0DC71E64" w14:textId="77777777" w:rsidTr="00BF18CF">
        <w:tc>
          <w:tcPr>
            <w:tcW w:w="1857" w:type="dxa"/>
          </w:tcPr>
          <w:p w14:paraId="66185DD0" w14:textId="7A93B27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3" w:type="dxa"/>
          </w:tcPr>
          <w:p w14:paraId="4FD3DCB6" w14:textId="77777777" w:rsidR="00BF18CF" w:rsidRDefault="00BF18CF">
            <w:pPr>
              <w:pBdr>
                <w:top w:val="nil"/>
                <w:left w:val="nil"/>
                <w:bottom w:val="nil"/>
                <w:right w:val="nil"/>
                <w:between w:val="nil"/>
              </w:pBdr>
              <w:spacing w:before="36" w:after="36"/>
              <w:rPr>
                <w:color w:val="000000"/>
              </w:rPr>
            </w:pPr>
          </w:p>
        </w:tc>
      </w:tr>
      <w:tr w:rsidR="00BF18CF" w14:paraId="1EABF145" w14:textId="77777777" w:rsidTr="00BF18CF">
        <w:tc>
          <w:tcPr>
            <w:tcW w:w="1857" w:type="dxa"/>
          </w:tcPr>
          <w:p w14:paraId="2AE5A7D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3" w:type="dxa"/>
          </w:tcPr>
          <w:p w14:paraId="47659257" w14:textId="77777777" w:rsidR="00BF18CF" w:rsidRDefault="00BF18CF">
            <w:pPr>
              <w:pBdr>
                <w:top w:val="nil"/>
                <w:left w:val="nil"/>
                <w:bottom w:val="nil"/>
                <w:right w:val="nil"/>
                <w:between w:val="nil"/>
              </w:pBdr>
              <w:spacing w:before="36" w:after="36"/>
              <w:rPr>
                <w:color w:val="000000"/>
              </w:rPr>
            </w:pPr>
          </w:p>
        </w:tc>
      </w:tr>
    </w:tbl>
    <w:p w14:paraId="4553997E" w14:textId="77777777" w:rsidR="00BF18CF" w:rsidRDefault="00E51347">
      <w:pPr>
        <w:pStyle w:val="Heading3"/>
      </w:pPr>
      <w:bookmarkStart w:id="463" w:name="bookmark=id.35xuupr" w:colFirst="0" w:colLast="0"/>
      <w:bookmarkStart w:id="464" w:name="_Toc144360975"/>
      <w:bookmarkEnd w:id="463"/>
      <w:r>
        <w:t>P124 a transformé (a été transformé par)</w:t>
      </w:r>
      <w:bookmarkEnd w:id="464"/>
    </w:p>
    <w:tbl>
      <w:tblPr>
        <w:tblStyle w:val="affffff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7"/>
        <w:gridCol w:w="8833"/>
      </w:tblGrid>
      <w:tr w:rsidR="00BF18CF" w14:paraId="4084EE96" w14:textId="77777777" w:rsidTr="00BF18CF">
        <w:tc>
          <w:tcPr>
            <w:tcW w:w="1857" w:type="dxa"/>
          </w:tcPr>
          <w:p w14:paraId="33343DCE"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3" w:type="dxa"/>
          </w:tcPr>
          <w:p w14:paraId="7633E92A" w14:textId="77777777" w:rsidR="00BF18CF" w:rsidRDefault="00E51347">
            <w:r>
              <w:rPr>
                <w:rFonts w:ascii="Consolas" w:eastAsia="Consolas" w:hAnsi="Consolas" w:cs="Consolas"/>
                <w:sz w:val="22"/>
                <w:szCs w:val="22"/>
                <w:shd w:val="clear" w:color="auto" w:fill="EAEEF3"/>
              </w:rPr>
              <w:t>E81_Transformation</w:t>
            </w:r>
          </w:p>
        </w:tc>
      </w:tr>
      <w:tr w:rsidR="00BF18CF" w14:paraId="37FD1C9E" w14:textId="77777777" w:rsidTr="00BF18CF">
        <w:tc>
          <w:tcPr>
            <w:tcW w:w="1857" w:type="dxa"/>
          </w:tcPr>
          <w:p w14:paraId="46C1D3EC"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3" w:type="dxa"/>
          </w:tcPr>
          <w:p w14:paraId="14EBE000" w14:textId="77777777" w:rsidR="00BF18CF" w:rsidRDefault="00E51347">
            <w:r>
              <w:rPr>
                <w:rFonts w:ascii="Consolas" w:eastAsia="Consolas" w:hAnsi="Consolas" w:cs="Consolas"/>
                <w:sz w:val="22"/>
                <w:szCs w:val="22"/>
                <w:shd w:val="clear" w:color="auto" w:fill="EAEEF3"/>
              </w:rPr>
              <w:t>E18_Chose_matérielle</w:t>
            </w:r>
          </w:p>
        </w:tc>
      </w:tr>
      <w:tr w:rsidR="00BF18CF" w14:paraId="7D4225B8" w14:textId="77777777" w:rsidTr="00BF18CF">
        <w:tc>
          <w:tcPr>
            <w:tcW w:w="1857" w:type="dxa"/>
          </w:tcPr>
          <w:p w14:paraId="043FB13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3" w:type="dxa"/>
          </w:tcPr>
          <w:p w14:paraId="1A7E6054" w14:textId="77777777" w:rsidR="00BF18CF" w:rsidRDefault="00E51347">
            <w:r>
              <w:rPr>
                <w:rFonts w:ascii="Consolas" w:eastAsia="Consolas" w:hAnsi="Consolas" w:cs="Consolas"/>
                <w:sz w:val="22"/>
                <w:szCs w:val="22"/>
                <w:shd w:val="clear" w:color="auto" w:fill="EAEEF3"/>
              </w:rPr>
              <w:t>E64_Fin_d’existence</w:t>
            </w:r>
            <w:r>
              <w:t xml:space="preserve">. </w:t>
            </w:r>
            <w:r>
              <w:rPr>
                <w:rFonts w:ascii="Consolas" w:eastAsia="Consolas" w:hAnsi="Consolas" w:cs="Consolas"/>
                <w:sz w:val="22"/>
                <w:szCs w:val="22"/>
                <w:shd w:val="clear" w:color="auto" w:fill="EAEEF3"/>
              </w:rPr>
              <w:t xml:space="preserve">P93_a_mis_fin_à_l’existence_de (a_cessé_d’exister_par) </w:t>
            </w:r>
            <w:r>
              <w:t xml:space="preserve">: </w:t>
            </w:r>
            <w:r>
              <w:rPr>
                <w:rFonts w:ascii="Consolas" w:eastAsia="Consolas" w:hAnsi="Consolas" w:cs="Consolas"/>
                <w:sz w:val="22"/>
                <w:szCs w:val="22"/>
                <w:shd w:val="clear" w:color="auto" w:fill="EAEEF3"/>
              </w:rPr>
              <w:t>E77_Entité_persistante</w:t>
            </w:r>
          </w:p>
        </w:tc>
      </w:tr>
      <w:tr w:rsidR="00BF18CF" w14:paraId="41A581F3" w14:textId="77777777" w:rsidTr="00BF18CF">
        <w:tc>
          <w:tcPr>
            <w:tcW w:w="1857" w:type="dxa"/>
          </w:tcPr>
          <w:p w14:paraId="6DADEE5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3" w:type="dxa"/>
          </w:tcPr>
          <w:p w14:paraId="449C779C" w14:textId="77777777" w:rsidR="00BF18CF" w:rsidRDefault="00BF18CF">
            <w:pPr>
              <w:pBdr>
                <w:top w:val="nil"/>
                <w:left w:val="nil"/>
                <w:bottom w:val="nil"/>
                <w:right w:val="nil"/>
                <w:between w:val="nil"/>
              </w:pBdr>
              <w:spacing w:before="36" w:after="36"/>
              <w:rPr>
                <w:color w:val="000000"/>
              </w:rPr>
            </w:pPr>
          </w:p>
        </w:tc>
      </w:tr>
      <w:tr w:rsidR="00BF18CF" w14:paraId="04ABE0D2" w14:textId="77777777" w:rsidTr="00BF18CF">
        <w:tc>
          <w:tcPr>
            <w:tcW w:w="1857" w:type="dxa"/>
          </w:tcPr>
          <w:p w14:paraId="05771EC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3" w:type="dxa"/>
          </w:tcPr>
          <w:p w14:paraId="45E53194" w14:textId="77777777" w:rsidR="00BF18CF" w:rsidRDefault="00E51347">
            <w:proofErr w:type="gramStart"/>
            <w:r>
              <w:t>un</w:t>
            </w:r>
            <w:proofErr w:type="gramEnd"/>
            <w:r>
              <w:t xml:space="preserve"> à plusieurs, nécessaire (1,n:0,1)</w:t>
            </w:r>
          </w:p>
        </w:tc>
      </w:tr>
      <w:tr w:rsidR="00BF18CF" w14:paraId="34705F63" w14:textId="77777777" w:rsidTr="00BF18CF">
        <w:tc>
          <w:tcPr>
            <w:tcW w:w="1857" w:type="dxa"/>
          </w:tcPr>
          <w:p w14:paraId="50DC9AE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3" w:type="dxa"/>
          </w:tcPr>
          <w:p w14:paraId="3A2F55C0" w14:textId="77777777" w:rsidR="00BF18CF" w:rsidRDefault="00E51347">
            <w:r>
              <w:t xml:space="preserve">Cette propriété identifie la ou les instances de </w:t>
            </w:r>
            <w:r>
              <w:rPr>
                <w:rFonts w:ascii="Consolas" w:eastAsia="Consolas" w:hAnsi="Consolas" w:cs="Consolas"/>
                <w:sz w:val="22"/>
                <w:szCs w:val="22"/>
                <w:shd w:val="clear" w:color="auto" w:fill="EAEEF3"/>
              </w:rPr>
              <w:t>E18_Chose_matérielle</w:t>
            </w:r>
            <w:r>
              <w:t xml:space="preserve"> qui ont cessé d’exister à l’issue d’une instance de </w:t>
            </w:r>
            <w:r>
              <w:rPr>
                <w:rFonts w:ascii="Consolas" w:eastAsia="Consolas" w:hAnsi="Consolas" w:cs="Consolas"/>
                <w:sz w:val="22"/>
                <w:szCs w:val="22"/>
                <w:shd w:val="clear" w:color="auto" w:fill="EAEEF3"/>
              </w:rPr>
              <w:t>E81_Transformation</w:t>
            </w:r>
            <w:r>
              <w:t>.</w:t>
            </w:r>
          </w:p>
          <w:p w14:paraId="44F98BAE" w14:textId="77777777" w:rsidR="00BF18CF" w:rsidRDefault="00E51347">
            <w:r>
              <w:lastRenderedPageBreak/>
              <w:t xml:space="preserve">L’élément issu de la transformation a mis fin à l’existence de l’élément qui a été transformé et le remplace. La continuité entre les deux éléments, l’ancien et le nouveau, est exprimée par les liens vers l’instance commune de </w:t>
            </w:r>
            <w:r>
              <w:rPr>
                <w:rFonts w:ascii="Consolas" w:eastAsia="Consolas" w:hAnsi="Consolas" w:cs="Consolas"/>
                <w:sz w:val="22"/>
                <w:szCs w:val="22"/>
                <w:shd w:val="clear" w:color="auto" w:fill="EAEEF3"/>
              </w:rPr>
              <w:t>E81_Transformation</w:t>
            </w:r>
            <w:r>
              <w:t>.</w:t>
            </w:r>
          </w:p>
        </w:tc>
      </w:tr>
      <w:tr w:rsidR="00BF18CF" w14:paraId="6B1D5DD9" w14:textId="77777777" w:rsidTr="00BF18CF">
        <w:tc>
          <w:tcPr>
            <w:tcW w:w="1857" w:type="dxa"/>
          </w:tcPr>
          <w:p w14:paraId="56083640"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33" w:type="dxa"/>
          </w:tcPr>
          <w:p w14:paraId="14161490" w14:textId="77777777" w:rsidR="00BF18CF" w:rsidRDefault="00E51347">
            <w:pPr>
              <w:numPr>
                <w:ilvl w:val="0"/>
                <w:numId w:val="19"/>
              </w:numPr>
            </w:pPr>
            <w:r>
              <w:t>La transformation de la loggia vénitienne d’Héraklion en hôtel de ville (</w:t>
            </w:r>
            <w:r>
              <w:rPr>
                <w:rFonts w:ascii="Consolas" w:eastAsia="Consolas" w:hAnsi="Consolas" w:cs="Consolas"/>
                <w:sz w:val="22"/>
                <w:szCs w:val="22"/>
                <w:shd w:val="clear" w:color="auto" w:fill="EAEEF3"/>
              </w:rPr>
              <w:t>E81_Transformation</w:t>
            </w:r>
            <w:r>
              <w:t xml:space="preserve">, </w:t>
            </w:r>
            <w:r>
              <w:rPr>
                <w:rFonts w:ascii="Consolas" w:eastAsia="Consolas" w:hAnsi="Consolas" w:cs="Consolas"/>
                <w:sz w:val="22"/>
                <w:szCs w:val="22"/>
                <w:shd w:val="clear" w:color="auto" w:fill="EAEEF3"/>
              </w:rPr>
              <w:t>E12_Production</w:t>
            </w:r>
            <w:r>
              <w:t>) a transformé (</w:t>
            </w:r>
            <w:r>
              <w:rPr>
                <w:rFonts w:ascii="Consolas" w:eastAsia="Consolas" w:hAnsi="Consolas" w:cs="Consolas"/>
                <w:sz w:val="22"/>
                <w:szCs w:val="22"/>
                <w:shd w:val="clear" w:color="auto" w:fill="EAEEF3"/>
              </w:rPr>
              <w:t>P124_a_transformé</w:t>
            </w:r>
            <w:r>
              <w:t>) la loggia vénitienne d’Héraklion (</w:t>
            </w:r>
            <w:r>
              <w:rPr>
                <w:rFonts w:ascii="Consolas" w:eastAsia="Consolas" w:hAnsi="Consolas" w:cs="Consolas"/>
                <w:sz w:val="22"/>
                <w:szCs w:val="22"/>
                <w:shd w:val="clear" w:color="auto" w:fill="EAEEF3"/>
              </w:rPr>
              <w:t>E24_Chose_matérielle_élaborée_par_l’humain</w:t>
            </w:r>
            <w:r>
              <w:t>) (Municipalité d’Héraklion, 2020)</w:t>
            </w:r>
          </w:p>
          <w:p w14:paraId="2E1F8D97" w14:textId="77777777" w:rsidR="00BF18CF" w:rsidRDefault="00E51347">
            <w:pPr>
              <w:numPr>
                <w:ilvl w:val="0"/>
                <w:numId w:val="19"/>
              </w:numPr>
            </w:pPr>
            <w:r>
              <w:t>La momification de Toutânkhamon (</w:t>
            </w:r>
            <w:r>
              <w:rPr>
                <w:rFonts w:ascii="Consolas" w:eastAsia="Consolas" w:hAnsi="Consolas" w:cs="Consolas"/>
                <w:sz w:val="22"/>
                <w:szCs w:val="22"/>
                <w:shd w:val="clear" w:color="auto" w:fill="EAEEF3"/>
              </w:rPr>
              <w:t>E81_Transformation</w:t>
            </w:r>
            <w:r>
              <w:t>) a transformé (</w:t>
            </w:r>
            <w:r>
              <w:rPr>
                <w:rFonts w:ascii="Consolas" w:eastAsia="Consolas" w:hAnsi="Consolas" w:cs="Consolas"/>
                <w:sz w:val="22"/>
                <w:szCs w:val="22"/>
                <w:shd w:val="clear" w:color="auto" w:fill="EAEEF3"/>
              </w:rPr>
              <w:t>P124_a_transformé</w:t>
            </w:r>
            <w:r>
              <w:t>) le pharaon Toutânkhamon décédé (</w:t>
            </w:r>
            <w:r>
              <w:rPr>
                <w:rFonts w:ascii="Consolas" w:eastAsia="Consolas" w:hAnsi="Consolas" w:cs="Consolas"/>
                <w:sz w:val="22"/>
                <w:szCs w:val="22"/>
                <w:shd w:val="clear" w:color="auto" w:fill="EAEEF3"/>
              </w:rPr>
              <w:t>E21_Personne</w:t>
            </w:r>
            <w:r>
              <w:t>) (Carter et Mace 1977)</w:t>
            </w:r>
          </w:p>
          <w:p w14:paraId="0B8792F4" w14:textId="77777777" w:rsidR="00BF18CF" w:rsidRDefault="00E51347">
            <w:pPr>
              <w:numPr>
                <w:ilvl w:val="0"/>
                <w:numId w:val="19"/>
              </w:numPr>
            </w:pPr>
            <w:r>
              <w:t>La mort, la carbonisation et la pétrification de certains habitants de Pompéi en 79 EC provoquées par la chaleur intense d’un nuage pyroclastique et par les cendres provenant de l’éruption du mont Vésuve (</w:t>
            </w:r>
            <w:r>
              <w:rPr>
                <w:rFonts w:ascii="Consolas" w:eastAsia="Consolas" w:hAnsi="Consolas" w:cs="Consolas"/>
                <w:sz w:val="22"/>
                <w:szCs w:val="22"/>
                <w:shd w:val="clear" w:color="auto" w:fill="EAEEF3"/>
              </w:rPr>
              <w:t>E69_Mort</w:t>
            </w:r>
            <w:r>
              <w:t xml:space="preserve">, </w:t>
            </w:r>
            <w:r>
              <w:rPr>
                <w:rFonts w:ascii="Consolas" w:eastAsia="Consolas" w:hAnsi="Consolas" w:cs="Consolas"/>
                <w:sz w:val="22"/>
                <w:szCs w:val="22"/>
                <w:shd w:val="clear" w:color="auto" w:fill="EAEEF3"/>
              </w:rPr>
              <w:t>E81_Transformation</w:t>
            </w:r>
            <w:r>
              <w:t>) a transformé (</w:t>
            </w:r>
            <w:r>
              <w:rPr>
                <w:rFonts w:ascii="Consolas" w:eastAsia="Consolas" w:hAnsi="Consolas" w:cs="Consolas"/>
                <w:sz w:val="22"/>
                <w:szCs w:val="22"/>
                <w:shd w:val="clear" w:color="auto" w:fill="EAEEF3"/>
              </w:rPr>
              <w:t>P124_a_transformé</w:t>
            </w:r>
            <w:r>
              <w:t>) certains habitants de Pompéi (</w:t>
            </w:r>
            <w:r>
              <w:rPr>
                <w:rFonts w:ascii="Consolas" w:eastAsia="Consolas" w:hAnsi="Consolas" w:cs="Consolas"/>
                <w:sz w:val="22"/>
                <w:szCs w:val="22"/>
                <w:shd w:val="clear" w:color="auto" w:fill="EAEEF3"/>
              </w:rPr>
              <w:t>E21_Personne</w:t>
            </w:r>
            <w:r>
              <w:t>) [ET : a été la mort de (</w:t>
            </w:r>
            <w:r>
              <w:rPr>
                <w:rFonts w:ascii="Consolas" w:eastAsia="Consolas" w:hAnsi="Consolas" w:cs="Consolas"/>
                <w:sz w:val="22"/>
                <w:szCs w:val="22"/>
                <w:shd w:val="clear" w:color="auto" w:fill="EAEEF3"/>
              </w:rPr>
              <w:t>P100_a_été_la_mort_de</w:t>
            </w:r>
            <w:r>
              <w:t>) certains habitants de Pompéi (</w:t>
            </w:r>
            <w:r>
              <w:rPr>
                <w:rFonts w:ascii="Consolas" w:eastAsia="Consolas" w:hAnsi="Consolas" w:cs="Consolas"/>
                <w:sz w:val="22"/>
                <w:szCs w:val="22"/>
                <w:shd w:val="clear" w:color="auto" w:fill="EAEEF3"/>
              </w:rPr>
              <w:t>E21_Personne</w:t>
            </w:r>
            <w:r>
              <w:t>)]</w:t>
            </w:r>
          </w:p>
        </w:tc>
      </w:tr>
      <w:tr w:rsidR="00BF18CF" w14:paraId="27223122" w14:textId="77777777" w:rsidTr="00BF18CF">
        <w:tc>
          <w:tcPr>
            <w:tcW w:w="1857" w:type="dxa"/>
          </w:tcPr>
          <w:p w14:paraId="60A64B6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3" w:type="dxa"/>
          </w:tcPr>
          <w:p w14:paraId="66A7E577" w14:textId="77777777" w:rsidR="00BF18CF" w:rsidRDefault="00E51347">
            <w:r>
              <w:t>P124(</w:t>
            </w:r>
            <w:proofErr w:type="gramStart"/>
            <w:r>
              <w:t>x,y</w:t>
            </w:r>
            <w:proofErr w:type="gramEnd"/>
            <w:r>
              <w:t>) ⇒ E81(x)</w:t>
            </w:r>
          </w:p>
          <w:p w14:paraId="521AFCC4" w14:textId="77777777" w:rsidR="00BF18CF" w:rsidRDefault="00E51347">
            <w:r>
              <w:t>P124(</w:t>
            </w:r>
            <w:proofErr w:type="gramStart"/>
            <w:r>
              <w:t>x,y</w:t>
            </w:r>
            <w:proofErr w:type="gramEnd"/>
            <w:r>
              <w:t>) ⇒ E18(y)</w:t>
            </w:r>
          </w:p>
          <w:p w14:paraId="705FD2AD" w14:textId="77777777" w:rsidR="00BF18CF" w:rsidRDefault="00E51347">
            <w:r>
              <w:t>P124(</w:t>
            </w:r>
            <w:proofErr w:type="gramStart"/>
            <w:r>
              <w:t>x,y</w:t>
            </w:r>
            <w:proofErr w:type="gramEnd"/>
            <w:r>
              <w:t>) ⇒ P93(x,y)</w:t>
            </w:r>
          </w:p>
        </w:tc>
      </w:tr>
      <w:tr w:rsidR="00BF18CF" w14:paraId="4C04B6D6" w14:textId="77777777" w:rsidTr="00BF18CF">
        <w:tc>
          <w:tcPr>
            <w:tcW w:w="1857" w:type="dxa"/>
          </w:tcPr>
          <w:p w14:paraId="65C3A99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3" w:type="dxa"/>
          </w:tcPr>
          <w:p w14:paraId="1E4EB1B9" w14:textId="77777777" w:rsidR="00BF18CF" w:rsidRDefault="00BF18CF">
            <w:pPr>
              <w:pBdr>
                <w:top w:val="nil"/>
                <w:left w:val="nil"/>
                <w:bottom w:val="nil"/>
                <w:right w:val="nil"/>
                <w:between w:val="nil"/>
              </w:pBdr>
              <w:spacing w:before="36" w:after="36"/>
              <w:rPr>
                <w:color w:val="000000"/>
              </w:rPr>
            </w:pPr>
          </w:p>
        </w:tc>
      </w:tr>
      <w:tr w:rsidR="00BF18CF" w14:paraId="453EAC63" w14:textId="77777777" w:rsidTr="00BF18CF">
        <w:tc>
          <w:tcPr>
            <w:tcW w:w="1857" w:type="dxa"/>
          </w:tcPr>
          <w:p w14:paraId="6BE70528" w14:textId="0878F50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3" w:type="dxa"/>
          </w:tcPr>
          <w:p w14:paraId="18BDD26F" w14:textId="77777777" w:rsidR="00BF18CF" w:rsidRDefault="00BF18CF">
            <w:pPr>
              <w:pBdr>
                <w:top w:val="nil"/>
                <w:left w:val="nil"/>
                <w:bottom w:val="nil"/>
                <w:right w:val="nil"/>
                <w:between w:val="nil"/>
              </w:pBdr>
              <w:spacing w:before="36" w:after="36"/>
              <w:rPr>
                <w:color w:val="000000"/>
              </w:rPr>
            </w:pPr>
          </w:p>
        </w:tc>
      </w:tr>
      <w:tr w:rsidR="00BF18CF" w14:paraId="194A24AC" w14:textId="77777777" w:rsidTr="00BF18CF">
        <w:tc>
          <w:tcPr>
            <w:tcW w:w="1857" w:type="dxa"/>
          </w:tcPr>
          <w:p w14:paraId="1068376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3" w:type="dxa"/>
          </w:tcPr>
          <w:p w14:paraId="0922DB77" w14:textId="77777777" w:rsidR="00BF18CF" w:rsidRDefault="00BF18CF">
            <w:pPr>
              <w:pBdr>
                <w:top w:val="nil"/>
                <w:left w:val="nil"/>
                <w:bottom w:val="nil"/>
                <w:right w:val="nil"/>
                <w:between w:val="nil"/>
              </w:pBdr>
              <w:spacing w:before="36" w:after="36"/>
              <w:rPr>
                <w:color w:val="000000"/>
              </w:rPr>
            </w:pPr>
          </w:p>
        </w:tc>
      </w:tr>
    </w:tbl>
    <w:p w14:paraId="4C6D960D" w14:textId="77777777" w:rsidR="00BF18CF" w:rsidRDefault="00E51347">
      <w:pPr>
        <w:pStyle w:val="Heading3"/>
      </w:pPr>
      <w:bookmarkStart w:id="465" w:name="bookmark=id.1l354xk" w:colFirst="0" w:colLast="0"/>
      <w:bookmarkStart w:id="466" w:name="_Toc144360976"/>
      <w:bookmarkEnd w:id="465"/>
      <w:r>
        <w:t>P125 a mobilisé l’objet du type (a été le type d’objet employé pour)</w:t>
      </w:r>
      <w:bookmarkEnd w:id="466"/>
    </w:p>
    <w:tbl>
      <w:tblPr>
        <w:tblStyle w:val="affffff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0"/>
        <w:gridCol w:w="8830"/>
      </w:tblGrid>
      <w:tr w:rsidR="00BF18CF" w14:paraId="592D074D" w14:textId="77777777" w:rsidTr="00BF18CF">
        <w:tc>
          <w:tcPr>
            <w:tcW w:w="1860" w:type="dxa"/>
          </w:tcPr>
          <w:p w14:paraId="23225A1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0" w:type="dxa"/>
          </w:tcPr>
          <w:p w14:paraId="77E64D36" w14:textId="77777777" w:rsidR="00BF18CF" w:rsidRDefault="00E51347">
            <w:r>
              <w:rPr>
                <w:rFonts w:ascii="Consolas" w:eastAsia="Consolas" w:hAnsi="Consolas" w:cs="Consolas"/>
                <w:sz w:val="22"/>
                <w:szCs w:val="22"/>
                <w:shd w:val="clear" w:color="auto" w:fill="EAEEF3"/>
              </w:rPr>
              <w:t>E7_Activité</w:t>
            </w:r>
          </w:p>
        </w:tc>
      </w:tr>
      <w:tr w:rsidR="00BF18CF" w14:paraId="5B6CD5F3" w14:textId="77777777" w:rsidTr="00BF18CF">
        <w:tc>
          <w:tcPr>
            <w:tcW w:w="1860" w:type="dxa"/>
          </w:tcPr>
          <w:p w14:paraId="2F7E0A6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0" w:type="dxa"/>
          </w:tcPr>
          <w:p w14:paraId="116143A5" w14:textId="77777777" w:rsidR="00BF18CF" w:rsidRDefault="00E51347">
            <w:r>
              <w:rPr>
                <w:rFonts w:ascii="Consolas" w:eastAsia="Consolas" w:hAnsi="Consolas" w:cs="Consolas"/>
                <w:sz w:val="22"/>
                <w:szCs w:val="22"/>
                <w:shd w:val="clear" w:color="auto" w:fill="EAEEF3"/>
              </w:rPr>
              <w:t>E55_Type</w:t>
            </w:r>
          </w:p>
        </w:tc>
      </w:tr>
      <w:tr w:rsidR="00BF18CF" w14:paraId="04B2F937" w14:textId="77777777" w:rsidTr="00BF18CF">
        <w:tc>
          <w:tcPr>
            <w:tcW w:w="1860" w:type="dxa"/>
          </w:tcPr>
          <w:p w14:paraId="7958B047"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0" w:type="dxa"/>
          </w:tcPr>
          <w:p w14:paraId="5A6F8E4D" w14:textId="77777777" w:rsidR="00BF18CF" w:rsidRDefault="00E51347">
            <w:r>
              <w:rPr>
                <w:rFonts w:ascii="Consolas" w:eastAsia="Consolas" w:hAnsi="Consolas" w:cs="Consolas"/>
                <w:sz w:val="22"/>
                <w:szCs w:val="22"/>
                <w:shd w:val="clear" w:color="auto" w:fill="EAEEF3"/>
              </w:rPr>
              <w:t>E7_</w:t>
            </w:r>
            <w:proofErr w:type="gramStart"/>
            <w:r>
              <w:rPr>
                <w:rFonts w:ascii="Consolas" w:eastAsia="Consolas" w:hAnsi="Consolas" w:cs="Consolas"/>
                <w:sz w:val="22"/>
                <w:szCs w:val="22"/>
                <w:shd w:val="clear" w:color="auto" w:fill="EAEEF3"/>
              </w:rPr>
              <w:t>Activité</w:t>
            </w:r>
            <w:r>
              <w:t xml:space="preserve"> .</w:t>
            </w:r>
            <w:proofErr w:type="gramEnd"/>
            <w:r>
              <w:t xml:space="preserve"> </w:t>
            </w:r>
            <w:r>
              <w:rPr>
                <w:rFonts w:ascii="Consolas" w:eastAsia="Consolas" w:hAnsi="Consolas" w:cs="Consolas"/>
                <w:sz w:val="22"/>
                <w:szCs w:val="22"/>
                <w:shd w:val="clear" w:color="auto" w:fill="EAEEF3"/>
              </w:rPr>
              <w:t>P32_a_mobilisé_comme_technique_générale (a_été_la_technique_générale_mise_en_œuvre_dans)</w:t>
            </w:r>
            <w:r>
              <w:t xml:space="preserve"> : </w:t>
            </w:r>
            <w:r>
              <w:rPr>
                <w:rFonts w:ascii="Consolas" w:eastAsia="Consolas" w:hAnsi="Consolas" w:cs="Consolas"/>
                <w:sz w:val="22"/>
                <w:szCs w:val="22"/>
                <w:shd w:val="clear" w:color="auto" w:fill="EAEEF3"/>
              </w:rPr>
              <w:t>E55_Type</w:t>
            </w:r>
          </w:p>
        </w:tc>
      </w:tr>
      <w:tr w:rsidR="00BF18CF" w14:paraId="4CE41B0A" w14:textId="77777777" w:rsidTr="00BF18CF">
        <w:tc>
          <w:tcPr>
            <w:tcW w:w="1860" w:type="dxa"/>
          </w:tcPr>
          <w:p w14:paraId="610F7344"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0" w:type="dxa"/>
          </w:tcPr>
          <w:p w14:paraId="28C5F210" w14:textId="77777777" w:rsidR="00BF18CF" w:rsidRDefault="00BF18CF">
            <w:pPr>
              <w:pBdr>
                <w:top w:val="nil"/>
                <w:left w:val="nil"/>
                <w:bottom w:val="nil"/>
                <w:right w:val="nil"/>
                <w:between w:val="nil"/>
              </w:pBdr>
              <w:spacing w:before="36" w:after="36"/>
              <w:rPr>
                <w:color w:val="000000"/>
              </w:rPr>
            </w:pPr>
          </w:p>
        </w:tc>
      </w:tr>
      <w:tr w:rsidR="00BF18CF" w14:paraId="3CB06C53" w14:textId="77777777" w:rsidTr="00BF18CF">
        <w:tc>
          <w:tcPr>
            <w:tcW w:w="1860" w:type="dxa"/>
          </w:tcPr>
          <w:p w14:paraId="65EE368E"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0" w:type="dxa"/>
          </w:tcPr>
          <w:p w14:paraId="7EAFE350" w14:textId="77777777" w:rsidR="00BF18CF" w:rsidRDefault="00E51347">
            <w:proofErr w:type="gramStart"/>
            <w:r>
              <w:t>plusieurs</w:t>
            </w:r>
            <w:proofErr w:type="gramEnd"/>
            <w:r>
              <w:t xml:space="preserve"> à plusieurs (0,n:0,n)</w:t>
            </w:r>
          </w:p>
        </w:tc>
      </w:tr>
      <w:tr w:rsidR="00BF18CF" w14:paraId="752DD553" w14:textId="77777777" w:rsidTr="00BF18CF">
        <w:tc>
          <w:tcPr>
            <w:tcW w:w="1860" w:type="dxa"/>
          </w:tcPr>
          <w:p w14:paraId="5738742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0" w:type="dxa"/>
          </w:tcPr>
          <w:p w14:paraId="2BCD11BA" w14:textId="77777777" w:rsidR="00BF18CF" w:rsidRDefault="00E51347">
            <w:r>
              <w:t xml:space="preserve">Cette propriété associe une instance de </w:t>
            </w:r>
            <w:r>
              <w:rPr>
                <w:rFonts w:ascii="Consolas" w:eastAsia="Consolas" w:hAnsi="Consolas" w:cs="Consolas"/>
                <w:sz w:val="22"/>
                <w:szCs w:val="22"/>
                <w:shd w:val="clear" w:color="auto" w:fill="EAEEF3"/>
              </w:rPr>
              <w:t>E7_Activité</w:t>
            </w:r>
            <w:r>
              <w:t xml:space="preserve"> à une instance de </w:t>
            </w:r>
            <w:r>
              <w:rPr>
                <w:rFonts w:ascii="Consolas" w:eastAsia="Consolas" w:hAnsi="Consolas" w:cs="Consolas"/>
                <w:sz w:val="22"/>
                <w:szCs w:val="22"/>
                <w:shd w:val="clear" w:color="auto" w:fill="EAEEF3"/>
              </w:rPr>
              <w:t>E55_Type</w:t>
            </w:r>
            <w:r>
              <w:t xml:space="preserve">. </w:t>
            </w:r>
            <w:r>
              <w:rPr>
                <w:rFonts w:ascii="Consolas" w:eastAsia="Consolas" w:hAnsi="Consolas" w:cs="Consolas"/>
                <w:sz w:val="22"/>
                <w:szCs w:val="22"/>
                <w:shd w:val="clear" w:color="auto" w:fill="EAEEF3"/>
              </w:rPr>
              <w:t>P125_a_mobilisé_l'objet_du_type (a_été_le_type_d’objet_employé_pour)</w:t>
            </w:r>
            <w:r>
              <w:t xml:space="preserve"> est utilisée pour classifier, avec une instance de </w:t>
            </w:r>
            <w:r>
              <w:rPr>
                <w:rFonts w:ascii="Consolas" w:eastAsia="Consolas" w:hAnsi="Consolas" w:cs="Consolas"/>
                <w:sz w:val="22"/>
                <w:szCs w:val="22"/>
                <w:shd w:val="clear" w:color="auto" w:fill="EAEEF3"/>
              </w:rPr>
              <w:t>E55_Type</w:t>
            </w:r>
            <w:r>
              <w:t xml:space="preserve">, une instance de </w:t>
            </w:r>
            <w:r>
              <w:rPr>
                <w:rFonts w:ascii="Consolas" w:eastAsia="Consolas" w:hAnsi="Consolas" w:cs="Consolas"/>
                <w:sz w:val="22"/>
                <w:szCs w:val="22"/>
                <w:shd w:val="clear" w:color="auto" w:fill="EAEEF3"/>
              </w:rPr>
              <w:t>E70_Chose</w:t>
            </w:r>
            <w:r>
              <w:t xml:space="preserve"> utilisée dans une instance de </w:t>
            </w:r>
            <w:r>
              <w:rPr>
                <w:rFonts w:ascii="Consolas" w:eastAsia="Consolas" w:hAnsi="Consolas" w:cs="Consolas"/>
                <w:sz w:val="22"/>
                <w:szCs w:val="22"/>
                <w:shd w:val="clear" w:color="auto" w:fill="EAEEF3"/>
              </w:rPr>
              <w:t>E7_Activité</w:t>
            </w:r>
            <w:r>
              <w:t xml:space="preserve"> lorsque la nature spécifique de cette </w:t>
            </w:r>
            <w:r>
              <w:lastRenderedPageBreak/>
              <w:t xml:space="preserve">instance de </w:t>
            </w:r>
            <w:r>
              <w:rPr>
                <w:rFonts w:ascii="Consolas" w:eastAsia="Consolas" w:hAnsi="Consolas" w:cs="Consolas"/>
                <w:sz w:val="22"/>
                <w:szCs w:val="22"/>
                <w:shd w:val="clear" w:color="auto" w:fill="EAEEF3"/>
              </w:rPr>
              <w:t>E70_Chose</w:t>
            </w:r>
            <w:r>
              <w:t xml:space="preserve"> ne présente pas d’intérêt ou est inconnue, comme l'utilisation d</w:t>
            </w:r>
            <w:proofErr w:type="gramStart"/>
            <w:r>
              <w:t>'«</w:t>
            </w:r>
            <w:proofErr w:type="gramEnd"/>
            <w:r>
              <w:t xml:space="preserve"> un marteau ».</w:t>
            </w:r>
          </w:p>
        </w:tc>
      </w:tr>
      <w:tr w:rsidR="00BF18CF" w14:paraId="60AE153C" w14:textId="77777777" w:rsidTr="00BF18CF">
        <w:tc>
          <w:tcPr>
            <w:tcW w:w="1860" w:type="dxa"/>
          </w:tcPr>
          <w:p w14:paraId="7A5DB94D"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30" w:type="dxa"/>
          </w:tcPr>
          <w:p w14:paraId="789AAB64" w14:textId="77777777" w:rsidR="00BF18CF" w:rsidRDefault="00E51347">
            <w:pPr>
              <w:numPr>
                <w:ilvl w:val="0"/>
                <w:numId w:val="19"/>
              </w:numPr>
            </w:pPr>
            <w:r>
              <w:t>À la bataille d’Azincourt (</w:t>
            </w:r>
            <w:r>
              <w:rPr>
                <w:rFonts w:ascii="Consolas" w:eastAsia="Consolas" w:hAnsi="Consolas" w:cs="Consolas"/>
                <w:sz w:val="22"/>
                <w:szCs w:val="22"/>
                <w:shd w:val="clear" w:color="auto" w:fill="EAEEF3"/>
              </w:rPr>
              <w:t>E7_Activité</w:t>
            </w:r>
            <w:r>
              <w:t>), les archers anglais ont mobilisé les objets du type (</w:t>
            </w:r>
            <w:r>
              <w:rPr>
                <w:rFonts w:ascii="Consolas" w:eastAsia="Consolas" w:hAnsi="Consolas" w:cs="Consolas"/>
                <w:sz w:val="22"/>
                <w:szCs w:val="22"/>
                <w:shd w:val="clear" w:color="auto" w:fill="EAEEF3"/>
              </w:rPr>
              <w:t>P125_a_mobilisé_l'objet_du_type</w:t>
            </w:r>
            <w:r>
              <w:t>) « arc long » (</w:t>
            </w:r>
            <w:r>
              <w:rPr>
                <w:rFonts w:ascii="Consolas" w:eastAsia="Consolas" w:hAnsi="Consolas" w:cs="Consolas"/>
                <w:sz w:val="22"/>
                <w:szCs w:val="22"/>
                <w:shd w:val="clear" w:color="auto" w:fill="EAEEF3"/>
              </w:rPr>
              <w:t>E55_Type</w:t>
            </w:r>
            <w:r>
              <w:t>) (Curry, 2015)</w:t>
            </w:r>
          </w:p>
        </w:tc>
      </w:tr>
      <w:tr w:rsidR="00BF18CF" w14:paraId="3E463524" w14:textId="77777777" w:rsidTr="00BF18CF">
        <w:tc>
          <w:tcPr>
            <w:tcW w:w="1860" w:type="dxa"/>
          </w:tcPr>
          <w:p w14:paraId="11718D05"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0" w:type="dxa"/>
          </w:tcPr>
          <w:p w14:paraId="4C3BB3B6" w14:textId="77777777" w:rsidR="00BF18CF" w:rsidRDefault="00E51347">
            <w:r>
              <w:t>P125(</w:t>
            </w:r>
            <w:proofErr w:type="gramStart"/>
            <w:r>
              <w:t>x,y</w:t>
            </w:r>
            <w:proofErr w:type="gramEnd"/>
            <w:r>
              <w:t>) ⇒ E7(x)</w:t>
            </w:r>
          </w:p>
          <w:p w14:paraId="296A1E1E" w14:textId="77777777" w:rsidR="00BF18CF" w:rsidRDefault="00E51347">
            <w:r>
              <w:t>P125(</w:t>
            </w:r>
            <w:proofErr w:type="gramStart"/>
            <w:r>
              <w:t>x,y</w:t>
            </w:r>
            <w:proofErr w:type="gramEnd"/>
            <w:r>
              <w:t>) ⇒ E55(y)</w:t>
            </w:r>
          </w:p>
          <w:p w14:paraId="671225EF" w14:textId="77777777" w:rsidR="00BF18CF" w:rsidRDefault="00E51347">
            <w:r>
              <w:t>P125(</w:t>
            </w:r>
            <w:proofErr w:type="gramStart"/>
            <w:r>
              <w:t>x,y</w:t>
            </w:r>
            <w:proofErr w:type="gramEnd"/>
            <w:r>
              <w:t>) ⇔ (∃z) [E70(z) ∧ P16(x,z) ∧ P2(z,y)]</w:t>
            </w:r>
          </w:p>
        </w:tc>
      </w:tr>
      <w:tr w:rsidR="00BF18CF" w14:paraId="79A11ADC" w14:textId="77777777" w:rsidTr="00BF18CF">
        <w:tc>
          <w:tcPr>
            <w:tcW w:w="1860" w:type="dxa"/>
          </w:tcPr>
          <w:p w14:paraId="26716E7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0" w:type="dxa"/>
          </w:tcPr>
          <w:p w14:paraId="68A76A2C" w14:textId="77777777" w:rsidR="00BF18CF" w:rsidRDefault="00BF18CF">
            <w:pPr>
              <w:pBdr>
                <w:top w:val="nil"/>
                <w:left w:val="nil"/>
                <w:bottom w:val="nil"/>
                <w:right w:val="nil"/>
                <w:between w:val="nil"/>
              </w:pBdr>
              <w:spacing w:before="36" w:after="36"/>
              <w:rPr>
                <w:color w:val="000000"/>
              </w:rPr>
            </w:pPr>
          </w:p>
        </w:tc>
      </w:tr>
      <w:tr w:rsidR="00BF18CF" w14:paraId="0609F03D" w14:textId="77777777" w:rsidTr="00BF18CF">
        <w:tc>
          <w:tcPr>
            <w:tcW w:w="1860" w:type="dxa"/>
          </w:tcPr>
          <w:p w14:paraId="349053F2" w14:textId="5C5130C6"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0" w:type="dxa"/>
          </w:tcPr>
          <w:p w14:paraId="1FF145A8" w14:textId="77777777" w:rsidR="00BF18CF" w:rsidRDefault="00BF18CF">
            <w:pPr>
              <w:pBdr>
                <w:top w:val="nil"/>
                <w:left w:val="nil"/>
                <w:bottom w:val="nil"/>
                <w:right w:val="nil"/>
                <w:between w:val="nil"/>
              </w:pBdr>
              <w:spacing w:before="36" w:after="36"/>
              <w:rPr>
                <w:color w:val="000000"/>
              </w:rPr>
            </w:pPr>
          </w:p>
        </w:tc>
      </w:tr>
      <w:tr w:rsidR="00BF18CF" w14:paraId="27212FB2" w14:textId="77777777" w:rsidTr="00BF18CF">
        <w:tc>
          <w:tcPr>
            <w:tcW w:w="1860" w:type="dxa"/>
          </w:tcPr>
          <w:p w14:paraId="4651FC1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0" w:type="dxa"/>
          </w:tcPr>
          <w:p w14:paraId="52411DCD" w14:textId="77777777" w:rsidR="00BF18CF" w:rsidRDefault="00BF18CF">
            <w:pPr>
              <w:pBdr>
                <w:top w:val="nil"/>
                <w:left w:val="nil"/>
                <w:bottom w:val="nil"/>
                <w:right w:val="nil"/>
                <w:between w:val="nil"/>
              </w:pBdr>
              <w:spacing w:before="36" w:after="36"/>
              <w:rPr>
                <w:color w:val="000000"/>
              </w:rPr>
            </w:pPr>
          </w:p>
        </w:tc>
      </w:tr>
    </w:tbl>
    <w:p w14:paraId="3F2F7A8F" w14:textId="77777777" w:rsidR="00BF18CF" w:rsidRDefault="00E51347">
      <w:pPr>
        <w:pStyle w:val="Heading3"/>
      </w:pPr>
      <w:bookmarkStart w:id="467" w:name="bookmark=id.452snld" w:colFirst="0" w:colLast="0"/>
      <w:bookmarkStart w:id="468" w:name="_Toc144360977"/>
      <w:bookmarkEnd w:id="467"/>
      <w:r>
        <w:t>P126 a employé (a été employé dans)</w:t>
      </w:r>
      <w:bookmarkEnd w:id="468"/>
    </w:p>
    <w:tbl>
      <w:tblPr>
        <w:tblStyle w:val="afffffff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4"/>
        <w:gridCol w:w="8786"/>
      </w:tblGrid>
      <w:tr w:rsidR="00BF18CF" w14:paraId="013D9F62" w14:textId="77777777" w:rsidTr="00BF18CF">
        <w:tc>
          <w:tcPr>
            <w:tcW w:w="1904" w:type="dxa"/>
          </w:tcPr>
          <w:p w14:paraId="1B7D90F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86" w:type="dxa"/>
          </w:tcPr>
          <w:p w14:paraId="3B2E7B51" w14:textId="77777777" w:rsidR="00BF18CF" w:rsidRDefault="00E51347">
            <w:r>
              <w:rPr>
                <w:rFonts w:ascii="Consolas" w:eastAsia="Consolas" w:hAnsi="Consolas" w:cs="Consolas"/>
                <w:sz w:val="22"/>
                <w:szCs w:val="22"/>
                <w:shd w:val="clear" w:color="auto" w:fill="EAEEF3"/>
              </w:rPr>
              <w:t>E11_Modification</w:t>
            </w:r>
          </w:p>
        </w:tc>
      </w:tr>
      <w:tr w:rsidR="00BF18CF" w14:paraId="7FBCE18D" w14:textId="77777777" w:rsidTr="00BF18CF">
        <w:tc>
          <w:tcPr>
            <w:tcW w:w="1904" w:type="dxa"/>
          </w:tcPr>
          <w:p w14:paraId="3418149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86" w:type="dxa"/>
          </w:tcPr>
          <w:p w14:paraId="1ADBDD13" w14:textId="77777777" w:rsidR="00BF18CF" w:rsidRDefault="00E51347">
            <w:r>
              <w:rPr>
                <w:rFonts w:ascii="Consolas" w:eastAsia="Consolas" w:hAnsi="Consolas" w:cs="Consolas"/>
                <w:sz w:val="22"/>
                <w:szCs w:val="22"/>
                <w:shd w:val="clear" w:color="auto" w:fill="EAEEF3"/>
              </w:rPr>
              <w:t>E57_Matériau</w:t>
            </w:r>
          </w:p>
        </w:tc>
      </w:tr>
      <w:tr w:rsidR="00BF18CF" w14:paraId="1E796741" w14:textId="77777777" w:rsidTr="00BF18CF">
        <w:tc>
          <w:tcPr>
            <w:tcW w:w="1904" w:type="dxa"/>
          </w:tcPr>
          <w:p w14:paraId="0C25D6E6"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86" w:type="dxa"/>
          </w:tcPr>
          <w:p w14:paraId="22B1EA62" w14:textId="77777777" w:rsidR="00BF18CF" w:rsidRDefault="00BF18CF">
            <w:pPr>
              <w:pBdr>
                <w:top w:val="nil"/>
                <w:left w:val="nil"/>
                <w:bottom w:val="nil"/>
                <w:right w:val="nil"/>
                <w:between w:val="nil"/>
              </w:pBdr>
              <w:spacing w:before="36" w:after="36"/>
              <w:rPr>
                <w:color w:val="000000"/>
              </w:rPr>
            </w:pPr>
          </w:p>
        </w:tc>
      </w:tr>
      <w:tr w:rsidR="00BF18CF" w14:paraId="64A4EADE" w14:textId="77777777" w:rsidTr="00BF18CF">
        <w:tc>
          <w:tcPr>
            <w:tcW w:w="1904" w:type="dxa"/>
          </w:tcPr>
          <w:p w14:paraId="327ADE3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86" w:type="dxa"/>
          </w:tcPr>
          <w:p w14:paraId="2EAAAC68" w14:textId="77777777" w:rsidR="00BF18CF" w:rsidRDefault="00BF18CF">
            <w:pPr>
              <w:pBdr>
                <w:top w:val="nil"/>
                <w:left w:val="nil"/>
                <w:bottom w:val="nil"/>
                <w:right w:val="nil"/>
                <w:between w:val="nil"/>
              </w:pBdr>
              <w:spacing w:before="36" w:after="36"/>
              <w:rPr>
                <w:color w:val="000000"/>
              </w:rPr>
            </w:pPr>
          </w:p>
        </w:tc>
      </w:tr>
      <w:tr w:rsidR="00BF18CF" w14:paraId="2C8BEBAE" w14:textId="77777777" w:rsidTr="00BF18CF">
        <w:tc>
          <w:tcPr>
            <w:tcW w:w="1904" w:type="dxa"/>
          </w:tcPr>
          <w:p w14:paraId="25D345B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86" w:type="dxa"/>
          </w:tcPr>
          <w:p w14:paraId="3526CCCF" w14:textId="77777777" w:rsidR="00BF18CF" w:rsidRDefault="00E51347">
            <w:proofErr w:type="gramStart"/>
            <w:r>
              <w:t>plusieurs</w:t>
            </w:r>
            <w:proofErr w:type="gramEnd"/>
            <w:r>
              <w:t xml:space="preserve"> à plusieurs (0,n:0,n)</w:t>
            </w:r>
          </w:p>
        </w:tc>
      </w:tr>
      <w:tr w:rsidR="00BF18CF" w14:paraId="5810D137" w14:textId="77777777" w:rsidTr="00BF18CF">
        <w:tc>
          <w:tcPr>
            <w:tcW w:w="1904" w:type="dxa"/>
          </w:tcPr>
          <w:p w14:paraId="0EDD3AD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86" w:type="dxa"/>
          </w:tcPr>
          <w:p w14:paraId="58263E23" w14:textId="77777777" w:rsidR="00BF18CF" w:rsidRDefault="00E51347">
            <w:r>
              <w:t xml:space="preserve">Cette propriété identifie une instance de </w:t>
            </w:r>
            <w:r>
              <w:rPr>
                <w:rFonts w:ascii="Consolas" w:eastAsia="Consolas" w:hAnsi="Consolas" w:cs="Consolas"/>
                <w:sz w:val="22"/>
                <w:szCs w:val="22"/>
                <w:shd w:val="clear" w:color="auto" w:fill="EAEEF3"/>
              </w:rPr>
              <w:t>E57_Matériau</w:t>
            </w:r>
            <w:r>
              <w:t xml:space="preserve"> employée dans le cadre d'une instance de </w:t>
            </w:r>
            <w:r>
              <w:rPr>
                <w:rFonts w:ascii="Consolas" w:eastAsia="Consolas" w:hAnsi="Consolas" w:cs="Consolas"/>
                <w:sz w:val="22"/>
                <w:szCs w:val="22"/>
                <w:shd w:val="clear" w:color="auto" w:fill="EAEEF3"/>
              </w:rPr>
              <w:t>E11_Modification</w:t>
            </w:r>
            <w:r>
              <w:t>.</w:t>
            </w:r>
          </w:p>
          <w:p w14:paraId="4E2AB93A" w14:textId="77777777" w:rsidR="00BF18CF" w:rsidRDefault="00E51347">
            <w:r>
              <w:t xml:space="preserve">L'instance de </w:t>
            </w:r>
            <w:r>
              <w:rPr>
                <w:rFonts w:ascii="Consolas" w:eastAsia="Consolas" w:hAnsi="Consolas" w:cs="Consolas"/>
                <w:sz w:val="22"/>
                <w:szCs w:val="22"/>
                <w:shd w:val="clear" w:color="auto" w:fill="EAEEF3"/>
              </w:rPr>
              <w:t>E57_Matériau</w:t>
            </w:r>
            <w:r>
              <w:t xml:space="preserve"> utilisée dans le cadre de l'instance de </w:t>
            </w:r>
            <w:r>
              <w:rPr>
                <w:rFonts w:ascii="Consolas" w:eastAsia="Consolas" w:hAnsi="Consolas" w:cs="Consolas"/>
                <w:sz w:val="22"/>
                <w:szCs w:val="22"/>
                <w:shd w:val="clear" w:color="auto" w:fill="EAEEF3"/>
              </w:rPr>
              <w:t>E11_Modification</w:t>
            </w:r>
            <w:r>
              <w:t xml:space="preserve"> n'est pas par défaut incorporée dans l'instance de </w:t>
            </w:r>
            <w:r>
              <w:rPr>
                <w:rFonts w:ascii="Consolas" w:eastAsia="Consolas" w:hAnsi="Consolas" w:cs="Consolas"/>
                <w:sz w:val="22"/>
                <w:szCs w:val="22"/>
                <w:shd w:val="clear" w:color="auto" w:fill="EAEEF3"/>
              </w:rPr>
              <w:t>E24_Chose_matérielle_élaborée_par_l’humain</w:t>
            </w:r>
            <w:r>
              <w:t xml:space="preserve"> sujette à l'instance de </w:t>
            </w:r>
            <w:r>
              <w:rPr>
                <w:rFonts w:ascii="Consolas" w:eastAsia="Consolas" w:hAnsi="Consolas" w:cs="Consolas"/>
                <w:sz w:val="22"/>
                <w:szCs w:val="22"/>
                <w:shd w:val="clear" w:color="auto" w:fill="EAEEF3"/>
              </w:rPr>
              <w:t>E11_Modification</w:t>
            </w:r>
            <w:r>
              <w:t>.</w:t>
            </w:r>
          </w:p>
        </w:tc>
      </w:tr>
      <w:tr w:rsidR="00BF18CF" w14:paraId="07FA112A" w14:textId="77777777" w:rsidTr="00BF18CF">
        <w:tc>
          <w:tcPr>
            <w:tcW w:w="1904" w:type="dxa"/>
          </w:tcPr>
          <w:p w14:paraId="1837217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86" w:type="dxa"/>
          </w:tcPr>
          <w:p w14:paraId="160ACC90" w14:textId="77777777" w:rsidR="00BF18CF" w:rsidRDefault="00E51347">
            <w:pPr>
              <w:numPr>
                <w:ilvl w:val="0"/>
                <w:numId w:val="19"/>
              </w:numPr>
            </w:pPr>
            <w:r>
              <w:t>La réparation du RMS Queen Mary (</w:t>
            </w:r>
            <w:r>
              <w:rPr>
                <w:rFonts w:ascii="Consolas" w:eastAsia="Consolas" w:hAnsi="Consolas" w:cs="Consolas"/>
                <w:sz w:val="22"/>
                <w:szCs w:val="22"/>
                <w:shd w:val="clear" w:color="auto" w:fill="EAEEF3"/>
              </w:rPr>
              <w:t>E11_Modification</w:t>
            </w:r>
            <w:r>
              <w:t>) à compter d'octobre 1942 a employé (</w:t>
            </w:r>
            <w:r>
              <w:rPr>
                <w:rFonts w:ascii="Consolas" w:eastAsia="Consolas" w:hAnsi="Consolas" w:cs="Consolas"/>
                <w:sz w:val="22"/>
                <w:szCs w:val="22"/>
                <w:shd w:val="clear" w:color="auto" w:fill="EAEEF3"/>
              </w:rPr>
              <w:t>P126_a_employé</w:t>
            </w:r>
            <w:r>
              <w:t>) de l'acier (</w:t>
            </w:r>
            <w:r>
              <w:rPr>
                <w:rFonts w:ascii="Consolas" w:eastAsia="Consolas" w:hAnsi="Consolas" w:cs="Consolas"/>
                <w:sz w:val="22"/>
                <w:szCs w:val="22"/>
                <w:shd w:val="clear" w:color="auto" w:fill="EAEEF3"/>
              </w:rPr>
              <w:t>E57_Matériau</w:t>
            </w:r>
            <w:r>
              <w:t>) (Britton, 2012)</w:t>
            </w:r>
          </w:p>
          <w:p w14:paraId="375661FE" w14:textId="77777777" w:rsidR="00BF18CF" w:rsidRDefault="00E51347">
            <w:pPr>
              <w:numPr>
                <w:ilvl w:val="0"/>
                <w:numId w:val="19"/>
              </w:numPr>
            </w:pPr>
            <w:r>
              <w:t>De l'eau distillée (</w:t>
            </w:r>
            <w:r>
              <w:rPr>
                <w:rFonts w:ascii="Consolas" w:eastAsia="Consolas" w:hAnsi="Consolas" w:cs="Consolas"/>
                <w:sz w:val="22"/>
                <w:szCs w:val="22"/>
                <w:shd w:val="clear" w:color="auto" w:fill="EAEEF3"/>
              </w:rPr>
              <w:t>E57_Matériau</w:t>
            </w:r>
            <w:r>
              <w:t>) a été employée (</w:t>
            </w:r>
            <w:r>
              <w:rPr>
                <w:rFonts w:ascii="Consolas" w:eastAsia="Consolas" w:hAnsi="Consolas" w:cs="Consolas"/>
                <w:sz w:val="22"/>
                <w:szCs w:val="22"/>
                <w:shd w:val="clear" w:color="auto" w:fill="EAEEF3"/>
              </w:rPr>
              <w:t>P126i_a_été_employé_dans</w:t>
            </w:r>
            <w:r>
              <w:t>) dans la restauration de la chapelle Sixtine (</w:t>
            </w:r>
            <w:r>
              <w:rPr>
                <w:rFonts w:ascii="Consolas" w:eastAsia="Consolas" w:hAnsi="Consolas" w:cs="Consolas"/>
                <w:sz w:val="22"/>
                <w:szCs w:val="22"/>
                <w:shd w:val="clear" w:color="auto" w:fill="EAEEF3"/>
              </w:rPr>
              <w:t>E11_Modification</w:t>
            </w:r>
            <w:r>
              <w:t>) (Pietrangeli, 1986)</w:t>
            </w:r>
          </w:p>
        </w:tc>
      </w:tr>
      <w:tr w:rsidR="00BF18CF" w14:paraId="5D546942" w14:textId="77777777" w:rsidTr="00BF18CF">
        <w:tc>
          <w:tcPr>
            <w:tcW w:w="1904" w:type="dxa"/>
          </w:tcPr>
          <w:p w14:paraId="1F711B1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86" w:type="dxa"/>
          </w:tcPr>
          <w:p w14:paraId="512979AE" w14:textId="77777777" w:rsidR="00BF18CF" w:rsidRDefault="00E51347">
            <w:r>
              <w:t>P126(</w:t>
            </w:r>
            <w:proofErr w:type="gramStart"/>
            <w:r>
              <w:t>x,y</w:t>
            </w:r>
            <w:proofErr w:type="gramEnd"/>
            <w:r>
              <w:t>) ⇒ E11(x)</w:t>
            </w:r>
          </w:p>
          <w:p w14:paraId="3F2DDBC2" w14:textId="77777777" w:rsidR="00BF18CF" w:rsidRDefault="00E51347">
            <w:r>
              <w:t>P126(</w:t>
            </w:r>
            <w:proofErr w:type="gramStart"/>
            <w:r>
              <w:t>x,y</w:t>
            </w:r>
            <w:proofErr w:type="gramEnd"/>
            <w:r>
              <w:t>) ⇒ E57(y)</w:t>
            </w:r>
          </w:p>
        </w:tc>
      </w:tr>
      <w:tr w:rsidR="00BF18CF" w14:paraId="7E166B50" w14:textId="77777777" w:rsidTr="00BF18CF">
        <w:tc>
          <w:tcPr>
            <w:tcW w:w="1904" w:type="dxa"/>
          </w:tcPr>
          <w:p w14:paraId="0A56E34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86" w:type="dxa"/>
          </w:tcPr>
          <w:p w14:paraId="42597CD2" w14:textId="77777777" w:rsidR="00BF18CF" w:rsidRDefault="00BF18CF">
            <w:pPr>
              <w:pBdr>
                <w:top w:val="nil"/>
                <w:left w:val="nil"/>
                <w:bottom w:val="nil"/>
                <w:right w:val="nil"/>
                <w:between w:val="nil"/>
              </w:pBdr>
              <w:spacing w:before="36" w:after="36"/>
              <w:rPr>
                <w:color w:val="000000"/>
              </w:rPr>
            </w:pPr>
          </w:p>
        </w:tc>
      </w:tr>
      <w:tr w:rsidR="00BF18CF" w14:paraId="2BD6BDAD" w14:textId="77777777" w:rsidTr="00BF18CF">
        <w:tc>
          <w:tcPr>
            <w:tcW w:w="1904" w:type="dxa"/>
          </w:tcPr>
          <w:p w14:paraId="3D1FD2E6" w14:textId="0786215A"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786" w:type="dxa"/>
          </w:tcPr>
          <w:p w14:paraId="08EA9EB2" w14:textId="77777777" w:rsidR="00BF18CF" w:rsidRDefault="00BF18CF">
            <w:pPr>
              <w:pBdr>
                <w:top w:val="nil"/>
                <w:left w:val="nil"/>
                <w:bottom w:val="nil"/>
                <w:right w:val="nil"/>
                <w:between w:val="nil"/>
              </w:pBdr>
              <w:spacing w:before="36" w:after="36"/>
              <w:rPr>
                <w:color w:val="000000"/>
              </w:rPr>
            </w:pPr>
          </w:p>
        </w:tc>
      </w:tr>
      <w:tr w:rsidR="00BF18CF" w14:paraId="0727D365" w14:textId="77777777" w:rsidTr="00BF18CF">
        <w:tc>
          <w:tcPr>
            <w:tcW w:w="1904" w:type="dxa"/>
          </w:tcPr>
          <w:p w14:paraId="6837535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86" w:type="dxa"/>
          </w:tcPr>
          <w:p w14:paraId="2D85F57F" w14:textId="77777777" w:rsidR="00BF18CF" w:rsidRDefault="00BF18CF">
            <w:pPr>
              <w:pBdr>
                <w:top w:val="nil"/>
                <w:left w:val="nil"/>
                <w:bottom w:val="nil"/>
                <w:right w:val="nil"/>
                <w:between w:val="nil"/>
              </w:pBdr>
              <w:spacing w:before="36" w:after="36"/>
              <w:rPr>
                <w:color w:val="000000"/>
              </w:rPr>
            </w:pPr>
          </w:p>
        </w:tc>
      </w:tr>
    </w:tbl>
    <w:p w14:paraId="1DE57D65" w14:textId="77777777" w:rsidR="00BF18CF" w:rsidRDefault="00E51347">
      <w:pPr>
        <w:pStyle w:val="Heading3"/>
      </w:pPr>
      <w:bookmarkStart w:id="469" w:name="bookmark=id.2k82xt6" w:colFirst="0" w:colLast="0"/>
      <w:bookmarkStart w:id="470" w:name="_Toc144360978"/>
      <w:bookmarkEnd w:id="469"/>
      <w:r>
        <w:t>P127 a pour terme général (a pour terme spécifique)</w:t>
      </w:r>
      <w:bookmarkEnd w:id="470"/>
    </w:p>
    <w:tbl>
      <w:tblPr>
        <w:tblStyle w:val="afffff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18"/>
        <w:gridCol w:w="8772"/>
      </w:tblGrid>
      <w:tr w:rsidR="00BF18CF" w14:paraId="6DC8360C" w14:textId="77777777" w:rsidTr="00BF18CF">
        <w:tc>
          <w:tcPr>
            <w:tcW w:w="1918" w:type="dxa"/>
          </w:tcPr>
          <w:p w14:paraId="08084BE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72" w:type="dxa"/>
          </w:tcPr>
          <w:p w14:paraId="4154D04F" w14:textId="77777777" w:rsidR="00BF18CF" w:rsidRDefault="00E51347">
            <w:r>
              <w:rPr>
                <w:rFonts w:ascii="Consolas" w:eastAsia="Consolas" w:hAnsi="Consolas" w:cs="Consolas"/>
                <w:sz w:val="22"/>
                <w:szCs w:val="22"/>
                <w:shd w:val="clear" w:color="auto" w:fill="EAEEF3"/>
              </w:rPr>
              <w:t>E55_Type</w:t>
            </w:r>
          </w:p>
        </w:tc>
      </w:tr>
      <w:tr w:rsidR="00BF18CF" w14:paraId="498A31A6" w14:textId="77777777" w:rsidTr="00BF18CF">
        <w:tc>
          <w:tcPr>
            <w:tcW w:w="1918" w:type="dxa"/>
          </w:tcPr>
          <w:p w14:paraId="34CE51E9"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72" w:type="dxa"/>
          </w:tcPr>
          <w:p w14:paraId="6A2932AE" w14:textId="77777777" w:rsidR="00BF18CF" w:rsidRDefault="00E51347">
            <w:r>
              <w:rPr>
                <w:rFonts w:ascii="Consolas" w:eastAsia="Consolas" w:hAnsi="Consolas" w:cs="Consolas"/>
                <w:sz w:val="22"/>
                <w:szCs w:val="22"/>
                <w:shd w:val="clear" w:color="auto" w:fill="EAEEF3"/>
              </w:rPr>
              <w:t>E55_Type</w:t>
            </w:r>
          </w:p>
        </w:tc>
      </w:tr>
      <w:tr w:rsidR="00BF18CF" w14:paraId="566C0ED6" w14:textId="77777777" w:rsidTr="00BF18CF">
        <w:tc>
          <w:tcPr>
            <w:tcW w:w="1918" w:type="dxa"/>
          </w:tcPr>
          <w:p w14:paraId="559F917C"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72" w:type="dxa"/>
          </w:tcPr>
          <w:p w14:paraId="659D1644" w14:textId="77777777" w:rsidR="00BF18CF" w:rsidRDefault="00BF18CF">
            <w:pPr>
              <w:pBdr>
                <w:top w:val="nil"/>
                <w:left w:val="nil"/>
                <w:bottom w:val="nil"/>
                <w:right w:val="nil"/>
                <w:between w:val="nil"/>
              </w:pBdr>
              <w:spacing w:before="36" w:after="36"/>
              <w:rPr>
                <w:color w:val="000000"/>
              </w:rPr>
            </w:pPr>
          </w:p>
        </w:tc>
      </w:tr>
      <w:tr w:rsidR="00BF18CF" w14:paraId="10914F5A" w14:textId="77777777" w:rsidTr="00BF18CF">
        <w:tc>
          <w:tcPr>
            <w:tcW w:w="1918" w:type="dxa"/>
          </w:tcPr>
          <w:p w14:paraId="0A82034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72" w:type="dxa"/>
          </w:tcPr>
          <w:p w14:paraId="38C59FD4" w14:textId="77777777" w:rsidR="00BF18CF" w:rsidRDefault="00BF18CF">
            <w:pPr>
              <w:pBdr>
                <w:top w:val="nil"/>
                <w:left w:val="nil"/>
                <w:bottom w:val="nil"/>
                <w:right w:val="nil"/>
                <w:between w:val="nil"/>
              </w:pBdr>
              <w:spacing w:before="36" w:after="36"/>
              <w:rPr>
                <w:color w:val="000000"/>
              </w:rPr>
            </w:pPr>
          </w:p>
        </w:tc>
      </w:tr>
      <w:tr w:rsidR="00BF18CF" w14:paraId="7A56DACA" w14:textId="77777777" w:rsidTr="00BF18CF">
        <w:tc>
          <w:tcPr>
            <w:tcW w:w="1918" w:type="dxa"/>
          </w:tcPr>
          <w:p w14:paraId="319DE02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72" w:type="dxa"/>
          </w:tcPr>
          <w:p w14:paraId="10ADE5D5" w14:textId="77777777" w:rsidR="00BF18CF" w:rsidRDefault="00E51347">
            <w:proofErr w:type="gramStart"/>
            <w:r>
              <w:t>plusieurs</w:t>
            </w:r>
            <w:proofErr w:type="gramEnd"/>
            <w:r>
              <w:t xml:space="preserve"> à plusieurs (0,n:0,n)</w:t>
            </w:r>
          </w:p>
        </w:tc>
      </w:tr>
      <w:tr w:rsidR="00BF18CF" w14:paraId="7AD1C8FB" w14:textId="77777777" w:rsidTr="00BF18CF">
        <w:tc>
          <w:tcPr>
            <w:tcW w:w="1918" w:type="dxa"/>
          </w:tcPr>
          <w:p w14:paraId="7114835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72" w:type="dxa"/>
          </w:tcPr>
          <w:p w14:paraId="3AFFD2DC" w14:textId="77777777" w:rsidR="00BF18CF" w:rsidRDefault="00E51347">
            <w:r>
              <w:t xml:space="preserve">Cette propriété associe une instance de </w:t>
            </w:r>
            <w:r>
              <w:rPr>
                <w:rFonts w:ascii="Consolas" w:eastAsia="Consolas" w:hAnsi="Consolas" w:cs="Consolas"/>
                <w:sz w:val="22"/>
                <w:szCs w:val="22"/>
                <w:shd w:val="clear" w:color="auto" w:fill="EAEEF3"/>
              </w:rPr>
              <w:t>E55_Type</w:t>
            </w:r>
            <w:r>
              <w:t xml:space="preserve"> à une autre instance de </w:t>
            </w:r>
            <w:r>
              <w:rPr>
                <w:rFonts w:ascii="Consolas" w:eastAsia="Consolas" w:hAnsi="Consolas" w:cs="Consolas"/>
                <w:sz w:val="22"/>
                <w:szCs w:val="22"/>
                <w:shd w:val="clear" w:color="auto" w:fill="EAEEF3"/>
              </w:rPr>
              <w:t>E55_Type</w:t>
            </w:r>
            <w:r>
              <w:t xml:space="preserve"> qui a une signification plus générale.</w:t>
            </w:r>
          </w:p>
          <w:p w14:paraId="0349208F" w14:textId="77777777" w:rsidR="00BF18CF" w:rsidRDefault="00E51347">
            <w:r>
              <w:t xml:space="preserve">Cette propriété permet aux instances de </w:t>
            </w:r>
            <w:r>
              <w:rPr>
                <w:rFonts w:ascii="Consolas" w:eastAsia="Consolas" w:hAnsi="Consolas" w:cs="Consolas"/>
                <w:sz w:val="22"/>
                <w:szCs w:val="22"/>
                <w:shd w:val="clear" w:color="auto" w:fill="EAEEF3"/>
              </w:rPr>
              <w:t>E55_Type</w:t>
            </w:r>
            <w:r>
              <w:t xml:space="preserve"> d’être organisées en hiérarchies. Cela explique le sens du « terme générique (général) (TGG) » tel que défini par la norme ISO 25964-2:2013 (International Organization for Standardization 2013).</w:t>
            </w:r>
          </w:p>
          <w:p w14:paraId="2772D13D" w14:textId="77777777" w:rsidR="00BF18CF" w:rsidRDefault="00E51347">
            <w:r>
              <w:t>Cette propriété est transitive.</w:t>
            </w:r>
          </w:p>
        </w:tc>
      </w:tr>
      <w:tr w:rsidR="00BF18CF" w14:paraId="51FC72D9" w14:textId="77777777" w:rsidTr="00BF18CF">
        <w:tc>
          <w:tcPr>
            <w:tcW w:w="1918" w:type="dxa"/>
          </w:tcPr>
          <w:p w14:paraId="5D184263"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72" w:type="dxa"/>
          </w:tcPr>
          <w:p w14:paraId="06B7BDE3" w14:textId="77777777" w:rsidR="00BF18CF" w:rsidRDefault="00E51347">
            <w:pPr>
              <w:numPr>
                <w:ilvl w:val="0"/>
                <w:numId w:val="19"/>
              </w:numPr>
            </w:pPr>
            <w:r>
              <w:t>La pièce de dix cents (</w:t>
            </w:r>
            <w:r>
              <w:rPr>
                <w:rFonts w:ascii="Consolas" w:eastAsia="Consolas" w:hAnsi="Consolas" w:cs="Consolas"/>
                <w:sz w:val="22"/>
                <w:szCs w:val="22"/>
                <w:shd w:val="clear" w:color="auto" w:fill="EAEEF3"/>
              </w:rPr>
              <w:t>E55_Type</w:t>
            </w:r>
            <w:r>
              <w:t>) a pour terme général (</w:t>
            </w:r>
            <w:r>
              <w:rPr>
                <w:rFonts w:ascii="Consolas" w:eastAsia="Consolas" w:hAnsi="Consolas" w:cs="Consolas"/>
                <w:sz w:val="22"/>
                <w:szCs w:val="22"/>
                <w:shd w:val="clear" w:color="auto" w:fill="EAEEF3"/>
              </w:rPr>
              <w:t>P127_a_pour_terme_général</w:t>
            </w:r>
            <w:r>
              <w:t>) monnaie (</w:t>
            </w:r>
            <w:r>
              <w:rPr>
                <w:rFonts w:ascii="Consolas" w:eastAsia="Consolas" w:hAnsi="Consolas" w:cs="Consolas"/>
                <w:sz w:val="22"/>
                <w:szCs w:val="22"/>
                <w:shd w:val="clear" w:color="auto" w:fill="EAEEF3"/>
              </w:rPr>
              <w:t>E55_Type</w:t>
            </w:r>
            <w:r>
              <w:t>) (Yerkes, 1989)</w:t>
            </w:r>
          </w:p>
        </w:tc>
      </w:tr>
      <w:tr w:rsidR="00BF18CF" w14:paraId="477926C2" w14:textId="77777777" w:rsidTr="00BF18CF">
        <w:tc>
          <w:tcPr>
            <w:tcW w:w="1918" w:type="dxa"/>
          </w:tcPr>
          <w:p w14:paraId="5CCED050"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72" w:type="dxa"/>
          </w:tcPr>
          <w:p w14:paraId="051A72F8" w14:textId="77777777" w:rsidR="00BF18CF" w:rsidRDefault="00E51347">
            <w:r>
              <w:t>P127(</w:t>
            </w:r>
            <w:proofErr w:type="gramStart"/>
            <w:r>
              <w:t>x,y</w:t>
            </w:r>
            <w:proofErr w:type="gramEnd"/>
            <w:r>
              <w:t>) ⇒ E55(x)</w:t>
            </w:r>
          </w:p>
          <w:p w14:paraId="62B948C4" w14:textId="77777777" w:rsidR="00BF18CF" w:rsidRDefault="00E51347">
            <w:r>
              <w:t>P127(</w:t>
            </w:r>
            <w:proofErr w:type="gramStart"/>
            <w:r>
              <w:t>x,y</w:t>
            </w:r>
            <w:proofErr w:type="gramEnd"/>
            <w:r>
              <w:t>) ⇒ E55(y)</w:t>
            </w:r>
          </w:p>
          <w:p w14:paraId="79297BA3" w14:textId="77777777" w:rsidR="00BF18CF" w:rsidRDefault="00E51347">
            <w:r>
              <w:t>[P127(</w:t>
            </w:r>
            <w:proofErr w:type="gramStart"/>
            <w:r>
              <w:t>x,y</w:t>
            </w:r>
            <w:proofErr w:type="gramEnd"/>
            <w:r>
              <w:t>) ∧ P127(y,z)] ⇒ P127(x,z)</w:t>
            </w:r>
          </w:p>
        </w:tc>
      </w:tr>
      <w:tr w:rsidR="00BF18CF" w14:paraId="7F59078F" w14:textId="77777777" w:rsidTr="00BF18CF">
        <w:tc>
          <w:tcPr>
            <w:tcW w:w="1918" w:type="dxa"/>
          </w:tcPr>
          <w:p w14:paraId="0DD0B4C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72" w:type="dxa"/>
          </w:tcPr>
          <w:p w14:paraId="1AB3D0AC" w14:textId="77777777" w:rsidR="00BF18CF" w:rsidRDefault="00BF18CF">
            <w:pPr>
              <w:pBdr>
                <w:top w:val="nil"/>
                <w:left w:val="nil"/>
                <w:bottom w:val="nil"/>
                <w:right w:val="nil"/>
                <w:between w:val="nil"/>
              </w:pBdr>
              <w:spacing w:before="36" w:after="36"/>
              <w:rPr>
                <w:color w:val="000000"/>
              </w:rPr>
            </w:pPr>
          </w:p>
        </w:tc>
      </w:tr>
      <w:tr w:rsidR="00BF18CF" w14:paraId="36F056A9" w14:textId="77777777" w:rsidTr="00BF18CF">
        <w:tc>
          <w:tcPr>
            <w:tcW w:w="1918" w:type="dxa"/>
          </w:tcPr>
          <w:p w14:paraId="1583F82E" w14:textId="643E6456"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72" w:type="dxa"/>
          </w:tcPr>
          <w:p w14:paraId="02D4C0AD" w14:textId="77777777" w:rsidR="00BF18CF" w:rsidRDefault="00BF18CF">
            <w:pPr>
              <w:pBdr>
                <w:top w:val="nil"/>
                <w:left w:val="nil"/>
                <w:bottom w:val="nil"/>
                <w:right w:val="nil"/>
                <w:between w:val="nil"/>
              </w:pBdr>
              <w:spacing w:before="36" w:after="36"/>
              <w:rPr>
                <w:color w:val="000000"/>
              </w:rPr>
            </w:pPr>
          </w:p>
        </w:tc>
      </w:tr>
      <w:tr w:rsidR="00BF18CF" w14:paraId="5687035C" w14:textId="77777777" w:rsidTr="00BF18CF">
        <w:tc>
          <w:tcPr>
            <w:tcW w:w="1918" w:type="dxa"/>
          </w:tcPr>
          <w:p w14:paraId="3D39528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72" w:type="dxa"/>
          </w:tcPr>
          <w:p w14:paraId="5B1F3026" w14:textId="77777777" w:rsidR="00BF18CF" w:rsidRDefault="00BF18CF">
            <w:pPr>
              <w:pBdr>
                <w:top w:val="nil"/>
                <w:left w:val="nil"/>
                <w:bottom w:val="nil"/>
                <w:right w:val="nil"/>
                <w:between w:val="nil"/>
              </w:pBdr>
              <w:spacing w:before="36" w:after="36"/>
              <w:rPr>
                <w:color w:val="000000"/>
              </w:rPr>
            </w:pPr>
          </w:p>
        </w:tc>
      </w:tr>
    </w:tbl>
    <w:p w14:paraId="1498CD4C" w14:textId="77777777" w:rsidR="00BF18CF" w:rsidRDefault="00E51347">
      <w:pPr>
        <w:pStyle w:val="Heading3"/>
      </w:pPr>
      <w:bookmarkStart w:id="471" w:name="bookmark=id.zdd80z" w:colFirst="0" w:colLast="0"/>
      <w:bookmarkStart w:id="472" w:name="_Toc144360979"/>
      <w:bookmarkEnd w:id="471"/>
      <w:r>
        <w:t>P128 est le support de (a pour support)</w:t>
      </w:r>
      <w:bookmarkEnd w:id="472"/>
    </w:p>
    <w:tbl>
      <w:tblPr>
        <w:tblStyle w:val="afffff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0"/>
        <w:gridCol w:w="8830"/>
      </w:tblGrid>
      <w:tr w:rsidR="00BF18CF" w14:paraId="7D9DCA68" w14:textId="77777777" w:rsidTr="00BF18CF">
        <w:tc>
          <w:tcPr>
            <w:tcW w:w="1860" w:type="dxa"/>
          </w:tcPr>
          <w:p w14:paraId="45088D2A"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0" w:type="dxa"/>
          </w:tcPr>
          <w:p w14:paraId="741C52B4" w14:textId="77777777" w:rsidR="00BF18CF" w:rsidRDefault="00E51347">
            <w:r>
              <w:rPr>
                <w:rFonts w:ascii="Consolas" w:eastAsia="Consolas" w:hAnsi="Consolas" w:cs="Consolas"/>
                <w:sz w:val="22"/>
                <w:szCs w:val="22"/>
                <w:shd w:val="clear" w:color="auto" w:fill="EAEEF3"/>
              </w:rPr>
              <w:t>E18_Chose_matérielle</w:t>
            </w:r>
          </w:p>
        </w:tc>
      </w:tr>
      <w:tr w:rsidR="00BF18CF" w14:paraId="6A0903AC" w14:textId="77777777" w:rsidTr="00BF18CF">
        <w:tc>
          <w:tcPr>
            <w:tcW w:w="1860" w:type="dxa"/>
          </w:tcPr>
          <w:p w14:paraId="296B044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0" w:type="dxa"/>
          </w:tcPr>
          <w:p w14:paraId="098FBB16" w14:textId="77777777" w:rsidR="00BF18CF" w:rsidRDefault="00E51347">
            <w:r>
              <w:rPr>
                <w:rFonts w:ascii="Consolas" w:eastAsia="Consolas" w:hAnsi="Consolas" w:cs="Consolas"/>
                <w:sz w:val="22"/>
                <w:szCs w:val="22"/>
                <w:shd w:val="clear" w:color="auto" w:fill="EAEEF3"/>
              </w:rPr>
              <w:t>E90_Objet_symbolique</w:t>
            </w:r>
          </w:p>
        </w:tc>
      </w:tr>
      <w:tr w:rsidR="00BF18CF" w14:paraId="34EC4D54" w14:textId="77777777" w:rsidTr="00BF18CF">
        <w:tc>
          <w:tcPr>
            <w:tcW w:w="1860" w:type="dxa"/>
          </w:tcPr>
          <w:p w14:paraId="76DEBEA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0" w:type="dxa"/>
          </w:tcPr>
          <w:p w14:paraId="5A457026" w14:textId="77777777" w:rsidR="00BF18CF" w:rsidRDefault="00E51347">
            <w:r>
              <w:rPr>
                <w:rFonts w:ascii="Consolas" w:eastAsia="Consolas" w:hAnsi="Consolas" w:cs="Consolas"/>
                <w:sz w:val="22"/>
                <w:szCs w:val="22"/>
                <w:shd w:val="clear" w:color="auto" w:fill="EAEEF3"/>
              </w:rPr>
              <w:t>E70_Chose</w:t>
            </w:r>
            <w:r>
              <w:t xml:space="preserve">. </w:t>
            </w:r>
            <w:r>
              <w:rPr>
                <w:rFonts w:ascii="Consolas" w:eastAsia="Consolas" w:hAnsi="Consolas" w:cs="Consolas"/>
                <w:sz w:val="22"/>
                <w:szCs w:val="22"/>
                <w:shd w:val="clear" w:color="auto" w:fill="EAEEF3"/>
              </w:rPr>
              <w:t>P130_présente_les_caractéristiques_de (a_les_caractéristiques_également_présentes_sur)</w:t>
            </w:r>
            <w:r>
              <w:t xml:space="preserve"> : </w:t>
            </w:r>
            <w:r>
              <w:rPr>
                <w:rFonts w:ascii="Consolas" w:eastAsia="Consolas" w:hAnsi="Consolas" w:cs="Consolas"/>
                <w:sz w:val="22"/>
                <w:szCs w:val="22"/>
                <w:shd w:val="clear" w:color="auto" w:fill="EAEEF3"/>
              </w:rPr>
              <w:t>E70_Chose</w:t>
            </w:r>
          </w:p>
        </w:tc>
      </w:tr>
      <w:tr w:rsidR="00BF18CF" w14:paraId="5CBC3DAD" w14:textId="77777777" w:rsidTr="00BF18CF">
        <w:tc>
          <w:tcPr>
            <w:tcW w:w="1860" w:type="dxa"/>
          </w:tcPr>
          <w:p w14:paraId="685F5C1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0" w:type="dxa"/>
          </w:tcPr>
          <w:p w14:paraId="2D5CD09F" w14:textId="77777777" w:rsidR="00BF18CF" w:rsidRDefault="00E51347">
            <w:r>
              <w:rPr>
                <w:rFonts w:ascii="Consolas" w:eastAsia="Consolas" w:hAnsi="Consolas" w:cs="Consolas"/>
                <w:sz w:val="22"/>
                <w:szCs w:val="22"/>
                <w:shd w:val="clear" w:color="auto" w:fill="EAEEF3"/>
              </w:rPr>
              <w:t>E24_Chose_matérielle_élaborée_par_l’humain</w:t>
            </w:r>
            <w:r>
              <w:t xml:space="preserve">. </w:t>
            </w:r>
            <w:r>
              <w:rPr>
                <w:rFonts w:ascii="Consolas" w:eastAsia="Consolas" w:hAnsi="Consolas" w:cs="Consolas"/>
                <w:sz w:val="22"/>
                <w:szCs w:val="22"/>
                <w:shd w:val="clear" w:color="auto" w:fill="EAEEF3"/>
              </w:rPr>
              <w:t>P65_représente_l’entité_visuelle (est_représenté_par)</w:t>
            </w:r>
            <w:r>
              <w:t xml:space="preserve"> : </w:t>
            </w:r>
            <w:r>
              <w:rPr>
                <w:rFonts w:ascii="Consolas" w:eastAsia="Consolas" w:hAnsi="Consolas" w:cs="Consolas"/>
                <w:sz w:val="22"/>
                <w:szCs w:val="22"/>
                <w:shd w:val="clear" w:color="auto" w:fill="EAEEF3"/>
              </w:rPr>
              <w:t>E36_Entité_visuelle</w:t>
            </w:r>
          </w:p>
        </w:tc>
      </w:tr>
      <w:tr w:rsidR="00BF18CF" w14:paraId="37350FD0" w14:textId="77777777" w:rsidTr="00BF18CF">
        <w:tc>
          <w:tcPr>
            <w:tcW w:w="1860" w:type="dxa"/>
          </w:tcPr>
          <w:p w14:paraId="3C96EE7D"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830" w:type="dxa"/>
          </w:tcPr>
          <w:p w14:paraId="054806AF" w14:textId="77777777" w:rsidR="00BF18CF" w:rsidRDefault="00E51347">
            <w:proofErr w:type="gramStart"/>
            <w:r>
              <w:t>plusieurs</w:t>
            </w:r>
            <w:proofErr w:type="gramEnd"/>
            <w:r>
              <w:t xml:space="preserve"> à plusieurs (0,n:0,n)</w:t>
            </w:r>
          </w:p>
        </w:tc>
      </w:tr>
      <w:tr w:rsidR="00BF18CF" w14:paraId="0195A55A" w14:textId="77777777" w:rsidTr="00BF18CF">
        <w:tc>
          <w:tcPr>
            <w:tcW w:w="1860" w:type="dxa"/>
          </w:tcPr>
          <w:p w14:paraId="09AC66C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0" w:type="dxa"/>
          </w:tcPr>
          <w:p w14:paraId="35F0577B" w14:textId="77777777" w:rsidR="00BF18CF" w:rsidRDefault="00E51347">
            <w:r>
              <w:t xml:space="preserve">Cette propriété identifie une instance de </w:t>
            </w:r>
            <w:r>
              <w:rPr>
                <w:rFonts w:ascii="Consolas" w:eastAsia="Consolas" w:hAnsi="Consolas" w:cs="Consolas"/>
                <w:sz w:val="22"/>
                <w:szCs w:val="22"/>
                <w:shd w:val="clear" w:color="auto" w:fill="EAEEF3"/>
              </w:rPr>
              <w:t>E90_Objet_symbolique</w:t>
            </w:r>
            <w:r>
              <w:t xml:space="preserve"> qui a pour support une instance de </w:t>
            </w:r>
            <w:r>
              <w:rPr>
                <w:rFonts w:ascii="Consolas" w:eastAsia="Consolas" w:hAnsi="Consolas" w:cs="Consolas"/>
                <w:sz w:val="22"/>
                <w:szCs w:val="22"/>
                <w:shd w:val="clear" w:color="auto" w:fill="EAEEF3"/>
              </w:rPr>
              <w:t>E18_Chose_matérielle</w:t>
            </w:r>
            <w:r>
              <w:t>.</w:t>
            </w:r>
          </w:p>
          <w:p w14:paraId="6058EC70" w14:textId="77777777" w:rsidR="00BF18CF" w:rsidRDefault="00E51347">
            <w:r>
              <w:t xml:space="preserve">Puisqu’une instance de </w:t>
            </w:r>
            <w:r>
              <w:rPr>
                <w:rFonts w:ascii="Consolas" w:eastAsia="Consolas" w:hAnsi="Consolas" w:cs="Consolas"/>
                <w:sz w:val="22"/>
                <w:szCs w:val="22"/>
                <w:shd w:val="clear" w:color="auto" w:fill="EAEEF3"/>
              </w:rPr>
              <w:t>E90_Objet_symbolique</w:t>
            </w:r>
            <w:r>
              <w:t xml:space="preserve"> est définie comme étant une idéalisation immatérielle portée par des supports potentiellement multiples, toute concrétisation spécifique de cette idéalisation sur un support physique peut être défectueuse par rapport à l'idéal visé, en raison d’une détérioration ou de lacunes dans le processus de création de la réalisation.</w:t>
            </w:r>
          </w:p>
          <w:p w14:paraId="4E736DF6" w14:textId="77777777" w:rsidR="00BF18CF" w:rsidRDefault="00E51347">
            <w:r>
              <w:t xml:space="preserve">Tant que ces défauts n’affectent pas substantiellement la reconnaissance complète de l’objet symbolique, ce dernier est toujours considéré comme porteur d'une instance de </w:t>
            </w:r>
            <w:r>
              <w:rPr>
                <w:rFonts w:ascii="Consolas" w:eastAsia="Consolas" w:hAnsi="Consolas" w:cs="Consolas"/>
                <w:sz w:val="22"/>
                <w:szCs w:val="22"/>
                <w:shd w:val="clear" w:color="auto" w:fill="EAEEF3"/>
              </w:rPr>
              <w:t>E90_Objet_symbolique</w:t>
            </w:r>
            <w:r>
              <w:t xml:space="preserve">. Si ces défauts présentent un intérêt scientifique, la concrétisation spécifique peut être modélisée comme une instance de </w:t>
            </w:r>
            <w:r>
              <w:rPr>
                <w:rFonts w:ascii="Consolas" w:eastAsia="Consolas" w:hAnsi="Consolas" w:cs="Consolas"/>
                <w:sz w:val="22"/>
                <w:szCs w:val="22"/>
                <w:shd w:val="clear" w:color="auto" w:fill="EAEEF3"/>
              </w:rPr>
              <w:t>E25_Caractéristique_élaborée_par_l’humain</w:t>
            </w:r>
            <w:r>
              <w:t>.</w:t>
            </w:r>
          </w:p>
          <w:p w14:paraId="3D4E5813" w14:textId="77777777" w:rsidR="00BF18CF" w:rsidRDefault="00E51347">
            <w:r>
              <w:t xml:space="preserve">Il est à noter que toute instance de </w:t>
            </w:r>
            <w:r>
              <w:rPr>
                <w:rFonts w:ascii="Consolas" w:eastAsia="Consolas" w:hAnsi="Consolas" w:cs="Consolas"/>
                <w:sz w:val="22"/>
                <w:szCs w:val="22"/>
                <w:shd w:val="clear" w:color="auto" w:fill="EAEEF3"/>
              </w:rPr>
              <w:t>E90_Objet_symbolique</w:t>
            </w:r>
            <w:r>
              <w:t xml:space="preserve"> incluse dans (</w:t>
            </w:r>
            <w:r>
              <w:rPr>
                <w:rFonts w:ascii="Consolas" w:eastAsia="Consolas" w:hAnsi="Consolas" w:cs="Consolas"/>
                <w:sz w:val="22"/>
                <w:szCs w:val="22"/>
                <w:shd w:val="clear" w:color="auto" w:fill="EAEEF3"/>
              </w:rPr>
              <w:t>P165_inclut (est_inclus_dans</w:t>
            </w:r>
            <w:r>
              <w:t xml:space="preserve">) l'objet symbolique supporté est également </w:t>
            </w:r>
            <w:proofErr w:type="gramStart"/>
            <w:r>
              <w:t>supportée</w:t>
            </w:r>
            <w:proofErr w:type="gramEnd"/>
            <w:r>
              <w:t xml:space="preserve"> par la même instance de </w:t>
            </w:r>
            <w:r>
              <w:rPr>
                <w:rFonts w:ascii="Consolas" w:eastAsia="Consolas" w:hAnsi="Consolas" w:cs="Consolas"/>
                <w:sz w:val="22"/>
                <w:szCs w:val="22"/>
                <w:shd w:val="clear" w:color="auto" w:fill="EAEEF3"/>
              </w:rPr>
              <w:t>E18_Chose_matérielle</w:t>
            </w:r>
            <w:r>
              <w:t>.</w:t>
            </w:r>
          </w:p>
        </w:tc>
      </w:tr>
      <w:tr w:rsidR="00BF18CF" w14:paraId="00A17E2E" w14:textId="77777777" w:rsidTr="00BF18CF">
        <w:tc>
          <w:tcPr>
            <w:tcW w:w="1860" w:type="dxa"/>
          </w:tcPr>
          <w:p w14:paraId="64F51601"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30" w:type="dxa"/>
          </w:tcPr>
          <w:p w14:paraId="295A19EE" w14:textId="77777777" w:rsidR="00BF18CF" w:rsidRDefault="00E51347">
            <w:pPr>
              <w:numPr>
                <w:ilvl w:val="0"/>
                <w:numId w:val="19"/>
              </w:numPr>
            </w:pPr>
            <w:r>
              <w:t xml:space="preserve">L’exemplaire broché de </w:t>
            </w:r>
            <w:r>
              <w:rPr>
                <w:i/>
              </w:rPr>
              <w:t>Reach for the Sky</w:t>
            </w:r>
            <w:r>
              <w:t xml:space="preserve"> (</w:t>
            </w:r>
            <w:r>
              <w:rPr>
                <w:rFonts w:ascii="Consolas" w:eastAsia="Consolas" w:hAnsi="Consolas" w:cs="Consolas"/>
                <w:sz w:val="22"/>
                <w:szCs w:val="22"/>
                <w:shd w:val="clear" w:color="auto" w:fill="EAEEF3"/>
              </w:rPr>
              <w:t>E18_Chose_matérielle</w:t>
            </w:r>
            <w:r>
              <w:t>) que possède Mathieu est le support (</w:t>
            </w:r>
            <w:r>
              <w:rPr>
                <w:rFonts w:ascii="Consolas" w:eastAsia="Consolas" w:hAnsi="Consolas" w:cs="Consolas"/>
                <w:sz w:val="22"/>
                <w:szCs w:val="22"/>
                <w:shd w:val="clear" w:color="auto" w:fill="EAEEF3"/>
              </w:rPr>
              <w:t>P128_est_le_support_de</w:t>
            </w:r>
            <w:r>
              <w:t xml:space="preserve">) du texte de </w:t>
            </w:r>
            <w:r>
              <w:rPr>
                <w:i/>
              </w:rPr>
              <w:t>Reach for the Sky</w:t>
            </w:r>
            <w:r>
              <w:t xml:space="preserve"> (</w:t>
            </w:r>
            <w:r>
              <w:rPr>
                <w:rFonts w:ascii="Consolas" w:eastAsia="Consolas" w:hAnsi="Consolas" w:cs="Consolas"/>
                <w:sz w:val="22"/>
                <w:szCs w:val="22"/>
                <w:shd w:val="clear" w:color="auto" w:fill="EAEEF3"/>
              </w:rPr>
              <w:t>E73_Objet_informationnel</w:t>
            </w:r>
            <w:r>
              <w:t>) (Brickhill, 2001) (fictif)</w:t>
            </w:r>
          </w:p>
        </w:tc>
      </w:tr>
      <w:tr w:rsidR="00BF18CF" w14:paraId="665C1A6D" w14:textId="77777777" w:rsidTr="00BF18CF">
        <w:tc>
          <w:tcPr>
            <w:tcW w:w="1860" w:type="dxa"/>
          </w:tcPr>
          <w:p w14:paraId="4E725F76"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0" w:type="dxa"/>
          </w:tcPr>
          <w:p w14:paraId="14C506EA" w14:textId="77777777" w:rsidR="00BF18CF" w:rsidRDefault="00E51347">
            <w:r>
              <w:t>P128(</w:t>
            </w:r>
            <w:proofErr w:type="gramStart"/>
            <w:r>
              <w:t>x,y</w:t>
            </w:r>
            <w:proofErr w:type="gramEnd"/>
            <w:r>
              <w:t>) ⇒ E18(x)</w:t>
            </w:r>
          </w:p>
          <w:p w14:paraId="65A7042A" w14:textId="77777777" w:rsidR="00BF18CF" w:rsidRDefault="00E51347">
            <w:r>
              <w:t>P128(</w:t>
            </w:r>
            <w:proofErr w:type="gramStart"/>
            <w:r>
              <w:t>x,y</w:t>
            </w:r>
            <w:proofErr w:type="gramEnd"/>
            <w:r>
              <w:t>) ⇒ E90(y)</w:t>
            </w:r>
          </w:p>
          <w:p w14:paraId="5357B232" w14:textId="77777777" w:rsidR="00BF18CF" w:rsidRDefault="00E51347">
            <w:r>
              <w:t>P128(</w:t>
            </w:r>
            <w:proofErr w:type="gramStart"/>
            <w:r>
              <w:t>x,y</w:t>
            </w:r>
            <w:proofErr w:type="gramEnd"/>
            <w:r>
              <w:t>) ⇒ P130(x,y)</w:t>
            </w:r>
          </w:p>
        </w:tc>
      </w:tr>
      <w:tr w:rsidR="00BF18CF" w14:paraId="1D8B2FCD" w14:textId="77777777" w:rsidTr="00BF18CF">
        <w:tc>
          <w:tcPr>
            <w:tcW w:w="1860" w:type="dxa"/>
          </w:tcPr>
          <w:p w14:paraId="766EC7D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0" w:type="dxa"/>
          </w:tcPr>
          <w:p w14:paraId="12F6B505" w14:textId="77777777" w:rsidR="00BF18CF" w:rsidRDefault="00BF18CF">
            <w:pPr>
              <w:pBdr>
                <w:top w:val="nil"/>
                <w:left w:val="nil"/>
                <w:bottom w:val="nil"/>
                <w:right w:val="nil"/>
                <w:between w:val="nil"/>
              </w:pBdr>
              <w:spacing w:before="36" w:after="36"/>
              <w:rPr>
                <w:color w:val="000000"/>
              </w:rPr>
            </w:pPr>
          </w:p>
        </w:tc>
      </w:tr>
      <w:tr w:rsidR="00BF18CF" w14:paraId="02AE0CFA" w14:textId="77777777" w:rsidTr="00BF18CF">
        <w:tc>
          <w:tcPr>
            <w:tcW w:w="1860" w:type="dxa"/>
          </w:tcPr>
          <w:p w14:paraId="7FB57AAD" w14:textId="287E6AD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0" w:type="dxa"/>
          </w:tcPr>
          <w:p w14:paraId="70302951" w14:textId="77777777" w:rsidR="00BF18CF" w:rsidRDefault="00BF18CF">
            <w:pPr>
              <w:pBdr>
                <w:top w:val="nil"/>
                <w:left w:val="nil"/>
                <w:bottom w:val="nil"/>
                <w:right w:val="nil"/>
                <w:between w:val="nil"/>
              </w:pBdr>
              <w:spacing w:before="36" w:after="36"/>
              <w:rPr>
                <w:color w:val="000000"/>
              </w:rPr>
            </w:pPr>
          </w:p>
        </w:tc>
      </w:tr>
      <w:tr w:rsidR="00BF18CF" w14:paraId="3094DB66" w14:textId="77777777" w:rsidTr="00BF18CF">
        <w:tc>
          <w:tcPr>
            <w:tcW w:w="1860" w:type="dxa"/>
          </w:tcPr>
          <w:p w14:paraId="6A3492B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0" w:type="dxa"/>
          </w:tcPr>
          <w:p w14:paraId="7DEE0DD0" w14:textId="77777777" w:rsidR="00BF18CF" w:rsidRDefault="00BF18CF">
            <w:pPr>
              <w:pBdr>
                <w:top w:val="nil"/>
                <w:left w:val="nil"/>
                <w:bottom w:val="nil"/>
                <w:right w:val="nil"/>
                <w:between w:val="nil"/>
              </w:pBdr>
              <w:spacing w:before="36" w:after="36"/>
              <w:rPr>
                <w:color w:val="000000"/>
              </w:rPr>
            </w:pPr>
          </w:p>
        </w:tc>
      </w:tr>
    </w:tbl>
    <w:p w14:paraId="59B1B530" w14:textId="77777777" w:rsidR="00BF18CF" w:rsidRDefault="00E51347">
      <w:pPr>
        <w:pStyle w:val="Heading3"/>
      </w:pPr>
      <w:bookmarkStart w:id="473" w:name="bookmark=id.3jd0qos" w:colFirst="0" w:colLast="0"/>
      <w:bookmarkStart w:id="474" w:name="_Toc144360980"/>
      <w:bookmarkEnd w:id="473"/>
      <w:r>
        <w:t>P129 a pour sujet (est le sujet de)</w:t>
      </w:r>
      <w:bookmarkEnd w:id="474"/>
    </w:p>
    <w:tbl>
      <w:tblPr>
        <w:tblStyle w:val="affffff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17"/>
        <w:gridCol w:w="8773"/>
      </w:tblGrid>
      <w:tr w:rsidR="00BF18CF" w14:paraId="567D65FE" w14:textId="77777777" w:rsidTr="00BF18CF">
        <w:tc>
          <w:tcPr>
            <w:tcW w:w="1917" w:type="dxa"/>
          </w:tcPr>
          <w:p w14:paraId="1180EA2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73" w:type="dxa"/>
          </w:tcPr>
          <w:p w14:paraId="19A47DDE" w14:textId="77777777" w:rsidR="00BF18CF" w:rsidRDefault="00E51347">
            <w:r>
              <w:rPr>
                <w:rFonts w:ascii="Consolas" w:eastAsia="Consolas" w:hAnsi="Consolas" w:cs="Consolas"/>
                <w:sz w:val="22"/>
                <w:szCs w:val="22"/>
                <w:shd w:val="clear" w:color="auto" w:fill="EAEEF3"/>
              </w:rPr>
              <w:t>E89_Objet_propositionnel</w:t>
            </w:r>
          </w:p>
        </w:tc>
      </w:tr>
      <w:tr w:rsidR="00BF18CF" w14:paraId="5E417E67" w14:textId="77777777" w:rsidTr="00BF18CF">
        <w:tc>
          <w:tcPr>
            <w:tcW w:w="1917" w:type="dxa"/>
          </w:tcPr>
          <w:p w14:paraId="23BEB1E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73" w:type="dxa"/>
          </w:tcPr>
          <w:p w14:paraId="65BB51E4" w14:textId="77777777" w:rsidR="00BF18CF" w:rsidRDefault="00E51347">
            <w:r>
              <w:rPr>
                <w:rFonts w:ascii="Consolas" w:eastAsia="Consolas" w:hAnsi="Consolas" w:cs="Consolas"/>
                <w:sz w:val="22"/>
                <w:szCs w:val="22"/>
                <w:shd w:val="clear" w:color="auto" w:fill="EAEEF3"/>
              </w:rPr>
              <w:t>E1_Entité_CRM</w:t>
            </w:r>
          </w:p>
        </w:tc>
      </w:tr>
      <w:tr w:rsidR="00BF18CF" w14:paraId="32E04E69" w14:textId="77777777" w:rsidTr="00BF18CF">
        <w:tc>
          <w:tcPr>
            <w:tcW w:w="1917" w:type="dxa"/>
          </w:tcPr>
          <w:p w14:paraId="119B28D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73" w:type="dxa"/>
          </w:tcPr>
          <w:p w14:paraId="08795C8D" w14:textId="77777777" w:rsidR="00BF18CF" w:rsidRDefault="00BF18CF">
            <w:pPr>
              <w:pBdr>
                <w:top w:val="nil"/>
                <w:left w:val="nil"/>
                <w:bottom w:val="nil"/>
                <w:right w:val="nil"/>
                <w:between w:val="nil"/>
              </w:pBdr>
              <w:spacing w:before="36" w:after="36"/>
              <w:rPr>
                <w:color w:val="000000"/>
              </w:rPr>
            </w:pPr>
          </w:p>
        </w:tc>
      </w:tr>
      <w:tr w:rsidR="00BF18CF" w14:paraId="1A30AC35" w14:textId="77777777" w:rsidTr="00BF18CF">
        <w:tc>
          <w:tcPr>
            <w:tcW w:w="1917" w:type="dxa"/>
          </w:tcPr>
          <w:p w14:paraId="622CED08"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73" w:type="dxa"/>
          </w:tcPr>
          <w:p w14:paraId="708E3268" w14:textId="77777777" w:rsidR="00BF18CF" w:rsidRDefault="00E51347">
            <w:r>
              <w:rPr>
                <w:rFonts w:ascii="Consolas" w:eastAsia="Consolas" w:hAnsi="Consolas" w:cs="Consolas"/>
                <w:sz w:val="22"/>
                <w:szCs w:val="22"/>
                <w:shd w:val="clear" w:color="auto" w:fill="EAEEF3"/>
              </w:rPr>
              <w:t>E89_Objet_propositionnel</w:t>
            </w:r>
            <w:r>
              <w:t xml:space="preserve">. </w:t>
            </w:r>
            <w:r>
              <w:rPr>
                <w:rFonts w:ascii="Consolas" w:eastAsia="Consolas" w:hAnsi="Consolas" w:cs="Consolas"/>
                <w:sz w:val="22"/>
                <w:szCs w:val="22"/>
                <w:shd w:val="clear" w:color="auto" w:fill="EAEEF3"/>
              </w:rPr>
              <w:t>P67_renvoie_à (fait_l’objet_d’un_renvoi_par)</w:t>
            </w:r>
            <w:r>
              <w:t xml:space="preserve"> : </w:t>
            </w:r>
            <w:r>
              <w:rPr>
                <w:rFonts w:ascii="Consolas" w:eastAsia="Consolas" w:hAnsi="Consolas" w:cs="Consolas"/>
                <w:sz w:val="22"/>
                <w:szCs w:val="22"/>
                <w:shd w:val="clear" w:color="auto" w:fill="EAEEF3"/>
              </w:rPr>
              <w:t>E1_Entité_CRM</w:t>
            </w:r>
          </w:p>
        </w:tc>
      </w:tr>
      <w:tr w:rsidR="00BF18CF" w14:paraId="03658FE3" w14:textId="77777777" w:rsidTr="00BF18CF">
        <w:tc>
          <w:tcPr>
            <w:tcW w:w="1917" w:type="dxa"/>
          </w:tcPr>
          <w:p w14:paraId="584B1A6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73" w:type="dxa"/>
          </w:tcPr>
          <w:p w14:paraId="54420278" w14:textId="77777777" w:rsidR="00BF18CF" w:rsidRDefault="00E51347">
            <w:proofErr w:type="gramStart"/>
            <w:r>
              <w:t>plusieurs</w:t>
            </w:r>
            <w:proofErr w:type="gramEnd"/>
            <w:r>
              <w:t xml:space="preserve"> à plusieurs (0,n:0,n)</w:t>
            </w:r>
          </w:p>
        </w:tc>
      </w:tr>
      <w:tr w:rsidR="00BF18CF" w14:paraId="78191D88" w14:textId="77777777" w:rsidTr="00BF18CF">
        <w:tc>
          <w:tcPr>
            <w:tcW w:w="1917" w:type="dxa"/>
          </w:tcPr>
          <w:p w14:paraId="6A4DA63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73" w:type="dxa"/>
          </w:tcPr>
          <w:p w14:paraId="3FEE995F" w14:textId="77777777" w:rsidR="00BF18CF" w:rsidRDefault="00E51347">
            <w:r>
              <w:t xml:space="preserve">Cette propriété documente qu'une instance de </w:t>
            </w:r>
            <w:r>
              <w:rPr>
                <w:rFonts w:ascii="Consolas" w:eastAsia="Consolas" w:hAnsi="Consolas" w:cs="Consolas"/>
                <w:sz w:val="22"/>
                <w:szCs w:val="22"/>
                <w:shd w:val="clear" w:color="auto" w:fill="EAEEF3"/>
              </w:rPr>
              <w:t>E89_Objet_propositionnel</w:t>
            </w:r>
            <w:r>
              <w:t xml:space="preserve"> a pour sujet une instance de </w:t>
            </w:r>
            <w:r>
              <w:rPr>
                <w:rFonts w:ascii="Consolas" w:eastAsia="Consolas" w:hAnsi="Consolas" w:cs="Consolas"/>
                <w:sz w:val="22"/>
                <w:szCs w:val="22"/>
                <w:shd w:val="clear" w:color="auto" w:fill="EAEEF3"/>
              </w:rPr>
              <w:t>E1_Entité_CRM</w:t>
            </w:r>
            <w:r>
              <w:t>.</w:t>
            </w:r>
          </w:p>
          <w:p w14:paraId="3F7EA1FC" w14:textId="77777777" w:rsidR="00BF18CF" w:rsidRDefault="00E51347">
            <w:r>
              <w:lastRenderedPageBreak/>
              <w:t xml:space="preserve">La propriété </w:t>
            </w:r>
            <w:r>
              <w:rPr>
                <w:rFonts w:ascii="Consolas" w:eastAsia="Consolas" w:hAnsi="Consolas" w:cs="Consolas"/>
                <w:sz w:val="22"/>
                <w:szCs w:val="22"/>
                <w:shd w:val="clear" w:color="auto" w:fill="EAEEF3"/>
              </w:rPr>
              <w:t>P129_a_pour_sujet (est_le_sujet_de)</w:t>
            </w:r>
            <w:r>
              <w:t xml:space="preserve"> diffère de </w:t>
            </w:r>
            <w:r>
              <w:rPr>
                <w:rFonts w:ascii="Consolas" w:eastAsia="Consolas" w:hAnsi="Consolas" w:cs="Consolas"/>
                <w:sz w:val="22"/>
                <w:szCs w:val="22"/>
                <w:shd w:val="clear" w:color="auto" w:fill="EAEEF3"/>
              </w:rPr>
              <w:t>P67_renvoie_à (fait_l’objet_d’un_renvoi_par)</w:t>
            </w:r>
            <w:r>
              <w:t xml:space="preserve">, qui réfère à une instance de </w:t>
            </w:r>
            <w:r>
              <w:rPr>
                <w:rFonts w:ascii="Consolas" w:eastAsia="Consolas" w:hAnsi="Consolas" w:cs="Consolas"/>
                <w:sz w:val="22"/>
                <w:szCs w:val="22"/>
                <w:shd w:val="clear" w:color="auto" w:fill="EAEEF3"/>
              </w:rPr>
              <w:t>E1_Entité_CRM</w:t>
            </w:r>
            <w:r>
              <w:t xml:space="preserve">, en ce qu'elle décrit le ou les sujets principaux d'une instance de </w:t>
            </w:r>
            <w:r>
              <w:rPr>
                <w:rFonts w:ascii="Consolas" w:eastAsia="Consolas" w:hAnsi="Consolas" w:cs="Consolas"/>
                <w:sz w:val="22"/>
                <w:szCs w:val="22"/>
                <w:shd w:val="clear" w:color="auto" w:fill="EAEEF3"/>
              </w:rPr>
              <w:t>E89_Objet_propositionnel</w:t>
            </w:r>
            <w:r>
              <w:t>.</w:t>
            </w:r>
          </w:p>
        </w:tc>
      </w:tr>
      <w:tr w:rsidR="00BF18CF" w14:paraId="39664020" w14:textId="77777777" w:rsidTr="00BF18CF">
        <w:tc>
          <w:tcPr>
            <w:tcW w:w="1917" w:type="dxa"/>
          </w:tcPr>
          <w:p w14:paraId="768ED434"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73" w:type="dxa"/>
          </w:tcPr>
          <w:p w14:paraId="606FBB03" w14:textId="77777777" w:rsidR="00BF18CF" w:rsidRDefault="00E51347">
            <w:pPr>
              <w:numPr>
                <w:ilvl w:val="0"/>
                <w:numId w:val="19"/>
              </w:numPr>
            </w:pPr>
            <w:r>
              <w:t>Le texte intitulé « Reach for the sky » (</w:t>
            </w:r>
            <w:r>
              <w:rPr>
                <w:rFonts w:ascii="Consolas" w:eastAsia="Consolas" w:hAnsi="Consolas" w:cs="Consolas"/>
                <w:sz w:val="22"/>
                <w:szCs w:val="22"/>
                <w:shd w:val="clear" w:color="auto" w:fill="EAEEF3"/>
              </w:rPr>
              <w:t>E33_Objet_linguistique</w:t>
            </w:r>
            <w:r>
              <w:t>) a pour sujet (</w:t>
            </w:r>
            <w:r>
              <w:rPr>
                <w:rFonts w:ascii="Consolas" w:eastAsia="Consolas" w:hAnsi="Consolas" w:cs="Consolas"/>
                <w:sz w:val="22"/>
                <w:szCs w:val="22"/>
                <w:shd w:val="clear" w:color="auto" w:fill="EAEEF3"/>
              </w:rPr>
              <w:t>P129_a_pour_sujet</w:t>
            </w:r>
            <w:r>
              <w:t>) Douglas Bader (</w:t>
            </w:r>
            <w:r>
              <w:rPr>
                <w:rFonts w:ascii="Consolas" w:eastAsia="Consolas" w:hAnsi="Consolas" w:cs="Consolas"/>
                <w:sz w:val="22"/>
                <w:szCs w:val="22"/>
                <w:shd w:val="clear" w:color="auto" w:fill="EAEEF3"/>
              </w:rPr>
              <w:t>E21_Personne</w:t>
            </w:r>
            <w:r>
              <w:t>) (Brickhill, 2001)</w:t>
            </w:r>
          </w:p>
        </w:tc>
      </w:tr>
      <w:tr w:rsidR="00BF18CF" w14:paraId="1526DB1B" w14:textId="77777777" w:rsidTr="00BF18CF">
        <w:tc>
          <w:tcPr>
            <w:tcW w:w="1917" w:type="dxa"/>
          </w:tcPr>
          <w:p w14:paraId="22B6E3E5"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73" w:type="dxa"/>
          </w:tcPr>
          <w:p w14:paraId="5D517A9E" w14:textId="77777777" w:rsidR="00BF18CF" w:rsidRDefault="00E51347">
            <w:r>
              <w:t>P129(</w:t>
            </w:r>
            <w:proofErr w:type="gramStart"/>
            <w:r>
              <w:t>x,y</w:t>
            </w:r>
            <w:proofErr w:type="gramEnd"/>
            <w:r>
              <w:t>) ⇒ E89(x)</w:t>
            </w:r>
          </w:p>
          <w:p w14:paraId="19D9E29B" w14:textId="77777777" w:rsidR="00BF18CF" w:rsidRDefault="00E51347">
            <w:r>
              <w:t>P129(</w:t>
            </w:r>
            <w:proofErr w:type="gramStart"/>
            <w:r>
              <w:t>x,y</w:t>
            </w:r>
            <w:proofErr w:type="gramEnd"/>
            <w:r>
              <w:t>) ⇒ E1(y)</w:t>
            </w:r>
          </w:p>
          <w:p w14:paraId="56D71AAA" w14:textId="77777777" w:rsidR="00BF18CF" w:rsidRDefault="00E51347">
            <w:r>
              <w:t>P129(</w:t>
            </w:r>
            <w:proofErr w:type="gramStart"/>
            <w:r>
              <w:t>x,y</w:t>
            </w:r>
            <w:proofErr w:type="gramEnd"/>
            <w:r>
              <w:t>) ⇒ P67(x,y)</w:t>
            </w:r>
          </w:p>
        </w:tc>
      </w:tr>
      <w:tr w:rsidR="00BF18CF" w14:paraId="45F789C8" w14:textId="77777777" w:rsidTr="00BF18CF">
        <w:tc>
          <w:tcPr>
            <w:tcW w:w="1917" w:type="dxa"/>
          </w:tcPr>
          <w:p w14:paraId="0EB04B2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73" w:type="dxa"/>
          </w:tcPr>
          <w:p w14:paraId="1C3F5DA0" w14:textId="77777777" w:rsidR="00BF18CF" w:rsidRDefault="00BF18CF">
            <w:pPr>
              <w:pBdr>
                <w:top w:val="nil"/>
                <w:left w:val="nil"/>
                <w:bottom w:val="nil"/>
                <w:right w:val="nil"/>
                <w:between w:val="nil"/>
              </w:pBdr>
              <w:spacing w:before="36" w:after="36"/>
              <w:rPr>
                <w:color w:val="000000"/>
              </w:rPr>
            </w:pPr>
          </w:p>
        </w:tc>
      </w:tr>
      <w:tr w:rsidR="00BF18CF" w14:paraId="4DE91084" w14:textId="77777777" w:rsidTr="00BF18CF">
        <w:tc>
          <w:tcPr>
            <w:tcW w:w="1917" w:type="dxa"/>
          </w:tcPr>
          <w:p w14:paraId="446DA283" w14:textId="489AB0F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73" w:type="dxa"/>
          </w:tcPr>
          <w:p w14:paraId="3D0041CC" w14:textId="77777777" w:rsidR="00BF18CF" w:rsidRDefault="00BF18CF">
            <w:pPr>
              <w:pBdr>
                <w:top w:val="nil"/>
                <w:left w:val="nil"/>
                <w:bottom w:val="nil"/>
                <w:right w:val="nil"/>
                <w:between w:val="nil"/>
              </w:pBdr>
              <w:spacing w:before="36" w:after="36"/>
              <w:rPr>
                <w:color w:val="000000"/>
              </w:rPr>
            </w:pPr>
          </w:p>
        </w:tc>
      </w:tr>
      <w:tr w:rsidR="00BF18CF" w14:paraId="7C1CE4D3" w14:textId="77777777" w:rsidTr="00BF18CF">
        <w:tc>
          <w:tcPr>
            <w:tcW w:w="1917" w:type="dxa"/>
          </w:tcPr>
          <w:p w14:paraId="012B76E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73" w:type="dxa"/>
          </w:tcPr>
          <w:p w14:paraId="7B7CC19F" w14:textId="77777777" w:rsidR="00BF18CF" w:rsidRDefault="00BF18CF">
            <w:pPr>
              <w:pBdr>
                <w:top w:val="nil"/>
                <w:left w:val="nil"/>
                <w:bottom w:val="nil"/>
                <w:right w:val="nil"/>
                <w:between w:val="nil"/>
              </w:pBdr>
              <w:spacing w:before="36" w:after="36"/>
              <w:rPr>
                <w:color w:val="000000"/>
              </w:rPr>
            </w:pPr>
          </w:p>
        </w:tc>
      </w:tr>
    </w:tbl>
    <w:p w14:paraId="7B8365F7" w14:textId="77777777" w:rsidR="00BF18CF" w:rsidRDefault="00E51347">
      <w:pPr>
        <w:pStyle w:val="Heading3"/>
      </w:pPr>
      <w:bookmarkStart w:id="475" w:name="bookmark=id.1yib0wl" w:colFirst="0" w:colLast="0"/>
      <w:bookmarkStart w:id="476" w:name="_Toc144360981"/>
      <w:bookmarkEnd w:id="475"/>
      <w:r>
        <w:t>P130 présente les caractéristiques de (a les caractéristiques aussi présentes sur)</w:t>
      </w:r>
      <w:bookmarkEnd w:id="476"/>
    </w:p>
    <w:tbl>
      <w:tblPr>
        <w:tblStyle w:val="affffff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7"/>
        <w:gridCol w:w="8823"/>
      </w:tblGrid>
      <w:tr w:rsidR="00BF18CF" w14:paraId="16FDF8D7" w14:textId="77777777" w:rsidTr="00BF18CF">
        <w:tc>
          <w:tcPr>
            <w:tcW w:w="1867" w:type="dxa"/>
          </w:tcPr>
          <w:p w14:paraId="7AEBA38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3" w:type="dxa"/>
          </w:tcPr>
          <w:p w14:paraId="3CEE2493" w14:textId="77777777" w:rsidR="00BF18CF" w:rsidRDefault="00E51347">
            <w:r>
              <w:rPr>
                <w:rFonts w:ascii="Consolas" w:eastAsia="Consolas" w:hAnsi="Consolas" w:cs="Consolas"/>
                <w:sz w:val="22"/>
                <w:szCs w:val="22"/>
                <w:shd w:val="clear" w:color="auto" w:fill="EAEEF3"/>
              </w:rPr>
              <w:t>E70_Chose</w:t>
            </w:r>
          </w:p>
        </w:tc>
      </w:tr>
      <w:tr w:rsidR="00BF18CF" w14:paraId="59247F8B" w14:textId="77777777" w:rsidTr="00BF18CF">
        <w:tc>
          <w:tcPr>
            <w:tcW w:w="1867" w:type="dxa"/>
          </w:tcPr>
          <w:p w14:paraId="284016F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3" w:type="dxa"/>
          </w:tcPr>
          <w:p w14:paraId="3DBEBB4E" w14:textId="77777777" w:rsidR="00BF18CF" w:rsidRDefault="00E51347">
            <w:r>
              <w:rPr>
                <w:rFonts w:ascii="Consolas" w:eastAsia="Consolas" w:hAnsi="Consolas" w:cs="Consolas"/>
                <w:sz w:val="22"/>
                <w:szCs w:val="22"/>
                <w:shd w:val="clear" w:color="auto" w:fill="EAEEF3"/>
              </w:rPr>
              <w:t>E70_Chose</w:t>
            </w:r>
          </w:p>
        </w:tc>
      </w:tr>
      <w:tr w:rsidR="00BF18CF" w14:paraId="26FC62B7" w14:textId="77777777" w:rsidTr="00BF18CF">
        <w:tc>
          <w:tcPr>
            <w:tcW w:w="1867" w:type="dxa"/>
          </w:tcPr>
          <w:p w14:paraId="683DDA06"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23" w:type="dxa"/>
          </w:tcPr>
          <w:p w14:paraId="27E212EA" w14:textId="77777777" w:rsidR="00BF18CF" w:rsidRDefault="00BF18CF">
            <w:pPr>
              <w:pBdr>
                <w:top w:val="nil"/>
                <w:left w:val="nil"/>
                <w:bottom w:val="nil"/>
                <w:right w:val="nil"/>
                <w:between w:val="nil"/>
              </w:pBdr>
              <w:spacing w:before="36" w:after="36"/>
              <w:rPr>
                <w:color w:val="000000"/>
              </w:rPr>
            </w:pPr>
          </w:p>
        </w:tc>
      </w:tr>
      <w:tr w:rsidR="00BF18CF" w14:paraId="23076B90" w14:textId="77777777" w:rsidTr="00BF18CF">
        <w:tc>
          <w:tcPr>
            <w:tcW w:w="1867" w:type="dxa"/>
          </w:tcPr>
          <w:p w14:paraId="3B63D9CD"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3" w:type="dxa"/>
          </w:tcPr>
          <w:p w14:paraId="00A766B7" w14:textId="77777777" w:rsidR="00BF18CF" w:rsidRDefault="00E51347">
            <w:r>
              <w:rPr>
                <w:rFonts w:ascii="Consolas" w:eastAsia="Consolas" w:hAnsi="Consolas" w:cs="Consolas"/>
                <w:sz w:val="22"/>
                <w:szCs w:val="22"/>
                <w:shd w:val="clear" w:color="auto" w:fill="EAEEF3"/>
              </w:rPr>
              <w:t>E33_Objet_linguistique</w:t>
            </w:r>
            <w:r>
              <w:t xml:space="preserve">. </w:t>
            </w:r>
            <w:r>
              <w:rPr>
                <w:rFonts w:ascii="Consolas" w:eastAsia="Consolas" w:hAnsi="Consolas" w:cs="Consolas"/>
                <w:sz w:val="22"/>
                <w:szCs w:val="22"/>
                <w:shd w:val="clear" w:color="auto" w:fill="EAEEF3"/>
              </w:rPr>
              <w:t>P73i_est_traduction_de</w:t>
            </w:r>
            <w:r>
              <w:t xml:space="preserve"> : </w:t>
            </w:r>
            <w:r>
              <w:rPr>
                <w:rFonts w:ascii="Consolas" w:eastAsia="Consolas" w:hAnsi="Consolas" w:cs="Consolas"/>
                <w:sz w:val="22"/>
                <w:szCs w:val="22"/>
                <w:shd w:val="clear" w:color="auto" w:fill="EAEEF3"/>
              </w:rPr>
              <w:t>E33_Objet_linguistique</w:t>
            </w:r>
          </w:p>
          <w:p w14:paraId="311C3AC5"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P128_est_le_support_de (a_pour_support)</w:t>
            </w:r>
            <w:r>
              <w:t xml:space="preserve"> : </w:t>
            </w:r>
            <w:r>
              <w:rPr>
                <w:rFonts w:ascii="Consolas" w:eastAsia="Consolas" w:hAnsi="Consolas" w:cs="Consolas"/>
                <w:sz w:val="22"/>
                <w:szCs w:val="22"/>
                <w:shd w:val="clear" w:color="auto" w:fill="EAEEF3"/>
              </w:rPr>
              <w:t>E90_Objet_symbolique</w:t>
            </w:r>
          </w:p>
        </w:tc>
      </w:tr>
      <w:tr w:rsidR="00BF18CF" w14:paraId="4C9BC125" w14:textId="77777777" w:rsidTr="00BF18CF">
        <w:tc>
          <w:tcPr>
            <w:tcW w:w="1867" w:type="dxa"/>
          </w:tcPr>
          <w:p w14:paraId="6EB64A0A"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3" w:type="dxa"/>
          </w:tcPr>
          <w:p w14:paraId="62435834" w14:textId="77777777" w:rsidR="00BF18CF" w:rsidRDefault="00E51347">
            <w:proofErr w:type="gramStart"/>
            <w:r>
              <w:t>plusieurs</w:t>
            </w:r>
            <w:proofErr w:type="gramEnd"/>
            <w:r>
              <w:t xml:space="preserve"> à plusieurs (0,n:0,n)</w:t>
            </w:r>
          </w:p>
        </w:tc>
      </w:tr>
      <w:tr w:rsidR="00BF18CF" w14:paraId="30E91193" w14:textId="77777777" w:rsidTr="00BF18CF">
        <w:tc>
          <w:tcPr>
            <w:tcW w:w="1867" w:type="dxa"/>
          </w:tcPr>
          <w:p w14:paraId="0E4D84C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23" w:type="dxa"/>
          </w:tcPr>
          <w:p w14:paraId="4EEAB18F" w14:textId="77777777" w:rsidR="00BF18CF" w:rsidRDefault="00E51347">
            <w:r>
              <w:t>Cette propriété généralise les notions de « copie de » et « similaire à » en une relation directe, où le domaine témoigne de l’élément dérivé ou influencé et la portée témoigne de la source ou de l’élément exerçant l’influence, lorsqu’une telle direction peut être établie. La propriété peut également être utilisée afin d’exprimer la similitude dans les cas où celle-ci peut être déclarée entre deux objets seulement, sans connaissance historique quant aux raisons liées à cette similitude. Cette propriété exprime une relation symétrique lorsqu’aucune direction quant à l’influence d’un élément sur un autre ne peut être établie, soit par le biais d’une preuve sur l’élément lui-même, soit par la connaissance historique. Cela vaut en particulier pour les éléments découlant d’un même processus de dérivation d’une source commune ou pour des parallèles culturels non-causals, tels que des motifs de tissage.</w:t>
            </w:r>
          </w:p>
          <w:p w14:paraId="1CAAA5CD" w14:textId="77777777" w:rsidR="00BF18CF" w:rsidRDefault="00E51347">
            <w:r>
              <w:t xml:space="preserve">La propriété </w:t>
            </w:r>
            <w:r>
              <w:rPr>
                <w:rFonts w:ascii="Consolas" w:eastAsia="Consolas" w:hAnsi="Consolas" w:cs="Consolas"/>
                <w:sz w:val="22"/>
                <w:szCs w:val="22"/>
                <w:shd w:val="clear" w:color="auto" w:fill="EAEEF3"/>
              </w:rPr>
              <w:t>P130.1_sorte_de_similarité</w:t>
            </w:r>
            <w:r>
              <w:t xml:space="preserve"> de la propriété </w:t>
            </w:r>
            <w:r>
              <w:rPr>
                <w:rFonts w:ascii="Consolas" w:eastAsia="Consolas" w:hAnsi="Consolas" w:cs="Consolas"/>
                <w:sz w:val="22"/>
                <w:szCs w:val="22"/>
                <w:shd w:val="clear" w:color="auto" w:fill="EAEEF3"/>
              </w:rPr>
              <w:t>P130_présente_les_caractéristiques de (a_les_caractéristiques_aussi_présentes_sur)</w:t>
            </w:r>
            <w:r>
              <w:t xml:space="preserve"> permet de clarifier davantage la relation entre le domaine et la portée, le cas échéant. Par exemple, la précision </w:t>
            </w:r>
            <w:r>
              <w:lastRenderedPageBreak/>
              <w:t>peut être exprimée si les deux éléments sont des produits « du même moule », ou si deux textes « contiennent des paragraphes identiques ».</w:t>
            </w:r>
          </w:p>
          <w:p w14:paraId="59A75DB2" w14:textId="77777777" w:rsidR="00BF18CF" w:rsidRDefault="00E51347">
            <w:r>
              <w:t xml:space="preserve">Si la cause de la similitude est un type de processus de dérivation, c.-à-d. que le créateur a utilisé ou avait en tête la forme d’une chose particulière durant la création ou la production, ce processus doit être explicitement modélisé. Dans ces situations, </w:t>
            </w:r>
            <w:r>
              <w:rPr>
                <w:rFonts w:ascii="Consolas" w:eastAsia="Consolas" w:hAnsi="Consolas" w:cs="Consolas"/>
                <w:sz w:val="22"/>
                <w:szCs w:val="22"/>
                <w:shd w:val="clear" w:color="auto" w:fill="EAEEF3"/>
              </w:rPr>
              <w:t>P130_présente_les_caractéristiques_de</w:t>
            </w:r>
            <w:r>
              <w:t xml:space="preserve"> peut être considéré comme un raccourci d’un tel processus. Cependant, le présent modèle ne propose pas de chemin assez spécifique pour permettre l’inférence de cette propriété. Des extensions du CIDOC CRM pourraient cependant être plus explicites, en décrivant par exemple l’utilisation de moules.</w:t>
            </w:r>
          </w:p>
          <w:p w14:paraId="04C266A9" w14:textId="77777777" w:rsidR="00BF18CF" w:rsidRDefault="00E51347">
            <w:r>
              <w:t>Cette propriété n’est pas transitive.</w:t>
            </w:r>
          </w:p>
        </w:tc>
      </w:tr>
      <w:tr w:rsidR="00BF18CF" w14:paraId="25C1ED65" w14:textId="77777777" w:rsidTr="00BF18CF">
        <w:tc>
          <w:tcPr>
            <w:tcW w:w="1867" w:type="dxa"/>
          </w:tcPr>
          <w:p w14:paraId="7854065F"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23" w:type="dxa"/>
          </w:tcPr>
          <w:p w14:paraId="4A855FC6" w14:textId="77777777" w:rsidR="00BF18CF" w:rsidRDefault="00E51347">
            <w:pPr>
              <w:numPr>
                <w:ilvl w:val="0"/>
                <w:numId w:val="19"/>
              </w:numPr>
            </w:pPr>
            <w:r>
              <w:rPr>
                <w:i/>
              </w:rPr>
              <w:t>Cymbeline</w:t>
            </w:r>
            <w:r>
              <w:t xml:space="preserve"> de Mary Lamb [issue des </w:t>
            </w:r>
            <w:r>
              <w:rPr>
                <w:i/>
              </w:rPr>
              <w:t>Contes d’après Shakespeare</w:t>
            </w:r>
            <w:r>
              <w:t>] présente les caractéristiques de (</w:t>
            </w:r>
            <w:r>
              <w:rPr>
                <w:rFonts w:ascii="Consolas" w:eastAsia="Consolas" w:hAnsi="Consolas" w:cs="Consolas"/>
                <w:sz w:val="22"/>
                <w:szCs w:val="22"/>
                <w:shd w:val="clear" w:color="auto" w:fill="EAEEF3"/>
              </w:rPr>
              <w:t>P130_présente_les_caractéristiques_de</w:t>
            </w:r>
            <w:r>
              <w:t xml:space="preserve">) </w:t>
            </w:r>
            <w:r>
              <w:rPr>
                <w:i/>
              </w:rPr>
              <w:t>Cymbeline</w:t>
            </w:r>
            <w:r>
              <w:t xml:space="preserve"> de William Shakespeare (Carrington, 1954)</w:t>
            </w:r>
          </w:p>
          <w:p w14:paraId="79B8131B" w14:textId="77777777" w:rsidR="00BF18CF" w:rsidRDefault="00E51347">
            <w:pPr>
              <w:numPr>
                <w:ilvl w:val="0"/>
                <w:numId w:val="19"/>
              </w:numPr>
            </w:pPr>
            <w:r>
              <w:t xml:space="preserve">L’enregistrement audio de la lecture, par Enrico de Negri, de l’œuvre </w:t>
            </w:r>
            <w:r>
              <w:rPr>
                <w:i/>
              </w:rPr>
              <w:t>Divine Comédie</w:t>
            </w:r>
            <w:r>
              <w:t xml:space="preserve"> de Dante Alighieri présente les caractéristiques du (</w:t>
            </w:r>
            <w:r>
              <w:rPr>
                <w:rFonts w:ascii="Consolas" w:eastAsia="Consolas" w:hAnsi="Consolas" w:cs="Consolas"/>
                <w:sz w:val="22"/>
                <w:szCs w:val="22"/>
                <w:shd w:val="clear" w:color="auto" w:fill="EAEEF3"/>
              </w:rPr>
              <w:t>P130_présente_les_caractéristiques_de</w:t>
            </w:r>
            <w:r>
              <w:t xml:space="preserve">) texte de la </w:t>
            </w:r>
            <w:r>
              <w:rPr>
                <w:i/>
              </w:rPr>
              <w:t>Divine Comédie</w:t>
            </w:r>
            <w:r>
              <w:t xml:space="preserve"> de Dante Alighieri (Alighieri, 1956)</w:t>
            </w:r>
          </w:p>
        </w:tc>
      </w:tr>
      <w:tr w:rsidR="00BF18CF" w14:paraId="797488CC" w14:textId="77777777" w:rsidTr="00BF18CF">
        <w:tc>
          <w:tcPr>
            <w:tcW w:w="1867" w:type="dxa"/>
          </w:tcPr>
          <w:p w14:paraId="1BBCF57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3" w:type="dxa"/>
          </w:tcPr>
          <w:p w14:paraId="3B218B6E" w14:textId="77777777" w:rsidR="00BF18CF" w:rsidRDefault="00E51347">
            <w:r>
              <w:t>P130(</w:t>
            </w:r>
            <w:proofErr w:type="gramStart"/>
            <w:r>
              <w:t>x,y</w:t>
            </w:r>
            <w:proofErr w:type="gramEnd"/>
            <w:r>
              <w:t>) ⇒ E70(x)</w:t>
            </w:r>
          </w:p>
          <w:p w14:paraId="10EED374" w14:textId="77777777" w:rsidR="00BF18CF" w:rsidRDefault="00E51347">
            <w:r>
              <w:t>P130(</w:t>
            </w:r>
            <w:proofErr w:type="gramStart"/>
            <w:r>
              <w:t>x,y</w:t>
            </w:r>
            <w:proofErr w:type="gramEnd"/>
            <w:r>
              <w:t>) ⇒ E70(y)</w:t>
            </w:r>
          </w:p>
          <w:p w14:paraId="3532D079" w14:textId="77777777" w:rsidR="00BF18CF" w:rsidRDefault="00E51347">
            <w:r>
              <w:t>P130(</w:t>
            </w:r>
            <w:proofErr w:type="gramStart"/>
            <w:r>
              <w:t>x,y</w:t>
            </w:r>
            <w:proofErr w:type="gramEnd"/>
            <w:r>
              <w:t>,z) ⇒ [P130(x,y) ∧ E55(z)]</w:t>
            </w:r>
          </w:p>
        </w:tc>
      </w:tr>
      <w:tr w:rsidR="00BF18CF" w14:paraId="07E88E38" w14:textId="77777777" w:rsidTr="00BF18CF">
        <w:tc>
          <w:tcPr>
            <w:tcW w:w="1867" w:type="dxa"/>
          </w:tcPr>
          <w:p w14:paraId="06B0E7F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23" w:type="dxa"/>
          </w:tcPr>
          <w:p w14:paraId="4BBF6092" w14:textId="77777777" w:rsidR="00BF18CF" w:rsidRDefault="00E51347">
            <w:r>
              <w:rPr>
                <w:rFonts w:ascii="Consolas" w:eastAsia="Consolas" w:hAnsi="Consolas" w:cs="Consolas"/>
                <w:sz w:val="22"/>
                <w:szCs w:val="22"/>
                <w:shd w:val="clear" w:color="auto" w:fill="EAEEF3"/>
              </w:rPr>
              <w:t>P130.1_sorte_de_similarité</w:t>
            </w:r>
            <w:r>
              <w:t xml:space="preserve"> : </w:t>
            </w:r>
            <w:r>
              <w:rPr>
                <w:rFonts w:ascii="Consolas" w:eastAsia="Consolas" w:hAnsi="Consolas" w:cs="Consolas"/>
                <w:sz w:val="22"/>
                <w:szCs w:val="22"/>
                <w:shd w:val="clear" w:color="auto" w:fill="EAEEF3"/>
              </w:rPr>
              <w:t>E55_Type</w:t>
            </w:r>
          </w:p>
        </w:tc>
      </w:tr>
      <w:tr w:rsidR="00BF18CF" w14:paraId="3CCA17BA" w14:textId="77777777" w:rsidTr="00BF18CF">
        <w:tc>
          <w:tcPr>
            <w:tcW w:w="1867" w:type="dxa"/>
          </w:tcPr>
          <w:p w14:paraId="7FA4B143" w14:textId="5A5AAE0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3" w:type="dxa"/>
          </w:tcPr>
          <w:p w14:paraId="6C315D02" w14:textId="77777777" w:rsidR="00BF18CF" w:rsidRDefault="00BF18CF">
            <w:pPr>
              <w:pBdr>
                <w:top w:val="nil"/>
                <w:left w:val="nil"/>
                <w:bottom w:val="nil"/>
                <w:right w:val="nil"/>
                <w:between w:val="nil"/>
              </w:pBdr>
              <w:spacing w:before="36" w:after="36"/>
              <w:rPr>
                <w:color w:val="000000"/>
              </w:rPr>
            </w:pPr>
          </w:p>
        </w:tc>
      </w:tr>
      <w:tr w:rsidR="00BF18CF" w14:paraId="5FD98801" w14:textId="77777777" w:rsidTr="00BF18CF">
        <w:tc>
          <w:tcPr>
            <w:tcW w:w="1867" w:type="dxa"/>
          </w:tcPr>
          <w:p w14:paraId="2FFD1A1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3" w:type="dxa"/>
          </w:tcPr>
          <w:p w14:paraId="1BDF47FD" w14:textId="77777777" w:rsidR="00BF18CF" w:rsidRDefault="00BF18CF">
            <w:pPr>
              <w:pBdr>
                <w:top w:val="nil"/>
                <w:left w:val="nil"/>
                <w:bottom w:val="nil"/>
                <w:right w:val="nil"/>
                <w:between w:val="nil"/>
              </w:pBdr>
              <w:spacing w:before="36" w:after="36"/>
              <w:rPr>
                <w:color w:val="000000"/>
              </w:rPr>
            </w:pPr>
          </w:p>
        </w:tc>
      </w:tr>
    </w:tbl>
    <w:p w14:paraId="37437910" w14:textId="77777777" w:rsidR="00BF18CF" w:rsidRDefault="00E51347">
      <w:pPr>
        <w:pStyle w:val="Heading3"/>
      </w:pPr>
      <w:bookmarkStart w:id="477" w:name="bookmark=id.4ihyjke" w:colFirst="0" w:colLast="0"/>
      <w:bookmarkStart w:id="478" w:name="_Toc144360982"/>
      <w:bookmarkEnd w:id="477"/>
      <w:r>
        <w:t>P132 recoupe spatio-temporellement</w:t>
      </w:r>
      <w:bookmarkEnd w:id="478"/>
    </w:p>
    <w:tbl>
      <w:tblPr>
        <w:tblStyle w:val="afffffff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4"/>
        <w:gridCol w:w="8796"/>
      </w:tblGrid>
      <w:tr w:rsidR="00BF18CF" w14:paraId="4CD5623D" w14:textId="77777777" w:rsidTr="00BF18CF">
        <w:tc>
          <w:tcPr>
            <w:tcW w:w="1894" w:type="dxa"/>
          </w:tcPr>
          <w:p w14:paraId="32882777"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6" w:type="dxa"/>
          </w:tcPr>
          <w:p w14:paraId="2C5ED31A" w14:textId="77777777" w:rsidR="00BF18CF" w:rsidRDefault="00E51347">
            <w:r>
              <w:rPr>
                <w:rFonts w:ascii="Consolas" w:eastAsia="Consolas" w:hAnsi="Consolas" w:cs="Consolas"/>
                <w:sz w:val="22"/>
                <w:szCs w:val="22"/>
                <w:shd w:val="clear" w:color="auto" w:fill="EAEEF3"/>
              </w:rPr>
              <w:t>E92_Volume_spatio-temporel</w:t>
            </w:r>
          </w:p>
        </w:tc>
      </w:tr>
      <w:tr w:rsidR="00BF18CF" w14:paraId="16535814" w14:textId="77777777" w:rsidTr="00BF18CF">
        <w:tc>
          <w:tcPr>
            <w:tcW w:w="1894" w:type="dxa"/>
          </w:tcPr>
          <w:p w14:paraId="3126972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6" w:type="dxa"/>
          </w:tcPr>
          <w:p w14:paraId="30826B18" w14:textId="77777777" w:rsidR="00BF18CF" w:rsidRDefault="00E51347">
            <w:r>
              <w:rPr>
                <w:rFonts w:ascii="Consolas" w:eastAsia="Consolas" w:hAnsi="Consolas" w:cs="Consolas"/>
                <w:sz w:val="22"/>
                <w:szCs w:val="22"/>
                <w:shd w:val="clear" w:color="auto" w:fill="EAEEF3"/>
              </w:rPr>
              <w:t>E92_Volume_spatio-temporel</w:t>
            </w:r>
          </w:p>
        </w:tc>
      </w:tr>
      <w:tr w:rsidR="00BF18CF" w14:paraId="6951CD08" w14:textId="77777777" w:rsidTr="00BF18CF">
        <w:tc>
          <w:tcPr>
            <w:tcW w:w="1894" w:type="dxa"/>
          </w:tcPr>
          <w:p w14:paraId="1666C15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6" w:type="dxa"/>
          </w:tcPr>
          <w:p w14:paraId="7F1525A3" w14:textId="77777777" w:rsidR="00BF18CF" w:rsidRDefault="00BF18CF">
            <w:pPr>
              <w:pBdr>
                <w:top w:val="nil"/>
                <w:left w:val="nil"/>
                <w:bottom w:val="nil"/>
                <w:right w:val="nil"/>
                <w:between w:val="nil"/>
              </w:pBdr>
              <w:spacing w:before="36" w:after="36"/>
              <w:rPr>
                <w:color w:val="000000"/>
              </w:rPr>
            </w:pPr>
          </w:p>
        </w:tc>
      </w:tr>
      <w:tr w:rsidR="00BF18CF" w14:paraId="19112AA8" w14:textId="77777777" w:rsidTr="00BF18CF">
        <w:tc>
          <w:tcPr>
            <w:tcW w:w="1894" w:type="dxa"/>
          </w:tcPr>
          <w:p w14:paraId="02339EA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6" w:type="dxa"/>
          </w:tcPr>
          <w:p w14:paraId="11591720" w14:textId="77777777" w:rsidR="00BF18CF" w:rsidRDefault="00E51347">
            <w:r>
              <w:rPr>
                <w:rFonts w:ascii="Consolas" w:eastAsia="Consolas" w:hAnsi="Consolas" w:cs="Consolas"/>
                <w:sz w:val="22"/>
                <w:szCs w:val="22"/>
                <w:shd w:val="clear" w:color="auto" w:fill="EAEEF3"/>
              </w:rPr>
              <w:t>E4_Période</w:t>
            </w:r>
            <w:r>
              <w:t xml:space="preserve">. </w:t>
            </w:r>
            <w:r>
              <w:rPr>
                <w:rFonts w:ascii="Consolas" w:eastAsia="Consolas" w:hAnsi="Consolas" w:cs="Consolas"/>
                <w:sz w:val="22"/>
                <w:szCs w:val="22"/>
                <w:shd w:val="clear" w:color="auto" w:fill="EAEEF3"/>
              </w:rPr>
              <w:t>P9_comprend (fait_partie_de)</w:t>
            </w:r>
            <w:r>
              <w:t xml:space="preserve"> : </w:t>
            </w:r>
            <w:r>
              <w:rPr>
                <w:rFonts w:ascii="Consolas" w:eastAsia="Consolas" w:hAnsi="Consolas" w:cs="Consolas"/>
                <w:sz w:val="22"/>
                <w:szCs w:val="22"/>
                <w:shd w:val="clear" w:color="auto" w:fill="EAEEF3"/>
              </w:rPr>
              <w:t>E4_Période</w:t>
            </w:r>
          </w:p>
          <w:p w14:paraId="21D8E68B" w14:textId="77777777" w:rsidR="00BF18CF" w:rsidRDefault="00E51347">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P10_s’insère_dans (contient)</w:t>
            </w:r>
            <w:r>
              <w:t xml:space="preserve"> : </w:t>
            </w:r>
            <w:r>
              <w:rPr>
                <w:rFonts w:ascii="Consolas" w:eastAsia="Consolas" w:hAnsi="Consolas" w:cs="Consolas"/>
                <w:sz w:val="22"/>
                <w:szCs w:val="22"/>
                <w:shd w:val="clear" w:color="auto" w:fill="EAEEF3"/>
              </w:rPr>
              <w:t>E92_Volume_spatio-temporel</w:t>
            </w:r>
          </w:p>
        </w:tc>
      </w:tr>
      <w:tr w:rsidR="00BF18CF" w14:paraId="032EA96E" w14:textId="77777777" w:rsidTr="00BF18CF">
        <w:tc>
          <w:tcPr>
            <w:tcW w:w="1894" w:type="dxa"/>
          </w:tcPr>
          <w:p w14:paraId="429E1F6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6" w:type="dxa"/>
          </w:tcPr>
          <w:p w14:paraId="4728CC33" w14:textId="77777777" w:rsidR="00BF18CF" w:rsidRDefault="00E51347">
            <w:proofErr w:type="gramStart"/>
            <w:r>
              <w:t>plusieurs</w:t>
            </w:r>
            <w:proofErr w:type="gramEnd"/>
            <w:r>
              <w:t xml:space="preserve"> à plusieurs (0,n:0,n)</w:t>
            </w:r>
          </w:p>
        </w:tc>
      </w:tr>
      <w:tr w:rsidR="00BF18CF" w14:paraId="0B7188E0" w14:textId="77777777" w:rsidTr="00BF18CF">
        <w:tc>
          <w:tcPr>
            <w:tcW w:w="1894" w:type="dxa"/>
          </w:tcPr>
          <w:p w14:paraId="30269FD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6" w:type="dxa"/>
          </w:tcPr>
          <w:p w14:paraId="54CE4AB4" w14:textId="77777777" w:rsidR="00BF18CF" w:rsidRDefault="00E51347">
            <w:r>
              <w:t xml:space="preserve">Cette propriété symétrique associe deux instances de </w:t>
            </w:r>
            <w:r>
              <w:rPr>
                <w:rFonts w:ascii="Consolas" w:eastAsia="Consolas" w:hAnsi="Consolas" w:cs="Consolas"/>
                <w:sz w:val="22"/>
                <w:szCs w:val="22"/>
                <w:shd w:val="clear" w:color="auto" w:fill="EAEEF3"/>
              </w:rPr>
              <w:t>E92_Volume_spatio-temporel</w:t>
            </w:r>
            <w:r>
              <w:t xml:space="preserve"> qui possèdent une part de leur étendue en commun.</w:t>
            </w:r>
          </w:p>
          <w:p w14:paraId="0914BF33" w14:textId="77777777" w:rsidR="00BF18CF" w:rsidRDefault="00E51347">
            <w:r>
              <w:lastRenderedPageBreak/>
              <w:t xml:space="preserve">Si le recoupement ne concerne que les limites floues des instances de </w:t>
            </w:r>
            <w:r>
              <w:rPr>
                <w:rFonts w:ascii="Consolas" w:eastAsia="Consolas" w:hAnsi="Consolas" w:cs="Consolas"/>
                <w:sz w:val="22"/>
                <w:szCs w:val="22"/>
                <w:shd w:val="clear" w:color="auto" w:fill="EAEEF3"/>
              </w:rPr>
              <w:t>E92_Volume_spatio-temporel</w:t>
            </w:r>
            <w:r>
              <w:t xml:space="preserve">, la propriété </w:t>
            </w:r>
            <w:r>
              <w:rPr>
                <w:rFonts w:ascii="Consolas" w:eastAsia="Consolas" w:hAnsi="Consolas" w:cs="Consolas"/>
                <w:sz w:val="22"/>
                <w:szCs w:val="22"/>
                <w:shd w:val="clear" w:color="auto" w:fill="EAEEF3"/>
              </w:rPr>
              <w:t>P132_recoupe_spatio-temporellement</w:t>
            </w:r>
            <w:r>
              <w:t xml:space="preserve"> ne peut être déterminée par la seule observation et ne devrait donc pas être utilisée. Cependant, certaines situations peuvent justifier que les deux instances de </w:t>
            </w:r>
            <w:r>
              <w:rPr>
                <w:rFonts w:ascii="Consolas" w:eastAsia="Consolas" w:hAnsi="Consolas" w:cs="Consolas"/>
                <w:sz w:val="22"/>
                <w:szCs w:val="22"/>
                <w:shd w:val="clear" w:color="auto" w:fill="EAEEF3"/>
              </w:rPr>
              <w:t>E92_Volume_spatio-temporel</w:t>
            </w:r>
            <w:r>
              <w:t xml:space="preserve"> partagent une partie de leur étendue en commun, sans qu’il soit nécessaire de préciser où et quand.</w:t>
            </w:r>
          </w:p>
          <w:p w14:paraId="7BF7B8E7" w14:textId="77777777" w:rsidR="00BF18CF" w:rsidRDefault="00E51347">
            <w:r>
              <w:t xml:space="preserve">Si cette propriété s’applique à deux instances de </w:t>
            </w:r>
            <w:r>
              <w:rPr>
                <w:rFonts w:ascii="Consolas" w:eastAsia="Consolas" w:hAnsi="Consolas" w:cs="Consolas"/>
                <w:sz w:val="22"/>
                <w:szCs w:val="22"/>
                <w:shd w:val="clear" w:color="auto" w:fill="EAEEF3"/>
              </w:rPr>
              <w:t>E92_Volume_spatio-temporel</w:t>
            </w:r>
            <w:r>
              <w:t xml:space="preserve">, alors il n’est pas possible que ces deux instances soient aussi reliées par la propriété </w:t>
            </w:r>
            <w:r>
              <w:rPr>
                <w:rFonts w:ascii="Consolas" w:eastAsia="Consolas" w:hAnsi="Consolas" w:cs="Consolas"/>
                <w:sz w:val="22"/>
                <w:szCs w:val="22"/>
                <w:shd w:val="clear" w:color="auto" w:fill="EAEEF3"/>
              </w:rPr>
              <w:t>P133_est_distinct_spatio-temporellement_de</w:t>
            </w:r>
            <w:r>
              <w:t xml:space="preserve">. De plus, il existe des cas où ni la propriété </w:t>
            </w:r>
            <w:r>
              <w:rPr>
                <w:rFonts w:ascii="Consolas" w:eastAsia="Consolas" w:hAnsi="Consolas" w:cs="Consolas"/>
                <w:sz w:val="22"/>
                <w:szCs w:val="22"/>
                <w:shd w:val="clear" w:color="auto" w:fill="EAEEF3"/>
              </w:rPr>
              <w:t>P132_recoupe_spatio-temporellement_et_partiellement</w:t>
            </w:r>
            <w:r>
              <w:t xml:space="preserve"> ni la propriété </w:t>
            </w:r>
            <w:r>
              <w:rPr>
                <w:rFonts w:ascii="Consolas" w:eastAsia="Consolas" w:hAnsi="Consolas" w:cs="Consolas"/>
                <w:sz w:val="22"/>
                <w:szCs w:val="22"/>
                <w:shd w:val="clear" w:color="auto" w:fill="EAEEF3"/>
              </w:rPr>
              <w:t>P133_est_distinct_spatio-temporellement_de</w:t>
            </w:r>
            <w:r>
              <w:t xml:space="preserve"> ne peuvent s’appliquer entre deux instances de </w:t>
            </w:r>
            <w:r>
              <w:rPr>
                <w:rFonts w:ascii="Consolas" w:eastAsia="Consolas" w:hAnsi="Consolas" w:cs="Consolas"/>
                <w:sz w:val="22"/>
                <w:szCs w:val="22"/>
                <w:shd w:val="clear" w:color="auto" w:fill="EAEEF3"/>
              </w:rPr>
              <w:t>E92_Volume_spatio-temporel</w:t>
            </w:r>
            <w:r>
              <w:t>, notamment lorsque les deux instances ne se recoupent qu’à leurs limites floues et qu’aucun témoignage ou preuve n’est disponible pour valider ou invalider la relation.</w:t>
            </w:r>
          </w:p>
          <w:p w14:paraId="697D6AA7" w14:textId="77777777" w:rsidR="00BF18CF" w:rsidRDefault="00E51347">
            <w:r>
              <w:t>Cette propriété est symétrique.</w:t>
            </w:r>
          </w:p>
        </w:tc>
      </w:tr>
      <w:tr w:rsidR="00BF18CF" w14:paraId="06201FF6" w14:textId="77777777" w:rsidTr="00BF18CF">
        <w:tc>
          <w:tcPr>
            <w:tcW w:w="1894" w:type="dxa"/>
          </w:tcPr>
          <w:p w14:paraId="1D9CA4B0"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96" w:type="dxa"/>
          </w:tcPr>
          <w:p w14:paraId="1D66A6F7" w14:textId="77777777" w:rsidR="00BF18CF" w:rsidRDefault="00E51347">
            <w:pPr>
              <w:numPr>
                <w:ilvl w:val="0"/>
                <w:numId w:val="19"/>
              </w:numPr>
            </w:pPr>
            <w:r>
              <w:t>La période de la culture des champs d’urne (</w:t>
            </w:r>
            <w:r>
              <w:rPr>
                <w:rFonts w:ascii="Consolas" w:eastAsia="Consolas" w:hAnsi="Consolas" w:cs="Consolas"/>
                <w:sz w:val="22"/>
                <w:szCs w:val="22"/>
                <w:shd w:val="clear" w:color="auto" w:fill="EAEEF3"/>
              </w:rPr>
              <w:t>E4_Période</w:t>
            </w:r>
            <w:r>
              <w:t>) recoupe spatio-temporellement (</w:t>
            </w:r>
            <w:r>
              <w:rPr>
                <w:rFonts w:ascii="Consolas" w:eastAsia="Consolas" w:hAnsi="Consolas" w:cs="Consolas"/>
                <w:sz w:val="22"/>
                <w:szCs w:val="22"/>
                <w:shd w:val="clear" w:color="auto" w:fill="EAEEF3"/>
              </w:rPr>
              <w:t>P132_recoupe_spatio-temporellement</w:t>
            </w:r>
            <w:r>
              <w:t>) la période de Hallstatt (</w:t>
            </w:r>
            <w:r>
              <w:rPr>
                <w:rFonts w:ascii="Consolas" w:eastAsia="Consolas" w:hAnsi="Consolas" w:cs="Consolas"/>
                <w:sz w:val="22"/>
                <w:szCs w:val="22"/>
                <w:shd w:val="clear" w:color="auto" w:fill="EAEEF3"/>
              </w:rPr>
              <w:t>E4_Période</w:t>
            </w:r>
            <w:r>
              <w:t>) (Gimbutas, 1965)</w:t>
            </w:r>
          </w:p>
        </w:tc>
      </w:tr>
      <w:tr w:rsidR="00BF18CF" w14:paraId="4BEDFB74" w14:textId="77777777" w:rsidTr="00BF18CF">
        <w:tc>
          <w:tcPr>
            <w:tcW w:w="1894" w:type="dxa"/>
          </w:tcPr>
          <w:p w14:paraId="1976C5C2"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6" w:type="dxa"/>
          </w:tcPr>
          <w:p w14:paraId="7C8D6F73" w14:textId="77777777" w:rsidR="00BF18CF" w:rsidRDefault="00E51347">
            <w:r>
              <w:t>P132(</w:t>
            </w:r>
            <w:proofErr w:type="gramStart"/>
            <w:r>
              <w:t>x,y</w:t>
            </w:r>
            <w:proofErr w:type="gramEnd"/>
            <w:r>
              <w:t>) ⇒ E92(x)</w:t>
            </w:r>
          </w:p>
          <w:p w14:paraId="58F99606" w14:textId="77777777" w:rsidR="00BF18CF" w:rsidRDefault="00E51347">
            <w:r>
              <w:t>P132(</w:t>
            </w:r>
            <w:proofErr w:type="gramStart"/>
            <w:r>
              <w:t>x,y</w:t>
            </w:r>
            <w:proofErr w:type="gramEnd"/>
            <w:r>
              <w:t>) ⇒ E92(y)</w:t>
            </w:r>
          </w:p>
          <w:p w14:paraId="79FD38C5" w14:textId="77777777" w:rsidR="00BF18CF" w:rsidRDefault="00E51347">
            <w:r>
              <w:t>P132(</w:t>
            </w:r>
            <w:proofErr w:type="gramStart"/>
            <w:r>
              <w:t>x,y</w:t>
            </w:r>
            <w:proofErr w:type="gramEnd"/>
            <w:r>
              <w:t>) ⇒ P132(y,x)</w:t>
            </w:r>
          </w:p>
          <w:p w14:paraId="0277E08C" w14:textId="77777777" w:rsidR="00BF18CF" w:rsidRDefault="00E51347">
            <w:r>
              <w:t>P132(</w:t>
            </w:r>
            <w:proofErr w:type="gramStart"/>
            <w:r>
              <w:t>x,y</w:t>
            </w:r>
            <w:proofErr w:type="gramEnd"/>
            <w:r>
              <w:t>) ⇒ ¬P133(x,y)</w:t>
            </w:r>
          </w:p>
        </w:tc>
      </w:tr>
      <w:tr w:rsidR="00BF18CF" w14:paraId="6A3C387A" w14:textId="77777777" w:rsidTr="00BF18CF">
        <w:tc>
          <w:tcPr>
            <w:tcW w:w="1894" w:type="dxa"/>
          </w:tcPr>
          <w:p w14:paraId="03D46B8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6" w:type="dxa"/>
          </w:tcPr>
          <w:p w14:paraId="072D26F5" w14:textId="77777777" w:rsidR="00BF18CF" w:rsidRDefault="00BF18CF">
            <w:pPr>
              <w:pBdr>
                <w:top w:val="nil"/>
                <w:left w:val="nil"/>
                <w:bottom w:val="nil"/>
                <w:right w:val="nil"/>
                <w:between w:val="nil"/>
              </w:pBdr>
              <w:spacing w:before="36" w:after="36"/>
              <w:rPr>
                <w:color w:val="000000"/>
              </w:rPr>
            </w:pPr>
          </w:p>
        </w:tc>
      </w:tr>
      <w:tr w:rsidR="00BF18CF" w14:paraId="46DB6E01" w14:textId="77777777" w:rsidTr="00BF18CF">
        <w:tc>
          <w:tcPr>
            <w:tcW w:w="1894" w:type="dxa"/>
          </w:tcPr>
          <w:p w14:paraId="234F985C" w14:textId="229600D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6" w:type="dxa"/>
          </w:tcPr>
          <w:p w14:paraId="3F94B473" w14:textId="77777777" w:rsidR="00BF18CF" w:rsidRDefault="00BF18CF">
            <w:pPr>
              <w:pBdr>
                <w:top w:val="nil"/>
                <w:left w:val="nil"/>
                <w:bottom w:val="nil"/>
                <w:right w:val="nil"/>
                <w:between w:val="nil"/>
              </w:pBdr>
              <w:spacing w:before="36" w:after="36"/>
              <w:rPr>
                <w:color w:val="000000"/>
              </w:rPr>
            </w:pPr>
          </w:p>
        </w:tc>
      </w:tr>
      <w:tr w:rsidR="00BF18CF" w14:paraId="557F7C68" w14:textId="77777777" w:rsidTr="00BF18CF">
        <w:tc>
          <w:tcPr>
            <w:tcW w:w="1894" w:type="dxa"/>
          </w:tcPr>
          <w:p w14:paraId="6B17E81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6" w:type="dxa"/>
          </w:tcPr>
          <w:p w14:paraId="0F3092E1" w14:textId="77777777" w:rsidR="00BF18CF" w:rsidRDefault="00BF18CF">
            <w:pPr>
              <w:pBdr>
                <w:top w:val="nil"/>
                <w:left w:val="nil"/>
                <w:bottom w:val="nil"/>
                <w:right w:val="nil"/>
                <w:between w:val="nil"/>
              </w:pBdr>
              <w:spacing w:before="36" w:after="36"/>
              <w:rPr>
                <w:color w:val="000000"/>
              </w:rPr>
            </w:pPr>
          </w:p>
        </w:tc>
      </w:tr>
    </w:tbl>
    <w:p w14:paraId="16D4843D" w14:textId="77777777" w:rsidR="00BF18CF" w:rsidRDefault="00E51347">
      <w:pPr>
        <w:pStyle w:val="Heading3"/>
      </w:pPr>
      <w:bookmarkStart w:id="479" w:name="bookmark=id.2xn8ts7" w:colFirst="0" w:colLast="0"/>
      <w:bookmarkStart w:id="480" w:name="_Toc144360983"/>
      <w:bookmarkEnd w:id="479"/>
      <w:r>
        <w:t>P133 est distinct spatio-temporellement de</w:t>
      </w:r>
      <w:bookmarkEnd w:id="480"/>
    </w:p>
    <w:tbl>
      <w:tblPr>
        <w:tblStyle w:val="affffff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3"/>
        <w:gridCol w:w="8797"/>
      </w:tblGrid>
      <w:tr w:rsidR="00BF18CF" w14:paraId="1C3CE507" w14:textId="77777777" w:rsidTr="00BF18CF">
        <w:tc>
          <w:tcPr>
            <w:tcW w:w="1893" w:type="dxa"/>
          </w:tcPr>
          <w:p w14:paraId="71E1E58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7" w:type="dxa"/>
          </w:tcPr>
          <w:p w14:paraId="02309125" w14:textId="77777777" w:rsidR="00BF18CF" w:rsidRDefault="00E51347">
            <w:r>
              <w:rPr>
                <w:rFonts w:ascii="Consolas" w:eastAsia="Consolas" w:hAnsi="Consolas" w:cs="Consolas"/>
                <w:sz w:val="22"/>
                <w:szCs w:val="22"/>
                <w:shd w:val="clear" w:color="auto" w:fill="EAEEF3"/>
              </w:rPr>
              <w:t>E92_Volume_spatio-temporel</w:t>
            </w:r>
          </w:p>
        </w:tc>
      </w:tr>
      <w:tr w:rsidR="00BF18CF" w14:paraId="466414D5" w14:textId="77777777" w:rsidTr="00BF18CF">
        <w:tc>
          <w:tcPr>
            <w:tcW w:w="1893" w:type="dxa"/>
          </w:tcPr>
          <w:p w14:paraId="672AF3F1"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7" w:type="dxa"/>
          </w:tcPr>
          <w:p w14:paraId="75DD5072" w14:textId="77777777" w:rsidR="00BF18CF" w:rsidRDefault="00E51347">
            <w:r>
              <w:rPr>
                <w:rFonts w:ascii="Consolas" w:eastAsia="Consolas" w:hAnsi="Consolas" w:cs="Consolas"/>
                <w:sz w:val="22"/>
                <w:szCs w:val="22"/>
                <w:shd w:val="clear" w:color="auto" w:fill="EAEEF3"/>
              </w:rPr>
              <w:t>E92_Volume_spatio-temporel</w:t>
            </w:r>
          </w:p>
        </w:tc>
      </w:tr>
      <w:tr w:rsidR="00BF18CF" w14:paraId="683FA428" w14:textId="77777777" w:rsidTr="00BF18CF">
        <w:tc>
          <w:tcPr>
            <w:tcW w:w="1893" w:type="dxa"/>
          </w:tcPr>
          <w:p w14:paraId="08800D1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7" w:type="dxa"/>
          </w:tcPr>
          <w:p w14:paraId="3383F44B" w14:textId="77777777" w:rsidR="00BF18CF" w:rsidRDefault="00BF18CF">
            <w:pPr>
              <w:pBdr>
                <w:top w:val="nil"/>
                <w:left w:val="nil"/>
                <w:bottom w:val="nil"/>
                <w:right w:val="nil"/>
                <w:between w:val="nil"/>
              </w:pBdr>
              <w:spacing w:before="36" w:after="36"/>
              <w:rPr>
                <w:color w:val="000000"/>
              </w:rPr>
            </w:pPr>
          </w:p>
        </w:tc>
      </w:tr>
      <w:tr w:rsidR="00BF18CF" w14:paraId="737F350E" w14:textId="77777777" w:rsidTr="00BF18CF">
        <w:tc>
          <w:tcPr>
            <w:tcW w:w="1893" w:type="dxa"/>
          </w:tcPr>
          <w:p w14:paraId="6C89743C"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7" w:type="dxa"/>
          </w:tcPr>
          <w:p w14:paraId="703D1C9A" w14:textId="77777777" w:rsidR="00BF18CF" w:rsidRDefault="00BF18CF">
            <w:pPr>
              <w:pBdr>
                <w:top w:val="nil"/>
                <w:left w:val="nil"/>
                <w:bottom w:val="nil"/>
                <w:right w:val="nil"/>
                <w:between w:val="nil"/>
              </w:pBdr>
              <w:spacing w:before="36" w:after="36"/>
              <w:rPr>
                <w:color w:val="000000"/>
              </w:rPr>
            </w:pPr>
          </w:p>
        </w:tc>
      </w:tr>
      <w:tr w:rsidR="00BF18CF" w14:paraId="2F44182C" w14:textId="77777777" w:rsidTr="00BF18CF">
        <w:tc>
          <w:tcPr>
            <w:tcW w:w="1893" w:type="dxa"/>
          </w:tcPr>
          <w:p w14:paraId="722356B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7" w:type="dxa"/>
          </w:tcPr>
          <w:p w14:paraId="50C1A0D6" w14:textId="77777777" w:rsidR="00BF18CF" w:rsidRDefault="00E51347">
            <w:proofErr w:type="gramStart"/>
            <w:r>
              <w:t>plusieurs</w:t>
            </w:r>
            <w:proofErr w:type="gramEnd"/>
            <w:r>
              <w:t xml:space="preserve"> à plusieurs (0,n:0,n)</w:t>
            </w:r>
          </w:p>
        </w:tc>
      </w:tr>
      <w:tr w:rsidR="00BF18CF" w14:paraId="18E853BF" w14:textId="77777777" w:rsidTr="00BF18CF">
        <w:tc>
          <w:tcPr>
            <w:tcW w:w="1893" w:type="dxa"/>
          </w:tcPr>
          <w:p w14:paraId="62600F1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7" w:type="dxa"/>
          </w:tcPr>
          <w:p w14:paraId="1A2F237F" w14:textId="77777777" w:rsidR="00BF18CF" w:rsidRDefault="00E51347">
            <w:r>
              <w:t xml:space="preserve">Cette propriété symétrique associe deux instances de </w:t>
            </w:r>
            <w:r>
              <w:rPr>
                <w:rFonts w:ascii="Consolas" w:eastAsia="Consolas" w:hAnsi="Consolas" w:cs="Consolas"/>
                <w:sz w:val="22"/>
                <w:szCs w:val="22"/>
                <w:shd w:val="clear" w:color="auto" w:fill="EAEEF3"/>
              </w:rPr>
              <w:t>E92_Volume_spatio-temporel</w:t>
            </w:r>
            <w:r>
              <w:t xml:space="preserve"> qui n’ont pas d’étendue en commun.</w:t>
            </w:r>
          </w:p>
          <w:p w14:paraId="1D717F94" w14:textId="77777777" w:rsidR="00BF18CF" w:rsidRDefault="00E51347">
            <w:r>
              <w:t xml:space="preserve">Si le recoupement ne concerne que les limites floues des instances de </w:t>
            </w:r>
            <w:r>
              <w:rPr>
                <w:rFonts w:ascii="Consolas" w:eastAsia="Consolas" w:hAnsi="Consolas" w:cs="Consolas"/>
                <w:sz w:val="22"/>
                <w:szCs w:val="22"/>
                <w:shd w:val="clear" w:color="auto" w:fill="EAEEF3"/>
              </w:rPr>
              <w:t>E92_Volume_spatio-temporel</w:t>
            </w:r>
            <w:r>
              <w:t xml:space="preserve">, la propriété </w:t>
            </w:r>
            <w:r>
              <w:rPr>
                <w:rFonts w:ascii="Consolas" w:eastAsia="Consolas" w:hAnsi="Consolas" w:cs="Consolas"/>
                <w:sz w:val="22"/>
                <w:szCs w:val="22"/>
                <w:shd w:val="clear" w:color="auto" w:fill="EAEEF3"/>
              </w:rPr>
              <w:t>P133_est_distinct_spatio-</w:t>
            </w:r>
            <w:r>
              <w:rPr>
                <w:rFonts w:ascii="Consolas" w:eastAsia="Consolas" w:hAnsi="Consolas" w:cs="Consolas"/>
                <w:sz w:val="22"/>
                <w:szCs w:val="22"/>
                <w:shd w:val="clear" w:color="auto" w:fill="EAEEF3"/>
              </w:rPr>
              <w:lastRenderedPageBreak/>
              <w:t>temporellement_de</w:t>
            </w:r>
            <w:r>
              <w:t xml:space="preserve"> ne peut être déterminée par la seule observation et ne devrait donc pas être utilisée. Cependant, certaines situations peuvent justifier que les deux instances de </w:t>
            </w:r>
            <w:r>
              <w:rPr>
                <w:rFonts w:ascii="Consolas" w:eastAsia="Consolas" w:hAnsi="Consolas" w:cs="Consolas"/>
                <w:sz w:val="22"/>
                <w:szCs w:val="22"/>
                <w:shd w:val="clear" w:color="auto" w:fill="EAEEF3"/>
              </w:rPr>
              <w:t>E92_Volume_spatio-temporel</w:t>
            </w:r>
            <w:r>
              <w:t xml:space="preserve"> ne partagent aucune de leur étendue, sans qu’il soit nécessaire de préciser où et quand.</w:t>
            </w:r>
          </w:p>
          <w:p w14:paraId="26380C56" w14:textId="77777777" w:rsidR="00BF18CF" w:rsidRDefault="00E51347">
            <w:r>
              <w:t xml:space="preserve">Si cette propriété s’applique à deux instances de </w:t>
            </w:r>
            <w:r>
              <w:rPr>
                <w:rFonts w:ascii="Consolas" w:eastAsia="Consolas" w:hAnsi="Consolas" w:cs="Consolas"/>
                <w:sz w:val="22"/>
                <w:szCs w:val="22"/>
                <w:shd w:val="clear" w:color="auto" w:fill="EAEEF3"/>
              </w:rPr>
              <w:t>E92_Volume_spatio-temporel</w:t>
            </w:r>
            <w:r>
              <w:t xml:space="preserve">, alors il n’est pas possible que ces deux instances soient aussi reliées par la propriété </w:t>
            </w:r>
            <w:r>
              <w:rPr>
                <w:rFonts w:ascii="Consolas" w:eastAsia="Consolas" w:hAnsi="Consolas" w:cs="Consolas"/>
                <w:sz w:val="22"/>
                <w:szCs w:val="22"/>
                <w:shd w:val="clear" w:color="auto" w:fill="EAEEF3"/>
              </w:rPr>
              <w:t>P132_recoupe_spatio-temporellement</w:t>
            </w:r>
            <w:r>
              <w:t xml:space="preserve">. De plus, il existe des cas où ni la propriété </w:t>
            </w:r>
            <w:r>
              <w:rPr>
                <w:rFonts w:ascii="Consolas" w:eastAsia="Consolas" w:hAnsi="Consolas" w:cs="Consolas"/>
                <w:sz w:val="22"/>
                <w:szCs w:val="22"/>
                <w:shd w:val="clear" w:color="auto" w:fill="EAEEF3"/>
              </w:rPr>
              <w:t>P132_recoupe_spatio-temporellement</w:t>
            </w:r>
            <w:r>
              <w:t xml:space="preserve"> ni la </w:t>
            </w:r>
            <w:r>
              <w:rPr>
                <w:rFonts w:ascii="Consolas" w:eastAsia="Consolas" w:hAnsi="Consolas" w:cs="Consolas"/>
                <w:sz w:val="22"/>
                <w:szCs w:val="22"/>
                <w:shd w:val="clear" w:color="auto" w:fill="EAEEF3"/>
              </w:rPr>
              <w:t>P133_est_distinct_spatio-temporellement_de</w:t>
            </w:r>
            <w:r>
              <w:t xml:space="preserve"> ne peut s’appliquer entre deux instances de </w:t>
            </w:r>
            <w:r>
              <w:rPr>
                <w:rFonts w:ascii="Consolas" w:eastAsia="Consolas" w:hAnsi="Consolas" w:cs="Consolas"/>
                <w:sz w:val="22"/>
                <w:szCs w:val="22"/>
                <w:shd w:val="clear" w:color="auto" w:fill="EAEEF3"/>
              </w:rPr>
              <w:t>E92_Volume_spatio-temporel</w:t>
            </w:r>
            <w:r>
              <w:t>. Cela se produit lorsque les limites floues des deux instances se recoupent et qu’aucune autre indication quant à la temporalité n’est disponible.</w:t>
            </w:r>
          </w:p>
          <w:p w14:paraId="4F3E023A" w14:textId="77777777" w:rsidR="00BF18CF" w:rsidRDefault="00E51347">
            <w:r>
              <w:t>Cette propriété n’est pas transitive, mais elle est symétrique.</w:t>
            </w:r>
          </w:p>
        </w:tc>
      </w:tr>
      <w:tr w:rsidR="00BF18CF" w14:paraId="7D749C2F" w14:textId="77777777" w:rsidTr="00BF18CF">
        <w:tc>
          <w:tcPr>
            <w:tcW w:w="1893" w:type="dxa"/>
          </w:tcPr>
          <w:p w14:paraId="23E196B6"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97" w:type="dxa"/>
          </w:tcPr>
          <w:p w14:paraId="205F932B" w14:textId="77777777" w:rsidR="00BF18CF" w:rsidRDefault="00E51347">
            <w:pPr>
              <w:numPr>
                <w:ilvl w:val="0"/>
                <w:numId w:val="19"/>
              </w:numPr>
            </w:pPr>
            <w:r>
              <w:t>La période de la Hallstatt (</w:t>
            </w:r>
            <w:r>
              <w:rPr>
                <w:rFonts w:ascii="Consolas" w:eastAsia="Consolas" w:hAnsi="Consolas" w:cs="Consolas"/>
                <w:sz w:val="22"/>
                <w:szCs w:val="22"/>
                <w:shd w:val="clear" w:color="auto" w:fill="EAEEF3"/>
              </w:rPr>
              <w:t>E4_Période</w:t>
            </w:r>
            <w:r>
              <w:t>) est distincte spatio-temporellement de (</w:t>
            </w:r>
            <w:r>
              <w:rPr>
                <w:rFonts w:ascii="Consolas" w:eastAsia="Consolas" w:hAnsi="Consolas" w:cs="Consolas"/>
                <w:sz w:val="22"/>
                <w:szCs w:val="22"/>
                <w:shd w:val="clear" w:color="auto" w:fill="EAEEF3"/>
              </w:rPr>
              <w:t>P133_est_distinct_spatio-temporellement_de</w:t>
            </w:r>
            <w:r>
              <w:t>) l’ère de La Tène (</w:t>
            </w:r>
            <w:r>
              <w:rPr>
                <w:rFonts w:ascii="Consolas" w:eastAsia="Consolas" w:hAnsi="Consolas" w:cs="Consolas"/>
                <w:sz w:val="22"/>
                <w:szCs w:val="22"/>
                <w:shd w:val="clear" w:color="auto" w:fill="EAEEF3"/>
              </w:rPr>
              <w:t>E4_Période</w:t>
            </w:r>
            <w:r>
              <w:t>) (Marion, 2004)</w:t>
            </w:r>
          </w:p>
          <w:p w14:paraId="0D9DA44D" w14:textId="77777777" w:rsidR="00BF18CF" w:rsidRDefault="00E51347">
            <w:pPr>
              <w:numPr>
                <w:ilvl w:val="0"/>
                <w:numId w:val="19"/>
              </w:numPr>
            </w:pPr>
            <w:r>
              <w:t>Le royaume de Grèce (1831-1924) (</w:t>
            </w:r>
            <w:r>
              <w:rPr>
                <w:rFonts w:ascii="Consolas" w:eastAsia="Consolas" w:hAnsi="Consolas" w:cs="Consolas"/>
                <w:sz w:val="22"/>
                <w:szCs w:val="22"/>
                <w:shd w:val="clear" w:color="auto" w:fill="EAEEF3"/>
              </w:rPr>
              <w:t>E92_Volume_spatio-temporel</w:t>
            </w:r>
            <w:r>
              <w:t>) est distinct spatio-temporellement de (</w:t>
            </w:r>
            <w:r>
              <w:rPr>
                <w:rFonts w:ascii="Consolas" w:eastAsia="Consolas" w:hAnsi="Consolas" w:cs="Consolas"/>
                <w:sz w:val="22"/>
                <w:szCs w:val="22"/>
                <w:shd w:val="clear" w:color="auto" w:fill="EAEEF3"/>
              </w:rPr>
              <w:t>P133_est_distinct_spatio-temporellement_de</w:t>
            </w:r>
            <w:r>
              <w:t>) l’Empire ottoman (1299-1922) (</w:t>
            </w:r>
            <w:r>
              <w:rPr>
                <w:rFonts w:ascii="Consolas" w:eastAsia="Consolas" w:hAnsi="Consolas" w:cs="Consolas"/>
                <w:sz w:val="22"/>
                <w:szCs w:val="22"/>
                <w:shd w:val="clear" w:color="auto" w:fill="EAEEF3"/>
              </w:rPr>
              <w:t>E92_Volume_spatio-temporel</w:t>
            </w:r>
            <w:r>
              <w:t>)</w:t>
            </w:r>
          </w:p>
          <w:p w14:paraId="73B4E2FB" w14:textId="77777777" w:rsidR="00BF18CF" w:rsidRDefault="00E51347">
            <w:pPr>
              <w:numPr>
                <w:ilvl w:val="0"/>
                <w:numId w:val="19"/>
              </w:numPr>
            </w:pPr>
            <w:r>
              <w:t>Le parcours de l'armée d'Alexandre (335-323 AEC) (</w:t>
            </w:r>
            <w:r>
              <w:rPr>
                <w:rFonts w:ascii="Consolas" w:eastAsia="Consolas" w:hAnsi="Consolas" w:cs="Consolas"/>
                <w:sz w:val="22"/>
                <w:szCs w:val="22"/>
                <w:shd w:val="clear" w:color="auto" w:fill="EAEEF3"/>
              </w:rPr>
              <w:t>E92_Volume_spatio-temporel</w:t>
            </w:r>
            <w:r>
              <w:t>) est distinct spatio-temporellement de (</w:t>
            </w:r>
            <w:r>
              <w:rPr>
                <w:rFonts w:ascii="Consolas" w:eastAsia="Consolas" w:hAnsi="Consolas" w:cs="Consolas"/>
                <w:sz w:val="22"/>
                <w:szCs w:val="22"/>
                <w:shd w:val="clear" w:color="auto" w:fill="EAEEF3"/>
              </w:rPr>
              <w:t>P133_est_distinct_spatio-temporellement_de</w:t>
            </w:r>
            <w:r>
              <w:t>) l'Empire maurya (environ 321 à 185 AEC) (</w:t>
            </w:r>
            <w:r>
              <w:rPr>
                <w:rFonts w:ascii="Consolas" w:eastAsia="Consolas" w:hAnsi="Consolas" w:cs="Consolas"/>
                <w:sz w:val="22"/>
                <w:szCs w:val="22"/>
                <w:shd w:val="clear" w:color="auto" w:fill="EAEEF3"/>
              </w:rPr>
              <w:t>E92_Volume_spatio-temporel</w:t>
            </w:r>
            <w:r>
              <w:t>) (Lane Fox, 2004)</w:t>
            </w:r>
          </w:p>
        </w:tc>
      </w:tr>
      <w:tr w:rsidR="00BF18CF" w14:paraId="6F29107D" w14:textId="77777777" w:rsidTr="00BF18CF">
        <w:tc>
          <w:tcPr>
            <w:tcW w:w="1893" w:type="dxa"/>
          </w:tcPr>
          <w:p w14:paraId="7D98B19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7" w:type="dxa"/>
          </w:tcPr>
          <w:p w14:paraId="65E17A5E" w14:textId="77777777" w:rsidR="00BF18CF" w:rsidRDefault="00E51347">
            <w:r>
              <w:t>P133(</w:t>
            </w:r>
            <w:proofErr w:type="gramStart"/>
            <w:r>
              <w:t>x,y</w:t>
            </w:r>
            <w:proofErr w:type="gramEnd"/>
            <w:r>
              <w:t>) ⇒ E92(x)</w:t>
            </w:r>
          </w:p>
          <w:p w14:paraId="16204EE1" w14:textId="77777777" w:rsidR="00BF18CF" w:rsidRDefault="00E51347">
            <w:r>
              <w:t>P133(</w:t>
            </w:r>
            <w:proofErr w:type="gramStart"/>
            <w:r>
              <w:t>x,y</w:t>
            </w:r>
            <w:proofErr w:type="gramEnd"/>
            <w:r>
              <w:t>) ⇒ E92(y)</w:t>
            </w:r>
          </w:p>
          <w:p w14:paraId="707EC256" w14:textId="77777777" w:rsidR="00BF18CF" w:rsidRDefault="00E51347">
            <w:r>
              <w:t>P133(</w:t>
            </w:r>
            <w:proofErr w:type="gramStart"/>
            <w:r>
              <w:t>x,y</w:t>
            </w:r>
            <w:proofErr w:type="gramEnd"/>
            <w:r>
              <w:t>) ⇒ P133(y,x)</w:t>
            </w:r>
          </w:p>
          <w:p w14:paraId="49F24AB6" w14:textId="77777777" w:rsidR="00BF18CF" w:rsidRDefault="00E51347">
            <w:r>
              <w:t>P133(</w:t>
            </w:r>
            <w:proofErr w:type="gramStart"/>
            <w:r>
              <w:t>x,y</w:t>
            </w:r>
            <w:proofErr w:type="gramEnd"/>
            <w:r>
              <w:t>) ⇒ ¬P132(x,y)</w:t>
            </w:r>
          </w:p>
        </w:tc>
      </w:tr>
      <w:tr w:rsidR="00BF18CF" w14:paraId="244574B9" w14:textId="77777777" w:rsidTr="00BF18CF">
        <w:tc>
          <w:tcPr>
            <w:tcW w:w="1893" w:type="dxa"/>
          </w:tcPr>
          <w:p w14:paraId="156A8C9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7" w:type="dxa"/>
          </w:tcPr>
          <w:p w14:paraId="33A03607" w14:textId="77777777" w:rsidR="00BF18CF" w:rsidRDefault="00BF18CF">
            <w:pPr>
              <w:pBdr>
                <w:top w:val="nil"/>
                <w:left w:val="nil"/>
                <w:bottom w:val="nil"/>
                <w:right w:val="nil"/>
                <w:between w:val="nil"/>
              </w:pBdr>
              <w:spacing w:before="36" w:after="36"/>
              <w:rPr>
                <w:color w:val="000000"/>
              </w:rPr>
            </w:pPr>
          </w:p>
        </w:tc>
      </w:tr>
      <w:tr w:rsidR="00BF18CF" w14:paraId="5E6DE722" w14:textId="77777777" w:rsidTr="00BF18CF">
        <w:tc>
          <w:tcPr>
            <w:tcW w:w="1893" w:type="dxa"/>
          </w:tcPr>
          <w:p w14:paraId="179BB04E" w14:textId="208ECDC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7" w:type="dxa"/>
          </w:tcPr>
          <w:p w14:paraId="4AC764AC" w14:textId="77777777" w:rsidR="00BF18CF" w:rsidRDefault="00BF18CF">
            <w:pPr>
              <w:pBdr>
                <w:top w:val="nil"/>
                <w:left w:val="nil"/>
                <w:bottom w:val="nil"/>
                <w:right w:val="nil"/>
                <w:between w:val="nil"/>
              </w:pBdr>
              <w:spacing w:before="36" w:after="36"/>
              <w:rPr>
                <w:color w:val="000000"/>
              </w:rPr>
            </w:pPr>
          </w:p>
        </w:tc>
      </w:tr>
      <w:tr w:rsidR="00BF18CF" w14:paraId="1525B58A" w14:textId="77777777" w:rsidTr="00BF18CF">
        <w:tc>
          <w:tcPr>
            <w:tcW w:w="1893" w:type="dxa"/>
          </w:tcPr>
          <w:p w14:paraId="3948FC9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7" w:type="dxa"/>
          </w:tcPr>
          <w:p w14:paraId="400EDC49" w14:textId="77777777" w:rsidR="00BF18CF" w:rsidRDefault="00BF18CF">
            <w:pPr>
              <w:pBdr>
                <w:top w:val="nil"/>
                <w:left w:val="nil"/>
                <w:bottom w:val="nil"/>
                <w:right w:val="nil"/>
                <w:between w:val="nil"/>
              </w:pBdr>
              <w:spacing w:before="36" w:after="36"/>
              <w:rPr>
                <w:color w:val="000000"/>
              </w:rPr>
            </w:pPr>
          </w:p>
        </w:tc>
      </w:tr>
    </w:tbl>
    <w:p w14:paraId="62B21A84" w14:textId="77777777" w:rsidR="00BF18CF" w:rsidRDefault="00E51347">
      <w:pPr>
        <w:pStyle w:val="Heading3"/>
      </w:pPr>
      <w:bookmarkStart w:id="481" w:name="bookmark=id.1csj400" w:colFirst="0" w:colLast="0"/>
      <w:bookmarkStart w:id="482" w:name="_Toc144360984"/>
      <w:bookmarkEnd w:id="481"/>
      <w:r>
        <w:t>P134 a continué (a été continué par)</w:t>
      </w:r>
      <w:bookmarkEnd w:id="482"/>
    </w:p>
    <w:tbl>
      <w:tblPr>
        <w:tblStyle w:val="affffff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6"/>
        <w:gridCol w:w="8794"/>
      </w:tblGrid>
      <w:tr w:rsidR="00BF18CF" w14:paraId="6113F2BF" w14:textId="77777777" w:rsidTr="00BF18CF">
        <w:tc>
          <w:tcPr>
            <w:tcW w:w="1896" w:type="dxa"/>
          </w:tcPr>
          <w:p w14:paraId="65B01A4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4" w:type="dxa"/>
          </w:tcPr>
          <w:p w14:paraId="2FEE392B" w14:textId="77777777" w:rsidR="00BF18CF" w:rsidRDefault="00E51347">
            <w:r>
              <w:rPr>
                <w:rFonts w:ascii="Consolas" w:eastAsia="Consolas" w:hAnsi="Consolas" w:cs="Consolas"/>
                <w:sz w:val="22"/>
                <w:szCs w:val="22"/>
                <w:shd w:val="clear" w:color="auto" w:fill="EAEEF3"/>
              </w:rPr>
              <w:t>E7_Activité</w:t>
            </w:r>
          </w:p>
        </w:tc>
      </w:tr>
      <w:tr w:rsidR="00BF18CF" w14:paraId="69A218CC" w14:textId="77777777" w:rsidTr="00BF18CF">
        <w:tc>
          <w:tcPr>
            <w:tcW w:w="1896" w:type="dxa"/>
          </w:tcPr>
          <w:p w14:paraId="5554783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4" w:type="dxa"/>
          </w:tcPr>
          <w:p w14:paraId="24945588" w14:textId="77777777" w:rsidR="00BF18CF" w:rsidRDefault="00E51347">
            <w:r>
              <w:rPr>
                <w:rFonts w:ascii="Consolas" w:eastAsia="Consolas" w:hAnsi="Consolas" w:cs="Consolas"/>
                <w:sz w:val="22"/>
                <w:szCs w:val="22"/>
                <w:shd w:val="clear" w:color="auto" w:fill="EAEEF3"/>
              </w:rPr>
              <w:t>E7_Activité</w:t>
            </w:r>
          </w:p>
        </w:tc>
      </w:tr>
      <w:tr w:rsidR="00BF18CF" w14:paraId="7584044E" w14:textId="77777777" w:rsidTr="00BF18CF">
        <w:tc>
          <w:tcPr>
            <w:tcW w:w="1896" w:type="dxa"/>
          </w:tcPr>
          <w:p w14:paraId="0A9E348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4" w:type="dxa"/>
          </w:tcPr>
          <w:p w14:paraId="7251365E" w14:textId="77777777" w:rsidR="00BF18CF" w:rsidRDefault="00E51347">
            <w:r>
              <w:rPr>
                <w:rFonts w:ascii="Consolas" w:eastAsia="Consolas" w:hAnsi="Consolas" w:cs="Consolas"/>
                <w:sz w:val="22"/>
                <w:szCs w:val="22"/>
                <w:shd w:val="clear" w:color="auto" w:fill="EAEEF3"/>
              </w:rPr>
              <w:t>E7_</w:t>
            </w:r>
            <w:proofErr w:type="gramStart"/>
            <w:r>
              <w:rPr>
                <w:rFonts w:ascii="Consolas" w:eastAsia="Consolas" w:hAnsi="Consolas" w:cs="Consolas"/>
                <w:sz w:val="22"/>
                <w:szCs w:val="22"/>
                <w:shd w:val="clear" w:color="auto" w:fill="EAEEF3"/>
              </w:rPr>
              <w:t>Activité</w:t>
            </w:r>
            <w:r>
              <w:t xml:space="preserve"> .</w:t>
            </w:r>
            <w:proofErr w:type="gramEnd"/>
            <w:r>
              <w:t xml:space="preserve"> </w:t>
            </w:r>
            <w:r>
              <w:rPr>
                <w:rFonts w:ascii="Consolas" w:eastAsia="Consolas" w:hAnsi="Consolas" w:cs="Consolas"/>
                <w:sz w:val="22"/>
                <w:szCs w:val="22"/>
                <w:shd w:val="clear" w:color="auto" w:fill="EAEEF3"/>
              </w:rPr>
              <w:t>P15_a_été_influencé_par (a_influencé)</w:t>
            </w:r>
            <w:r>
              <w:t xml:space="preserve"> : </w:t>
            </w:r>
            <w:r>
              <w:rPr>
                <w:rFonts w:ascii="Consolas" w:eastAsia="Consolas" w:hAnsi="Consolas" w:cs="Consolas"/>
                <w:sz w:val="22"/>
                <w:szCs w:val="22"/>
                <w:shd w:val="clear" w:color="auto" w:fill="EAEEF3"/>
              </w:rPr>
              <w:t>E1_Entité_CRM</w:t>
            </w:r>
          </w:p>
          <w:p w14:paraId="309F9781" w14:textId="77777777" w:rsidR="00BF18CF" w:rsidRDefault="00E51347">
            <w:r>
              <w:rPr>
                <w:rFonts w:ascii="Consolas" w:eastAsia="Consolas" w:hAnsi="Consolas" w:cs="Consolas"/>
                <w:sz w:val="22"/>
                <w:szCs w:val="22"/>
                <w:shd w:val="clear" w:color="auto" w:fill="EAEEF3"/>
              </w:rPr>
              <w:lastRenderedPageBreak/>
              <w:t>E2_Entité_</w:t>
            </w:r>
            <w:proofErr w:type="gramStart"/>
            <w:r>
              <w:rPr>
                <w:rFonts w:ascii="Consolas" w:eastAsia="Consolas" w:hAnsi="Consolas" w:cs="Consolas"/>
                <w:sz w:val="22"/>
                <w:szCs w:val="22"/>
                <w:shd w:val="clear" w:color="auto" w:fill="EAEEF3"/>
              </w:rPr>
              <w:t>temporelle</w:t>
            </w:r>
            <w:r>
              <w:t xml:space="preserve"> .</w:t>
            </w:r>
            <w:proofErr w:type="gramEnd"/>
            <w:r>
              <w:t xml:space="preserve"> </w:t>
            </w:r>
            <w:r>
              <w:rPr>
                <w:rFonts w:ascii="Consolas" w:eastAsia="Consolas" w:hAnsi="Consolas" w:cs="Consolas"/>
                <w:sz w:val="22"/>
                <w:szCs w:val="22"/>
                <w:shd w:val="clear" w:color="auto" w:fill="EAEEF3"/>
              </w:rPr>
              <w:t>P174_commence_avant_la_fin_de (se_termine_après_le_début_de)</w:t>
            </w:r>
            <w:r>
              <w:t xml:space="preserve"> : </w:t>
            </w:r>
            <w:r>
              <w:rPr>
                <w:rFonts w:ascii="Consolas" w:eastAsia="Consolas" w:hAnsi="Consolas" w:cs="Consolas"/>
                <w:sz w:val="22"/>
                <w:szCs w:val="22"/>
                <w:shd w:val="clear" w:color="auto" w:fill="EAEEF3"/>
              </w:rPr>
              <w:t>E2_Entité_temporelle</w:t>
            </w:r>
          </w:p>
        </w:tc>
      </w:tr>
      <w:tr w:rsidR="00BF18CF" w14:paraId="4B413D42" w14:textId="77777777" w:rsidTr="00BF18CF">
        <w:tc>
          <w:tcPr>
            <w:tcW w:w="1896" w:type="dxa"/>
          </w:tcPr>
          <w:p w14:paraId="64A6195F" w14:textId="77777777" w:rsidR="00BF18CF" w:rsidRDefault="00E51347">
            <w:pPr>
              <w:pBdr>
                <w:top w:val="nil"/>
                <w:left w:val="nil"/>
                <w:bottom w:val="nil"/>
                <w:right w:val="nil"/>
                <w:between w:val="nil"/>
              </w:pBdr>
              <w:spacing w:before="36" w:after="36"/>
              <w:rPr>
                <w:color w:val="000000"/>
              </w:rPr>
            </w:pPr>
            <w:r>
              <w:rPr>
                <w:b/>
                <w:color w:val="000000"/>
              </w:rPr>
              <w:lastRenderedPageBreak/>
              <w:t>Super-propriété de</w:t>
            </w:r>
          </w:p>
        </w:tc>
        <w:tc>
          <w:tcPr>
            <w:tcW w:w="8794" w:type="dxa"/>
          </w:tcPr>
          <w:p w14:paraId="53284739" w14:textId="77777777" w:rsidR="00BF18CF" w:rsidRDefault="00BF18CF">
            <w:pPr>
              <w:pBdr>
                <w:top w:val="nil"/>
                <w:left w:val="nil"/>
                <w:bottom w:val="nil"/>
                <w:right w:val="nil"/>
                <w:between w:val="nil"/>
              </w:pBdr>
              <w:spacing w:before="36" w:after="36"/>
              <w:rPr>
                <w:color w:val="000000"/>
              </w:rPr>
            </w:pPr>
          </w:p>
        </w:tc>
      </w:tr>
      <w:tr w:rsidR="00BF18CF" w14:paraId="5789DE71" w14:textId="77777777" w:rsidTr="00BF18CF">
        <w:tc>
          <w:tcPr>
            <w:tcW w:w="1896" w:type="dxa"/>
          </w:tcPr>
          <w:p w14:paraId="20D7E7DE"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4" w:type="dxa"/>
          </w:tcPr>
          <w:p w14:paraId="15E6EFCA" w14:textId="77777777" w:rsidR="00BF18CF" w:rsidRDefault="00E51347">
            <w:proofErr w:type="gramStart"/>
            <w:r>
              <w:t>plusieurs</w:t>
            </w:r>
            <w:proofErr w:type="gramEnd"/>
            <w:r>
              <w:t xml:space="preserve"> à plusieurs (0,n:0,n)</w:t>
            </w:r>
          </w:p>
        </w:tc>
      </w:tr>
      <w:tr w:rsidR="00BF18CF" w14:paraId="283C107A" w14:textId="77777777" w:rsidTr="00BF18CF">
        <w:tc>
          <w:tcPr>
            <w:tcW w:w="1896" w:type="dxa"/>
          </w:tcPr>
          <w:p w14:paraId="5F27688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4" w:type="dxa"/>
          </w:tcPr>
          <w:p w14:paraId="05E19D7F" w14:textId="77777777" w:rsidR="00BF18CF" w:rsidRDefault="00E51347">
            <w:r>
              <w:t xml:space="preserve">Cette propriété associe deux instances de </w:t>
            </w:r>
            <w:r>
              <w:rPr>
                <w:rFonts w:ascii="Consolas" w:eastAsia="Consolas" w:hAnsi="Consolas" w:cs="Consolas"/>
                <w:sz w:val="22"/>
                <w:szCs w:val="22"/>
                <w:shd w:val="clear" w:color="auto" w:fill="EAEEF3"/>
              </w:rPr>
              <w:t>E7_Activité</w:t>
            </w:r>
            <w:r>
              <w:t xml:space="preserve"> lorsque le domaine de la propriété est considéré être une continuation intentionnelle de sa portée.</w:t>
            </w:r>
          </w:p>
          <w:p w14:paraId="3B63C92F" w14:textId="77777777" w:rsidR="00BF18CF" w:rsidRDefault="00E51347">
            <w:r>
              <w:t xml:space="preserve">La continuation d’une activité peut se produire soit lorsque cette dernière est toujours en cours, soit après que cette activité </w:t>
            </w:r>
            <w:proofErr w:type="gramStart"/>
            <w:r>
              <w:t>ait</w:t>
            </w:r>
            <w:proofErr w:type="gramEnd"/>
            <w:r>
              <w:t xml:space="preserve"> complètement pris fin. Une activité en cours peut avoir commencé avant d’être devenue une continuation d’une autre activité. La continuation suppose une cohérence dans les intentions et les résultats attendus des activités impliquées.</w:t>
            </w:r>
          </w:p>
          <w:p w14:paraId="7E29E4D1" w14:textId="77777777" w:rsidR="00BF18CF" w:rsidRDefault="00E51347">
            <w:r>
              <w:t>Cette propriété n’est pas transitive.</w:t>
            </w:r>
          </w:p>
        </w:tc>
      </w:tr>
      <w:tr w:rsidR="00BF18CF" w14:paraId="39BD0B6D" w14:textId="77777777" w:rsidTr="00BF18CF">
        <w:tc>
          <w:tcPr>
            <w:tcW w:w="1896" w:type="dxa"/>
          </w:tcPr>
          <w:p w14:paraId="2350D73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4" w:type="dxa"/>
          </w:tcPr>
          <w:p w14:paraId="6F5C0F1F" w14:textId="77777777" w:rsidR="00BF18CF" w:rsidRDefault="00E51347">
            <w:pPr>
              <w:numPr>
                <w:ilvl w:val="0"/>
                <w:numId w:val="19"/>
              </w:numPr>
            </w:pPr>
            <w:r>
              <w:t>La construction de la cathédrale de Cologne (</w:t>
            </w:r>
            <w:r>
              <w:rPr>
                <w:rFonts w:ascii="Consolas" w:eastAsia="Consolas" w:hAnsi="Consolas" w:cs="Consolas"/>
                <w:sz w:val="22"/>
                <w:szCs w:val="22"/>
                <w:shd w:val="clear" w:color="auto" w:fill="EAEEF3"/>
              </w:rPr>
              <w:t>E7_Activité</w:t>
            </w:r>
            <w:r>
              <w:t>), abandonnée au XV</w:t>
            </w:r>
            <w:r>
              <w:rPr>
                <w:vertAlign w:val="superscript"/>
              </w:rPr>
              <w:t>e</w:t>
            </w:r>
            <w:r>
              <w:t xml:space="preserve"> siècle, a repris (</w:t>
            </w:r>
            <w:r>
              <w:rPr>
                <w:rFonts w:ascii="Consolas" w:eastAsia="Consolas" w:hAnsi="Consolas" w:cs="Consolas"/>
                <w:sz w:val="22"/>
                <w:szCs w:val="22"/>
                <w:shd w:val="clear" w:color="auto" w:fill="EAEEF3"/>
              </w:rPr>
              <w:t>P134_a_continué</w:t>
            </w:r>
            <w:r>
              <w:t>) au XIX</w:t>
            </w:r>
            <w:r>
              <w:rPr>
                <w:vertAlign w:val="superscript"/>
              </w:rPr>
              <w:t>e</w:t>
            </w:r>
            <w:r>
              <w:t xml:space="preserve"> siècle avec l’adaptation des plans initiaux afin de préserver l’apparence prévue du bâtiment (</w:t>
            </w:r>
            <w:r>
              <w:rPr>
                <w:rFonts w:ascii="Consolas" w:eastAsia="Consolas" w:hAnsi="Consolas" w:cs="Consolas"/>
                <w:sz w:val="22"/>
                <w:szCs w:val="22"/>
                <w:shd w:val="clear" w:color="auto" w:fill="EAEEF3"/>
              </w:rPr>
              <w:t>E7_Activité</w:t>
            </w:r>
            <w:r>
              <w:t>) (Wolff, 1999)</w:t>
            </w:r>
          </w:p>
        </w:tc>
      </w:tr>
      <w:tr w:rsidR="00BF18CF" w14:paraId="1D49C3E6" w14:textId="77777777" w:rsidTr="00BF18CF">
        <w:tc>
          <w:tcPr>
            <w:tcW w:w="1896" w:type="dxa"/>
          </w:tcPr>
          <w:p w14:paraId="246C357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4" w:type="dxa"/>
          </w:tcPr>
          <w:p w14:paraId="664C8433" w14:textId="77777777" w:rsidR="00BF18CF" w:rsidRDefault="00E51347">
            <w:r>
              <w:t>P134(</w:t>
            </w:r>
            <w:proofErr w:type="gramStart"/>
            <w:r>
              <w:t>x,y</w:t>
            </w:r>
            <w:proofErr w:type="gramEnd"/>
            <w:r>
              <w:t>) ⇒ E7(x)</w:t>
            </w:r>
          </w:p>
          <w:p w14:paraId="20789489" w14:textId="77777777" w:rsidR="00BF18CF" w:rsidRDefault="00E51347">
            <w:r>
              <w:t>P134(</w:t>
            </w:r>
            <w:proofErr w:type="gramStart"/>
            <w:r>
              <w:t>x,y</w:t>
            </w:r>
            <w:proofErr w:type="gramEnd"/>
            <w:r>
              <w:t>)⇒ E7(y)</w:t>
            </w:r>
          </w:p>
          <w:p w14:paraId="4CE716D9" w14:textId="77777777" w:rsidR="00BF18CF" w:rsidRDefault="00E51347">
            <w:r>
              <w:t>P134(</w:t>
            </w:r>
            <w:proofErr w:type="gramStart"/>
            <w:r>
              <w:t>x,y</w:t>
            </w:r>
            <w:proofErr w:type="gramEnd"/>
            <w:r>
              <w:t>) ⇒ P15(x,y)</w:t>
            </w:r>
          </w:p>
          <w:p w14:paraId="58645CD2" w14:textId="77777777" w:rsidR="00BF18CF" w:rsidRDefault="00E51347">
            <w:r>
              <w:t>P134(</w:t>
            </w:r>
            <w:proofErr w:type="gramStart"/>
            <w:r>
              <w:t>x,y</w:t>
            </w:r>
            <w:proofErr w:type="gramEnd"/>
            <w:r>
              <w:t>) ⇒ P174(x,y)</w:t>
            </w:r>
          </w:p>
        </w:tc>
      </w:tr>
      <w:tr w:rsidR="00BF18CF" w14:paraId="444ED9DC" w14:textId="77777777" w:rsidTr="00BF18CF">
        <w:tc>
          <w:tcPr>
            <w:tcW w:w="1896" w:type="dxa"/>
          </w:tcPr>
          <w:p w14:paraId="31ED1FB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4" w:type="dxa"/>
          </w:tcPr>
          <w:p w14:paraId="70E60B5D" w14:textId="77777777" w:rsidR="00BF18CF" w:rsidRDefault="00BF18CF">
            <w:pPr>
              <w:pBdr>
                <w:top w:val="nil"/>
                <w:left w:val="nil"/>
                <w:bottom w:val="nil"/>
                <w:right w:val="nil"/>
                <w:between w:val="nil"/>
              </w:pBdr>
              <w:spacing w:before="36" w:after="36"/>
              <w:rPr>
                <w:color w:val="000000"/>
              </w:rPr>
            </w:pPr>
          </w:p>
        </w:tc>
      </w:tr>
      <w:tr w:rsidR="00BF18CF" w14:paraId="792A9F40" w14:textId="77777777" w:rsidTr="00BF18CF">
        <w:tc>
          <w:tcPr>
            <w:tcW w:w="1896" w:type="dxa"/>
          </w:tcPr>
          <w:p w14:paraId="20089621" w14:textId="4FBDA0C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4" w:type="dxa"/>
          </w:tcPr>
          <w:p w14:paraId="0474353A" w14:textId="77777777" w:rsidR="00BF18CF" w:rsidRDefault="00BF18CF">
            <w:pPr>
              <w:pBdr>
                <w:top w:val="nil"/>
                <w:left w:val="nil"/>
                <w:bottom w:val="nil"/>
                <w:right w:val="nil"/>
                <w:between w:val="nil"/>
              </w:pBdr>
              <w:spacing w:before="36" w:after="36"/>
              <w:rPr>
                <w:color w:val="000000"/>
              </w:rPr>
            </w:pPr>
          </w:p>
        </w:tc>
      </w:tr>
      <w:tr w:rsidR="00BF18CF" w14:paraId="72B7461E" w14:textId="77777777" w:rsidTr="00BF18CF">
        <w:tc>
          <w:tcPr>
            <w:tcW w:w="1896" w:type="dxa"/>
          </w:tcPr>
          <w:p w14:paraId="732C486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4" w:type="dxa"/>
          </w:tcPr>
          <w:p w14:paraId="04E22522" w14:textId="77777777" w:rsidR="00BF18CF" w:rsidRDefault="00BF18CF">
            <w:pPr>
              <w:pBdr>
                <w:top w:val="nil"/>
                <w:left w:val="nil"/>
                <w:bottom w:val="nil"/>
                <w:right w:val="nil"/>
                <w:between w:val="nil"/>
              </w:pBdr>
              <w:spacing w:before="36" w:after="36"/>
              <w:rPr>
                <w:color w:val="000000"/>
              </w:rPr>
            </w:pPr>
          </w:p>
        </w:tc>
      </w:tr>
    </w:tbl>
    <w:p w14:paraId="7C09D2A6" w14:textId="77777777" w:rsidR="00BF18CF" w:rsidRDefault="00E51347">
      <w:pPr>
        <w:pStyle w:val="Heading3"/>
      </w:pPr>
      <w:bookmarkStart w:id="483" w:name="bookmark=id.3ws6mnt" w:colFirst="0" w:colLast="0"/>
      <w:bookmarkStart w:id="484" w:name="_Toc144360985"/>
      <w:bookmarkEnd w:id="483"/>
      <w:r>
        <w:t>P135 a créé le type (a été créé par)</w:t>
      </w:r>
      <w:bookmarkEnd w:id="484"/>
    </w:p>
    <w:tbl>
      <w:tblPr>
        <w:tblStyle w:val="affffff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84"/>
        <w:gridCol w:w="8706"/>
      </w:tblGrid>
      <w:tr w:rsidR="00BF18CF" w14:paraId="785E492E" w14:textId="77777777" w:rsidTr="00BF18CF">
        <w:tc>
          <w:tcPr>
            <w:tcW w:w="1984" w:type="dxa"/>
          </w:tcPr>
          <w:p w14:paraId="1FE31DE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06" w:type="dxa"/>
          </w:tcPr>
          <w:p w14:paraId="66FFA4B3" w14:textId="77777777" w:rsidR="00BF18CF" w:rsidRDefault="00E51347">
            <w:r>
              <w:rPr>
                <w:rFonts w:ascii="Consolas" w:eastAsia="Consolas" w:hAnsi="Consolas" w:cs="Consolas"/>
                <w:sz w:val="22"/>
                <w:szCs w:val="22"/>
                <w:shd w:val="clear" w:color="auto" w:fill="EAEEF3"/>
              </w:rPr>
              <w:t>E83_Création_de_type</w:t>
            </w:r>
          </w:p>
        </w:tc>
      </w:tr>
      <w:tr w:rsidR="00BF18CF" w14:paraId="1FC59651" w14:textId="77777777" w:rsidTr="00BF18CF">
        <w:tc>
          <w:tcPr>
            <w:tcW w:w="1984" w:type="dxa"/>
          </w:tcPr>
          <w:p w14:paraId="542A67F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06" w:type="dxa"/>
          </w:tcPr>
          <w:p w14:paraId="79E34B1D" w14:textId="77777777" w:rsidR="00BF18CF" w:rsidRDefault="00E51347">
            <w:r>
              <w:rPr>
                <w:rFonts w:ascii="Consolas" w:eastAsia="Consolas" w:hAnsi="Consolas" w:cs="Consolas"/>
                <w:sz w:val="22"/>
                <w:szCs w:val="22"/>
                <w:shd w:val="clear" w:color="auto" w:fill="EAEEF3"/>
              </w:rPr>
              <w:t>E55_Type</w:t>
            </w:r>
          </w:p>
        </w:tc>
      </w:tr>
      <w:tr w:rsidR="00BF18CF" w14:paraId="01B1E698" w14:textId="77777777" w:rsidTr="00BF18CF">
        <w:tc>
          <w:tcPr>
            <w:tcW w:w="1984" w:type="dxa"/>
          </w:tcPr>
          <w:p w14:paraId="7A2461C9"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06" w:type="dxa"/>
          </w:tcPr>
          <w:p w14:paraId="60C85D58" w14:textId="77777777" w:rsidR="00BF18CF" w:rsidRDefault="00E51347">
            <w:r>
              <w:rPr>
                <w:rFonts w:ascii="Consolas" w:eastAsia="Consolas" w:hAnsi="Consolas" w:cs="Consolas"/>
                <w:sz w:val="22"/>
                <w:szCs w:val="22"/>
                <w:shd w:val="clear" w:color="auto" w:fill="EAEEF3"/>
              </w:rPr>
              <w:t>E65_Création</w:t>
            </w:r>
            <w:r>
              <w:t xml:space="preserve">. </w:t>
            </w:r>
            <w:r>
              <w:rPr>
                <w:rFonts w:ascii="Consolas" w:eastAsia="Consolas" w:hAnsi="Consolas" w:cs="Consolas"/>
                <w:sz w:val="22"/>
                <w:szCs w:val="22"/>
                <w:shd w:val="clear" w:color="auto" w:fill="EAEEF3"/>
              </w:rPr>
              <w:t>P94_a_créé (a_été_créé_par)</w:t>
            </w:r>
            <w:r>
              <w:t xml:space="preserve"> : </w:t>
            </w:r>
            <w:r>
              <w:rPr>
                <w:rFonts w:ascii="Consolas" w:eastAsia="Consolas" w:hAnsi="Consolas" w:cs="Consolas"/>
                <w:sz w:val="22"/>
                <w:szCs w:val="22"/>
                <w:shd w:val="clear" w:color="auto" w:fill="EAEEF3"/>
              </w:rPr>
              <w:t>E28_Objet_conceptuel</w:t>
            </w:r>
          </w:p>
        </w:tc>
      </w:tr>
      <w:tr w:rsidR="00BF18CF" w14:paraId="26A7DE2E" w14:textId="77777777" w:rsidTr="00BF18CF">
        <w:tc>
          <w:tcPr>
            <w:tcW w:w="1984" w:type="dxa"/>
          </w:tcPr>
          <w:p w14:paraId="20E7FEBB"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06" w:type="dxa"/>
          </w:tcPr>
          <w:p w14:paraId="7F241789" w14:textId="77777777" w:rsidR="00BF18CF" w:rsidRDefault="00BF18CF">
            <w:pPr>
              <w:pBdr>
                <w:top w:val="nil"/>
                <w:left w:val="nil"/>
                <w:bottom w:val="nil"/>
                <w:right w:val="nil"/>
                <w:between w:val="nil"/>
              </w:pBdr>
              <w:spacing w:before="36" w:after="36"/>
              <w:rPr>
                <w:color w:val="000000"/>
              </w:rPr>
            </w:pPr>
          </w:p>
        </w:tc>
      </w:tr>
      <w:tr w:rsidR="00BF18CF" w14:paraId="1B348F61" w14:textId="77777777" w:rsidTr="00BF18CF">
        <w:tc>
          <w:tcPr>
            <w:tcW w:w="1984" w:type="dxa"/>
          </w:tcPr>
          <w:p w14:paraId="1103447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06" w:type="dxa"/>
          </w:tcPr>
          <w:p w14:paraId="4566FE3F" w14:textId="77777777" w:rsidR="00BF18CF" w:rsidRDefault="00E51347">
            <w:proofErr w:type="gramStart"/>
            <w:r>
              <w:t>un</w:t>
            </w:r>
            <w:proofErr w:type="gramEnd"/>
            <w:r>
              <w:t xml:space="preserve"> à plusieurs, nécessaire (1,n:0,1)</w:t>
            </w:r>
          </w:p>
        </w:tc>
      </w:tr>
      <w:tr w:rsidR="00BF18CF" w14:paraId="3535BB96" w14:textId="77777777" w:rsidTr="00BF18CF">
        <w:tc>
          <w:tcPr>
            <w:tcW w:w="1984" w:type="dxa"/>
          </w:tcPr>
          <w:p w14:paraId="4A6D439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06" w:type="dxa"/>
          </w:tcPr>
          <w:p w14:paraId="5CC60EE1" w14:textId="77777777" w:rsidR="00BF18CF" w:rsidRDefault="00E51347">
            <w:r>
              <w:t xml:space="preserve">Cette propriété identifie l’instance de </w:t>
            </w:r>
            <w:r>
              <w:rPr>
                <w:rFonts w:ascii="Consolas" w:eastAsia="Consolas" w:hAnsi="Consolas" w:cs="Consolas"/>
                <w:sz w:val="22"/>
                <w:szCs w:val="22"/>
                <w:shd w:val="clear" w:color="auto" w:fill="EAEEF3"/>
              </w:rPr>
              <w:t>E55_Type</w:t>
            </w:r>
            <w:r>
              <w:t xml:space="preserve">, qui est créée au cours d’une instance de </w:t>
            </w:r>
            <w:r>
              <w:rPr>
                <w:rFonts w:ascii="Consolas" w:eastAsia="Consolas" w:hAnsi="Consolas" w:cs="Consolas"/>
                <w:sz w:val="22"/>
                <w:szCs w:val="22"/>
                <w:shd w:val="clear" w:color="auto" w:fill="EAEEF3"/>
              </w:rPr>
              <w:t>E83_Création_de_type</w:t>
            </w:r>
            <w:r>
              <w:t>.</w:t>
            </w:r>
          </w:p>
        </w:tc>
      </w:tr>
      <w:tr w:rsidR="00BF18CF" w14:paraId="4AB8C7A1" w14:textId="77777777" w:rsidTr="00BF18CF">
        <w:tc>
          <w:tcPr>
            <w:tcW w:w="1984" w:type="dxa"/>
          </w:tcPr>
          <w:p w14:paraId="696A27E8"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06" w:type="dxa"/>
          </w:tcPr>
          <w:p w14:paraId="2889D4E3" w14:textId="77777777" w:rsidR="00BF18CF" w:rsidRDefault="00E51347">
            <w:pPr>
              <w:numPr>
                <w:ilvl w:val="0"/>
                <w:numId w:val="19"/>
              </w:numPr>
            </w:pPr>
            <w:r>
              <w:t>La description d’une nouvelle espèce de némertes par Bürger (</w:t>
            </w:r>
            <w:r>
              <w:rPr>
                <w:rFonts w:ascii="Consolas" w:eastAsia="Consolas" w:hAnsi="Consolas" w:cs="Consolas"/>
                <w:sz w:val="22"/>
                <w:szCs w:val="22"/>
                <w:shd w:val="clear" w:color="auto" w:fill="EAEEF3"/>
              </w:rPr>
              <w:t>E83_Création_de_type</w:t>
            </w:r>
            <w:r>
              <w:t>) a créé le type (</w:t>
            </w:r>
            <w:r>
              <w:rPr>
                <w:rFonts w:ascii="Consolas" w:eastAsia="Consolas" w:hAnsi="Consolas" w:cs="Consolas"/>
                <w:sz w:val="22"/>
                <w:szCs w:val="22"/>
                <w:shd w:val="clear" w:color="auto" w:fill="EAEEF3"/>
              </w:rPr>
              <w:t>P135_a_créé_le_type</w:t>
            </w:r>
            <w:r>
              <w:t>) « Lineus kennelii » (</w:t>
            </w:r>
            <w:r>
              <w:rPr>
                <w:rFonts w:ascii="Consolas" w:eastAsia="Consolas" w:hAnsi="Consolas" w:cs="Consolas"/>
                <w:sz w:val="22"/>
                <w:szCs w:val="22"/>
                <w:shd w:val="clear" w:color="auto" w:fill="EAEEF3"/>
              </w:rPr>
              <w:t>E55_Type</w:t>
            </w:r>
            <w:r>
              <w:t>) (Bürger, 1892)</w:t>
            </w:r>
          </w:p>
        </w:tc>
      </w:tr>
      <w:tr w:rsidR="00BF18CF" w14:paraId="4185B486" w14:textId="77777777" w:rsidTr="00BF18CF">
        <w:tc>
          <w:tcPr>
            <w:tcW w:w="1984" w:type="dxa"/>
          </w:tcPr>
          <w:p w14:paraId="2DCF4A0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06" w:type="dxa"/>
          </w:tcPr>
          <w:p w14:paraId="0458910B" w14:textId="77777777" w:rsidR="00BF18CF" w:rsidRDefault="00E51347">
            <w:r>
              <w:t>P135(</w:t>
            </w:r>
            <w:proofErr w:type="gramStart"/>
            <w:r>
              <w:t>x,y</w:t>
            </w:r>
            <w:proofErr w:type="gramEnd"/>
            <w:r>
              <w:t>) ⇒ E83(x)</w:t>
            </w:r>
          </w:p>
          <w:p w14:paraId="54C10EF0" w14:textId="77777777" w:rsidR="00BF18CF" w:rsidRDefault="00E51347">
            <w:r>
              <w:t>P135(</w:t>
            </w:r>
            <w:proofErr w:type="gramStart"/>
            <w:r>
              <w:t>x,y</w:t>
            </w:r>
            <w:proofErr w:type="gramEnd"/>
            <w:r>
              <w:t>) ⇒ E55(y)</w:t>
            </w:r>
          </w:p>
          <w:p w14:paraId="0D66F305" w14:textId="77777777" w:rsidR="00BF18CF" w:rsidRDefault="00E51347">
            <w:r>
              <w:t>P135(</w:t>
            </w:r>
            <w:proofErr w:type="gramStart"/>
            <w:r>
              <w:t>x,y</w:t>
            </w:r>
            <w:proofErr w:type="gramEnd"/>
            <w:r>
              <w:t>) ⇒ P94(x,y)</w:t>
            </w:r>
          </w:p>
        </w:tc>
      </w:tr>
      <w:tr w:rsidR="00BF18CF" w14:paraId="29315774" w14:textId="77777777" w:rsidTr="00BF18CF">
        <w:tc>
          <w:tcPr>
            <w:tcW w:w="1984" w:type="dxa"/>
          </w:tcPr>
          <w:p w14:paraId="416B4AE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06" w:type="dxa"/>
          </w:tcPr>
          <w:p w14:paraId="4C24572E" w14:textId="77777777" w:rsidR="00BF18CF" w:rsidRDefault="00BF18CF">
            <w:pPr>
              <w:pBdr>
                <w:top w:val="nil"/>
                <w:left w:val="nil"/>
                <w:bottom w:val="nil"/>
                <w:right w:val="nil"/>
                <w:between w:val="nil"/>
              </w:pBdr>
              <w:spacing w:before="36" w:after="36"/>
              <w:rPr>
                <w:color w:val="000000"/>
              </w:rPr>
            </w:pPr>
          </w:p>
        </w:tc>
      </w:tr>
      <w:tr w:rsidR="00BF18CF" w14:paraId="40F85DAD" w14:textId="77777777" w:rsidTr="00BF18CF">
        <w:tc>
          <w:tcPr>
            <w:tcW w:w="1984" w:type="dxa"/>
          </w:tcPr>
          <w:p w14:paraId="64F4CB84" w14:textId="62D6A93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06" w:type="dxa"/>
          </w:tcPr>
          <w:p w14:paraId="1E3060A5" w14:textId="77777777" w:rsidR="00BF18CF" w:rsidRDefault="00BF18CF">
            <w:pPr>
              <w:pBdr>
                <w:top w:val="nil"/>
                <w:left w:val="nil"/>
                <w:bottom w:val="nil"/>
                <w:right w:val="nil"/>
                <w:between w:val="nil"/>
              </w:pBdr>
              <w:spacing w:before="36" w:after="36"/>
              <w:rPr>
                <w:color w:val="000000"/>
              </w:rPr>
            </w:pPr>
          </w:p>
        </w:tc>
      </w:tr>
      <w:tr w:rsidR="00BF18CF" w14:paraId="366352B1" w14:textId="77777777" w:rsidTr="00BF18CF">
        <w:tc>
          <w:tcPr>
            <w:tcW w:w="1984" w:type="dxa"/>
          </w:tcPr>
          <w:p w14:paraId="132E977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06" w:type="dxa"/>
          </w:tcPr>
          <w:p w14:paraId="7D761728" w14:textId="77777777" w:rsidR="00BF18CF" w:rsidRDefault="00BF18CF">
            <w:pPr>
              <w:pBdr>
                <w:top w:val="nil"/>
                <w:left w:val="nil"/>
                <w:bottom w:val="nil"/>
                <w:right w:val="nil"/>
                <w:between w:val="nil"/>
              </w:pBdr>
              <w:spacing w:before="36" w:after="36"/>
              <w:rPr>
                <w:color w:val="000000"/>
              </w:rPr>
            </w:pPr>
          </w:p>
        </w:tc>
      </w:tr>
    </w:tbl>
    <w:p w14:paraId="1B681F34" w14:textId="77777777" w:rsidR="00BF18CF" w:rsidRDefault="00E51347">
      <w:pPr>
        <w:pStyle w:val="Heading3"/>
      </w:pPr>
      <w:bookmarkStart w:id="485" w:name="bookmark=id.2bxgwvm" w:colFirst="0" w:colLast="0"/>
      <w:bookmarkStart w:id="486" w:name="_Toc144360986"/>
      <w:bookmarkEnd w:id="485"/>
      <w:r>
        <w:t>P136 a été fondé sur (a fondé la création du type)</w:t>
      </w:r>
      <w:bookmarkEnd w:id="486"/>
    </w:p>
    <w:tbl>
      <w:tblPr>
        <w:tblStyle w:val="affffff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4"/>
        <w:gridCol w:w="8816"/>
      </w:tblGrid>
      <w:tr w:rsidR="00BF18CF" w14:paraId="4A4870B3" w14:textId="77777777" w:rsidTr="00BF18CF">
        <w:tc>
          <w:tcPr>
            <w:tcW w:w="1874" w:type="dxa"/>
          </w:tcPr>
          <w:p w14:paraId="0481CBA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6" w:type="dxa"/>
          </w:tcPr>
          <w:p w14:paraId="026DD31B" w14:textId="77777777" w:rsidR="00BF18CF" w:rsidRDefault="00E51347">
            <w:r>
              <w:rPr>
                <w:rFonts w:ascii="Consolas" w:eastAsia="Consolas" w:hAnsi="Consolas" w:cs="Consolas"/>
                <w:sz w:val="22"/>
                <w:szCs w:val="22"/>
                <w:shd w:val="clear" w:color="auto" w:fill="EAEEF3"/>
              </w:rPr>
              <w:t>E83_Création_de_type</w:t>
            </w:r>
          </w:p>
        </w:tc>
      </w:tr>
      <w:tr w:rsidR="00BF18CF" w14:paraId="618D4781" w14:textId="77777777" w:rsidTr="00BF18CF">
        <w:tc>
          <w:tcPr>
            <w:tcW w:w="1874" w:type="dxa"/>
          </w:tcPr>
          <w:p w14:paraId="58185E3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6" w:type="dxa"/>
          </w:tcPr>
          <w:p w14:paraId="39E356FF" w14:textId="77777777" w:rsidR="00BF18CF" w:rsidRDefault="00E51347">
            <w:r>
              <w:rPr>
                <w:rFonts w:ascii="Consolas" w:eastAsia="Consolas" w:hAnsi="Consolas" w:cs="Consolas"/>
                <w:sz w:val="22"/>
                <w:szCs w:val="22"/>
                <w:shd w:val="clear" w:color="auto" w:fill="EAEEF3"/>
              </w:rPr>
              <w:t>E1_Entité_CRM</w:t>
            </w:r>
          </w:p>
        </w:tc>
      </w:tr>
      <w:tr w:rsidR="00BF18CF" w14:paraId="5713F120" w14:textId="77777777" w:rsidTr="00BF18CF">
        <w:tc>
          <w:tcPr>
            <w:tcW w:w="1874" w:type="dxa"/>
          </w:tcPr>
          <w:p w14:paraId="03FD1C06"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6" w:type="dxa"/>
          </w:tcPr>
          <w:p w14:paraId="2028C4D5"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P15_a_été_influencé_par (a_influencé)</w:t>
            </w:r>
            <w:r>
              <w:t xml:space="preserve"> : </w:t>
            </w:r>
            <w:r>
              <w:rPr>
                <w:rFonts w:ascii="Consolas" w:eastAsia="Consolas" w:hAnsi="Consolas" w:cs="Consolas"/>
                <w:sz w:val="22"/>
                <w:szCs w:val="22"/>
                <w:shd w:val="clear" w:color="auto" w:fill="EAEEF3"/>
              </w:rPr>
              <w:t>E1_Entité_CRM</w:t>
            </w:r>
          </w:p>
        </w:tc>
      </w:tr>
      <w:tr w:rsidR="00BF18CF" w14:paraId="493B03CB" w14:textId="77777777" w:rsidTr="00BF18CF">
        <w:tc>
          <w:tcPr>
            <w:tcW w:w="1874" w:type="dxa"/>
          </w:tcPr>
          <w:p w14:paraId="331638FC"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6" w:type="dxa"/>
          </w:tcPr>
          <w:p w14:paraId="7694E5A6" w14:textId="77777777" w:rsidR="00BF18CF" w:rsidRDefault="00BF18CF">
            <w:pPr>
              <w:pBdr>
                <w:top w:val="nil"/>
                <w:left w:val="nil"/>
                <w:bottom w:val="nil"/>
                <w:right w:val="nil"/>
                <w:between w:val="nil"/>
              </w:pBdr>
              <w:spacing w:before="36" w:after="36"/>
              <w:rPr>
                <w:color w:val="000000"/>
              </w:rPr>
            </w:pPr>
          </w:p>
        </w:tc>
      </w:tr>
      <w:tr w:rsidR="00BF18CF" w14:paraId="149ACE30" w14:textId="77777777" w:rsidTr="00BF18CF">
        <w:tc>
          <w:tcPr>
            <w:tcW w:w="1874" w:type="dxa"/>
          </w:tcPr>
          <w:p w14:paraId="780D719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6" w:type="dxa"/>
          </w:tcPr>
          <w:p w14:paraId="36CA93F4" w14:textId="77777777" w:rsidR="00BF18CF" w:rsidRDefault="00E51347">
            <w:proofErr w:type="gramStart"/>
            <w:r>
              <w:t>plusieurs</w:t>
            </w:r>
            <w:proofErr w:type="gramEnd"/>
            <w:r>
              <w:t xml:space="preserve"> à plusieurs (0,n:0,n)</w:t>
            </w:r>
          </w:p>
        </w:tc>
      </w:tr>
      <w:tr w:rsidR="00BF18CF" w14:paraId="0C1EA216" w14:textId="77777777" w:rsidTr="00BF18CF">
        <w:tc>
          <w:tcPr>
            <w:tcW w:w="1874" w:type="dxa"/>
          </w:tcPr>
          <w:p w14:paraId="11E4B30D"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6" w:type="dxa"/>
          </w:tcPr>
          <w:p w14:paraId="0DB5A243" w14:textId="77777777" w:rsidR="00BF18CF" w:rsidRDefault="00E51347">
            <w:r>
              <w:t xml:space="preserve">Cette propriété identifie une ou plusieurs instances de </w:t>
            </w:r>
            <w:r>
              <w:rPr>
                <w:rFonts w:ascii="Consolas" w:eastAsia="Consolas" w:hAnsi="Consolas" w:cs="Consolas"/>
                <w:sz w:val="22"/>
                <w:szCs w:val="22"/>
                <w:shd w:val="clear" w:color="auto" w:fill="EAEEF3"/>
              </w:rPr>
              <w:t>E1_Entité_CRM</w:t>
            </w:r>
            <w:r>
              <w:t xml:space="preserve"> qui ont été utilisées comme preuves pour déclarer une nouvelle instance de </w:t>
            </w:r>
            <w:r>
              <w:rPr>
                <w:rFonts w:ascii="Consolas" w:eastAsia="Consolas" w:hAnsi="Consolas" w:cs="Consolas"/>
                <w:sz w:val="22"/>
                <w:szCs w:val="22"/>
                <w:shd w:val="clear" w:color="auto" w:fill="EAEEF3"/>
              </w:rPr>
              <w:t>E55_Type</w:t>
            </w:r>
            <w:r>
              <w:t xml:space="preserve">. L’examen de ces entités est souvent le seul moyen objectif de comprendre les caractéristiques précises d’une nouvelle instance de </w:t>
            </w:r>
            <w:r>
              <w:rPr>
                <w:rFonts w:ascii="Consolas" w:eastAsia="Consolas" w:hAnsi="Consolas" w:cs="Consolas"/>
                <w:sz w:val="22"/>
                <w:szCs w:val="22"/>
                <w:shd w:val="clear" w:color="auto" w:fill="EAEEF3"/>
              </w:rPr>
              <w:t>E55_Type</w:t>
            </w:r>
            <w:r>
              <w:t>. Pour cette raison, de telles entités doivent être déposées dans un musée ou une institution similaire. Le rôle taxonomique rend compte de la relation spécifique entre chaque item et son type, par exemple « holotype » ou « élément original ».</w:t>
            </w:r>
          </w:p>
        </w:tc>
      </w:tr>
      <w:tr w:rsidR="00BF18CF" w14:paraId="2A7B6676" w14:textId="77777777" w:rsidTr="00BF18CF">
        <w:tc>
          <w:tcPr>
            <w:tcW w:w="1874" w:type="dxa"/>
          </w:tcPr>
          <w:p w14:paraId="0E3CCCE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6" w:type="dxa"/>
          </w:tcPr>
          <w:p w14:paraId="4D8CB7FE" w14:textId="77777777" w:rsidR="00BF18CF" w:rsidRDefault="00E51347">
            <w:pPr>
              <w:numPr>
                <w:ilvl w:val="0"/>
                <w:numId w:val="19"/>
              </w:numPr>
            </w:pPr>
            <w:r>
              <w:t>La création du taxon de l’espèce végétale « Serratula glauca » par Linné en 1753 (</w:t>
            </w:r>
            <w:r>
              <w:rPr>
                <w:rFonts w:ascii="Consolas" w:eastAsia="Consolas" w:hAnsi="Consolas" w:cs="Consolas"/>
                <w:sz w:val="22"/>
                <w:szCs w:val="22"/>
                <w:shd w:val="clear" w:color="auto" w:fill="EAEEF3"/>
              </w:rPr>
              <w:t>E83_Création_de_type</w:t>
            </w:r>
            <w:r>
              <w:t>) a été fondée sur (</w:t>
            </w:r>
            <w:r>
              <w:rPr>
                <w:rFonts w:ascii="Consolas" w:eastAsia="Consolas" w:hAnsi="Consolas" w:cs="Consolas"/>
                <w:sz w:val="22"/>
                <w:szCs w:val="22"/>
                <w:shd w:val="clear" w:color="auto" w:fill="EAEEF3"/>
              </w:rPr>
              <w:t>P136_a_été_fondé_sur</w:t>
            </w:r>
            <w:r>
              <w:t>) l’objet BM000576251 de l’herbier Clayton (</w:t>
            </w:r>
            <w:r>
              <w:rPr>
                <w:rFonts w:ascii="Consolas" w:eastAsia="Consolas" w:hAnsi="Consolas" w:cs="Consolas"/>
                <w:sz w:val="22"/>
                <w:szCs w:val="22"/>
                <w:shd w:val="clear" w:color="auto" w:fill="EAEEF3"/>
              </w:rPr>
              <w:t>E20_Objet_biologique</w:t>
            </w:r>
            <w:r>
              <w:t>) dans le rôle taxonomique (</w:t>
            </w:r>
            <w:r>
              <w:rPr>
                <w:rFonts w:ascii="Consolas" w:eastAsia="Consolas" w:hAnsi="Consolas" w:cs="Consolas"/>
                <w:sz w:val="22"/>
                <w:szCs w:val="22"/>
                <w:shd w:val="clear" w:color="auto" w:fill="EAEEF3"/>
              </w:rPr>
              <w:t>P136.1_dans_le_rôle_taxonomique_de</w:t>
            </w:r>
            <w:r>
              <w:t>) « élément original » (</w:t>
            </w:r>
            <w:r>
              <w:rPr>
                <w:rFonts w:ascii="Consolas" w:eastAsia="Consolas" w:hAnsi="Consolas" w:cs="Consolas"/>
                <w:sz w:val="22"/>
                <w:szCs w:val="22"/>
                <w:shd w:val="clear" w:color="auto" w:fill="EAEEF3"/>
              </w:rPr>
              <w:t>E55_Type</w:t>
            </w:r>
            <w:r>
              <w:t>) (Blake, 1918)</w:t>
            </w:r>
          </w:p>
        </w:tc>
      </w:tr>
      <w:tr w:rsidR="00BF18CF" w14:paraId="5F90DABA" w14:textId="77777777" w:rsidTr="00BF18CF">
        <w:tc>
          <w:tcPr>
            <w:tcW w:w="1874" w:type="dxa"/>
          </w:tcPr>
          <w:p w14:paraId="5B1698E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6" w:type="dxa"/>
          </w:tcPr>
          <w:p w14:paraId="0CF3CBAE" w14:textId="77777777" w:rsidR="00BF18CF" w:rsidRDefault="00E51347">
            <w:r>
              <w:t>P136(</w:t>
            </w:r>
            <w:proofErr w:type="gramStart"/>
            <w:r>
              <w:t>x,y</w:t>
            </w:r>
            <w:proofErr w:type="gramEnd"/>
            <w:r>
              <w:t>) ⇒ E83(x)</w:t>
            </w:r>
          </w:p>
          <w:p w14:paraId="7FD980D0" w14:textId="77777777" w:rsidR="00BF18CF" w:rsidRDefault="00E51347">
            <w:r>
              <w:t>P136(</w:t>
            </w:r>
            <w:proofErr w:type="gramStart"/>
            <w:r>
              <w:t>x,y</w:t>
            </w:r>
            <w:proofErr w:type="gramEnd"/>
            <w:r>
              <w:t>) ⇒ E1(y)</w:t>
            </w:r>
          </w:p>
          <w:p w14:paraId="562FAB04" w14:textId="77777777" w:rsidR="00BF18CF" w:rsidRDefault="00E51347">
            <w:r>
              <w:t>P136(</w:t>
            </w:r>
            <w:proofErr w:type="gramStart"/>
            <w:r>
              <w:t>x,y</w:t>
            </w:r>
            <w:proofErr w:type="gramEnd"/>
            <w:r>
              <w:t>,z) ⇒ [P136(x,y) ∧ E55(z)]</w:t>
            </w:r>
          </w:p>
          <w:p w14:paraId="7DC0913D" w14:textId="77777777" w:rsidR="00BF18CF" w:rsidRDefault="00E51347">
            <w:r>
              <w:t>P136(</w:t>
            </w:r>
            <w:proofErr w:type="gramStart"/>
            <w:r>
              <w:t>x,y</w:t>
            </w:r>
            <w:proofErr w:type="gramEnd"/>
            <w:r>
              <w:t>) ⇒ P15(x,y)</w:t>
            </w:r>
          </w:p>
        </w:tc>
      </w:tr>
      <w:tr w:rsidR="00BF18CF" w14:paraId="5F7C23C3" w14:textId="77777777" w:rsidTr="00BF18CF">
        <w:tc>
          <w:tcPr>
            <w:tcW w:w="1874" w:type="dxa"/>
          </w:tcPr>
          <w:p w14:paraId="5323FE4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6" w:type="dxa"/>
          </w:tcPr>
          <w:p w14:paraId="26DF4C3A" w14:textId="77777777" w:rsidR="00BF18CF" w:rsidRDefault="00E51347">
            <w:r>
              <w:rPr>
                <w:rFonts w:ascii="Consolas" w:eastAsia="Consolas" w:hAnsi="Consolas" w:cs="Consolas"/>
                <w:sz w:val="22"/>
                <w:szCs w:val="22"/>
                <w:shd w:val="clear" w:color="auto" w:fill="EAEEF3"/>
              </w:rPr>
              <w:t>P136.1_dans_le_rôle_taxonomique_de</w:t>
            </w:r>
            <w:r>
              <w:t xml:space="preserve"> : </w:t>
            </w:r>
            <w:r>
              <w:rPr>
                <w:rFonts w:ascii="Consolas" w:eastAsia="Consolas" w:hAnsi="Consolas" w:cs="Consolas"/>
                <w:sz w:val="22"/>
                <w:szCs w:val="22"/>
                <w:shd w:val="clear" w:color="auto" w:fill="EAEEF3"/>
              </w:rPr>
              <w:t>E55_Type</w:t>
            </w:r>
          </w:p>
        </w:tc>
      </w:tr>
      <w:tr w:rsidR="00BF18CF" w14:paraId="2585DDA3" w14:textId="77777777" w:rsidTr="00BF18CF">
        <w:tc>
          <w:tcPr>
            <w:tcW w:w="1874" w:type="dxa"/>
          </w:tcPr>
          <w:p w14:paraId="3874CFC0" w14:textId="701CA6C1"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816" w:type="dxa"/>
          </w:tcPr>
          <w:p w14:paraId="7452BF68" w14:textId="77777777" w:rsidR="00BF18CF" w:rsidRDefault="00BF18CF">
            <w:pPr>
              <w:pBdr>
                <w:top w:val="nil"/>
                <w:left w:val="nil"/>
                <w:bottom w:val="nil"/>
                <w:right w:val="nil"/>
                <w:between w:val="nil"/>
              </w:pBdr>
              <w:spacing w:before="36" w:after="36"/>
              <w:rPr>
                <w:color w:val="000000"/>
              </w:rPr>
            </w:pPr>
          </w:p>
        </w:tc>
      </w:tr>
      <w:tr w:rsidR="00BF18CF" w14:paraId="6CC2724B" w14:textId="77777777" w:rsidTr="00BF18CF">
        <w:tc>
          <w:tcPr>
            <w:tcW w:w="1874" w:type="dxa"/>
          </w:tcPr>
          <w:p w14:paraId="1B947C9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6" w:type="dxa"/>
          </w:tcPr>
          <w:p w14:paraId="2A7BDC62" w14:textId="77777777" w:rsidR="00BF18CF" w:rsidRDefault="00BF18CF">
            <w:pPr>
              <w:pBdr>
                <w:top w:val="nil"/>
                <w:left w:val="nil"/>
                <w:bottom w:val="nil"/>
                <w:right w:val="nil"/>
                <w:between w:val="nil"/>
              </w:pBdr>
              <w:spacing w:before="36" w:after="36"/>
              <w:rPr>
                <w:color w:val="000000"/>
              </w:rPr>
            </w:pPr>
          </w:p>
        </w:tc>
      </w:tr>
    </w:tbl>
    <w:p w14:paraId="7AA78727" w14:textId="77777777" w:rsidR="00BF18CF" w:rsidRDefault="00E51347">
      <w:pPr>
        <w:pStyle w:val="Heading3"/>
      </w:pPr>
      <w:bookmarkStart w:id="487" w:name="bookmark=id.r2r73f" w:colFirst="0" w:colLast="0"/>
      <w:bookmarkStart w:id="488" w:name="_Toc144360987"/>
      <w:bookmarkEnd w:id="487"/>
      <w:r>
        <w:t>P137 exemplifie (est exemplifié par)</w:t>
      </w:r>
      <w:bookmarkEnd w:id="488"/>
    </w:p>
    <w:tbl>
      <w:tblPr>
        <w:tblStyle w:val="afffffffff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4"/>
        <w:gridCol w:w="8816"/>
      </w:tblGrid>
      <w:tr w:rsidR="00BF18CF" w14:paraId="10963154" w14:textId="77777777" w:rsidTr="00BF18CF">
        <w:tc>
          <w:tcPr>
            <w:tcW w:w="1874" w:type="dxa"/>
          </w:tcPr>
          <w:p w14:paraId="07F8D03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6" w:type="dxa"/>
          </w:tcPr>
          <w:p w14:paraId="6F57A65D" w14:textId="77777777" w:rsidR="00BF18CF" w:rsidRDefault="00E51347">
            <w:r>
              <w:rPr>
                <w:rFonts w:ascii="Consolas" w:eastAsia="Consolas" w:hAnsi="Consolas" w:cs="Consolas"/>
                <w:sz w:val="22"/>
                <w:szCs w:val="22"/>
                <w:shd w:val="clear" w:color="auto" w:fill="EAEEF3"/>
              </w:rPr>
              <w:t>E1_Entité_CRM</w:t>
            </w:r>
          </w:p>
        </w:tc>
      </w:tr>
      <w:tr w:rsidR="00BF18CF" w14:paraId="2C3CFB35" w14:textId="77777777" w:rsidTr="00BF18CF">
        <w:tc>
          <w:tcPr>
            <w:tcW w:w="1874" w:type="dxa"/>
          </w:tcPr>
          <w:p w14:paraId="6CEF1A9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6" w:type="dxa"/>
          </w:tcPr>
          <w:p w14:paraId="2BDBD9BD" w14:textId="77777777" w:rsidR="00BF18CF" w:rsidRDefault="00E51347">
            <w:r>
              <w:rPr>
                <w:rFonts w:ascii="Consolas" w:eastAsia="Consolas" w:hAnsi="Consolas" w:cs="Consolas"/>
                <w:sz w:val="22"/>
                <w:szCs w:val="22"/>
                <w:shd w:val="clear" w:color="auto" w:fill="EAEEF3"/>
              </w:rPr>
              <w:t>E55_Type</w:t>
            </w:r>
          </w:p>
        </w:tc>
      </w:tr>
      <w:tr w:rsidR="00BF18CF" w14:paraId="03FFF212" w14:textId="77777777" w:rsidTr="00BF18CF">
        <w:tc>
          <w:tcPr>
            <w:tcW w:w="1874" w:type="dxa"/>
          </w:tcPr>
          <w:p w14:paraId="3A7DE809"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6" w:type="dxa"/>
          </w:tcPr>
          <w:p w14:paraId="0B3B7B90"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P2_a_pour_type (est_le_type_de)</w:t>
            </w:r>
            <w:r>
              <w:t xml:space="preserve"> : </w:t>
            </w:r>
            <w:r>
              <w:rPr>
                <w:rFonts w:ascii="Consolas" w:eastAsia="Consolas" w:hAnsi="Consolas" w:cs="Consolas"/>
                <w:sz w:val="22"/>
                <w:szCs w:val="22"/>
                <w:shd w:val="clear" w:color="auto" w:fill="EAEEF3"/>
              </w:rPr>
              <w:t>E55_Type</w:t>
            </w:r>
          </w:p>
        </w:tc>
      </w:tr>
      <w:tr w:rsidR="00BF18CF" w14:paraId="73B120C5" w14:textId="77777777" w:rsidTr="00BF18CF">
        <w:tc>
          <w:tcPr>
            <w:tcW w:w="1874" w:type="dxa"/>
          </w:tcPr>
          <w:p w14:paraId="0CF65D3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6" w:type="dxa"/>
          </w:tcPr>
          <w:p w14:paraId="6262645D" w14:textId="77777777" w:rsidR="00BF18CF" w:rsidRDefault="00BF18CF">
            <w:pPr>
              <w:pBdr>
                <w:top w:val="nil"/>
                <w:left w:val="nil"/>
                <w:bottom w:val="nil"/>
                <w:right w:val="nil"/>
                <w:between w:val="nil"/>
              </w:pBdr>
              <w:spacing w:before="36" w:after="36"/>
              <w:rPr>
                <w:color w:val="000000"/>
              </w:rPr>
            </w:pPr>
          </w:p>
        </w:tc>
      </w:tr>
      <w:tr w:rsidR="00BF18CF" w14:paraId="6D2CF850" w14:textId="77777777" w:rsidTr="00BF18CF">
        <w:tc>
          <w:tcPr>
            <w:tcW w:w="1874" w:type="dxa"/>
          </w:tcPr>
          <w:p w14:paraId="6D430F5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6" w:type="dxa"/>
          </w:tcPr>
          <w:p w14:paraId="40B14EE8" w14:textId="77777777" w:rsidR="00BF18CF" w:rsidRDefault="00E51347">
            <w:proofErr w:type="gramStart"/>
            <w:r>
              <w:t>plusieurs</w:t>
            </w:r>
            <w:proofErr w:type="gramEnd"/>
            <w:r>
              <w:t xml:space="preserve"> à plusieurs (0,n:0,n)</w:t>
            </w:r>
          </w:p>
        </w:tc>
      </w:tr>
      <w:tr w:rsidR="00BF18CF" w14:paraId="235EE553" w14:textId="77777777" w:rsidTr="00BF18CF">
        <w:tc>
          <w:tcPr>
            <w:tcW w:w="1874" w:type="dxa"/>
          </w:tcPr>
          <w:p w14:paraId="713F13B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6" w:type="dxa"/>
          </w:tcPr>
          <w:p w14:paraId="1BE3463E" w14:textId="77777777" w:rsidR="00BF18CF" w:rsidRDefault="00E51347">
            <w:r>
              <w:t xml:space="preserve">Cette propriété associe une instance de </w:t>
            </w:r>
            <w:r>
              <w:rPr>
                <w:rFonts w:ascii="Consolas" w:eastAsia="Consolas" w:hAnsi="Consolas" w:cs="Consolas"/>
                <w:sz w:val="22"/>
                <w:szCs w:val="22"/>
                <w:shd w:val="clear" w:color="auto" w:fill="EAEEF3"/>
              </w:rPr>
              <w:t>E1_Entité_CRM</w:t>
            </w:r>
            <w:r>
              <w:t xml:space="preserve"> à une instance de </w:t>
            </w:r>
            <w:r>
              <w:rPr>
                <w:rFonts w:ascii="Consolas" w:eastAsia="Consolas" w:hAnsi="Consolas" w:cs="Consolas"/>
                <w:sz w:val="22"/>
                <w:szCs w:val="22"/>
                <w:shd w:val="clear" w:color="auto" w:fill="EAEEF3"/>
              </w:rPr>
              <w:t>E55_Type</w:t>
            </w:r>
            <w:r>
              <w:t xml:space="preserve"> de laquelle elle a été déclarée comme étant un exemple caractéristique.</w:t>
            </w:r>
          </w:p>
          <w:p w14:paraId="790A8360" w14:textId="77777777" w:rsidR="00BF18CF" w:rsidRDefault="00E51347">
            <w:r>
              <w:t xml:space="preserve">La propriété </w:t>
            </w:r>
            <w:r>
              <w:rPr>
                <w:rFonts w:ascii="Consolas" w:eastAsia="Consolas" w:hAnsi="Consolas" w:cs="Consolas"/>
                <w:sz w:val="22"/>
                <w:szCs w:val="22"/>
                <w:shd w:val="clear" w:color="auto" w:fill="EAEEF3"/>
              </w:rPr>
              <w:t>P137.1_dans_le_rôle_taxonomique_de</w:t>
            </w:r>
            <w:r>
              <w:t xml:space="preserve"> de </w:t>
            </w:r>
            <w:r>
              <w:rPr>
                <w:rFonts w:ascii="Consolas" w:eastAsia="Consolas" w:hAnsi="Consolas" w:cs="Consolas"/>
                <w:sz w:val="22"/>
                <w:szCs w:val="22"/>
                <w:shd w:val="clear" w:color="auto" w:fill="EAEEF3"/>
              </w:rPr>
              <w:t>P137_exemplifie (est_exemplifié_par)</w:t>
            </w:r>
            <w:r>
              <w:t xml:space="preserve"> permet la distinction des rôles taxonomiques. Ces derniers présentent la relation spécifique entre l’exemplaire et le type, par exemple « prototypique », « archétypique », « lectotype », etc. Le rôle taxonomique « lectotype » n’est pas associé à l’instance de </w:t>
            </w:r>
            <w:r>
              <w:rPr>
                <w:rFonts w:ascii="Consolas" w:eastAsia="Consolas" w:hAnsi="Consolas" w:cs="Consolas"/>
                <w:sz w:val="22"/>
                <w:szCs w:val="22"/>
                <w:shd w:val="clear" w:color="auto" w:fill="EAEEF3"/>
              </w:rPr>
              <w:t>E83_Création_de_type</w:t>
            </w:r>
            <w:r>
              <w:t xml:space="preserve"> elle-même, mais sélectionné ultérieurement.</w:t>
            </w:r>
          </w:p>
        </w:tc>
      </w:tr>
      <w:tr w:rsidR="00BF18CF" w14:paraId="13DDC99C" w14:textId="77777777" w:rsidTr="00BF18CF">
        <w:tc>
          <w:tcPr>
            <w:tcW w:w="1874" w:type="dxa"/>
          </w:tcPr>
          <w:p w14:paraId="0A9066E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6" w:type="dxa"/>
          </w:tcPr>
          <w:p w14:paraId="60C8D69A" w14:textId="77777777" w:rsidR="00BF18CF" w:rsidRDefault="00E51347">
            <w:pPr>
              <w:numPr>
                <w:ilvl w:val="0"/>
                <w:numId w:val="19"/>
              </w:numPr>
            </w:pPr>
            <w:r>
              <w:t>L’objet BM000098044 de l’Herbier Clayton (</w:t>
            </w:r>
            <w:r>
              <w:rPr>
                <w:rFonts w:ascii="Consolas" w:eastAsia="Consolas" w:hAnsi="Consolas" w:cs="Consolas"/>
                <w:sz w:val="22"/>
                <w:szCs w:val="22"/>
                <w:shd w:val="clear" w:color="auto" w:fill="EAEEF3"/>
              </w:rPr>
              <w:t>E20_Objet_biologique</w:t>
            </w:r>
            <w:r>
              <w:t>) exemplifie (</w:t>
            </w:r>
            <w:r>
              <w:rPr>
                <w:rFonts w:ascii="Consolas" w:eastAsia="Consolas" w:hAnsi="Consolas" w:cs="Consolas"/>
                <w:sz w:val="22"/>
                <w:szCs w:val="22"/>
                <w:shd w:val="clear" w:color="auto" w:fill="EAEEF3"/>
              </w:rPr>
              <w:t>P137_exemplifie</w:t>
            </w:r>
            <w:r>
              <w:t>) Spigelia marilandica (L.) L. (</w:t>
            </w:r>
            <w:r>
              <w:rPr>
                <w:rFonts w:ascii="Consolas" w:eastAsia="Consolas" w:hAnsi="Consolas" w:cs="Consolas"/>
                <w:sz w:val="22"/>
                <w:szCs w:val="22"/>
                <w:shd w:val="clear" w:color="auto" w:fill="EAEEF3"/>
              </w:rPr>
              <w:t>E55_Type</w:t>
            </w:r>
            <w:r>
              <w:t xml:space="preserve">) </w:t>
            </w:r>
            <w:r>
              <w:rPr>
                <w:i/>
              </w:rPr>
              <w:t>dans le rôle taxonomique</w:t>
            </w:r>
            <w:r>
              <w:t xml:space="preserve"> (</w:t>
            </w:r>
            <w:r>
              <w:rPr>
                <w:rFonts w:ascii="Consolas" w:eastAsia="Consolas" w:hAnsi="Consolas" w:cs="Consolas"/>
                <w:sz w:val="22"/>
                <w:szCs w:val="22"/>
                <w:shd w:val="clear" w:color="auto" w:fill="EAEEF3"/>
              </w:rPr>
              <w:t>P137.1_dans_le_rôle_taxonomique_de</w:t>
            </w:r>
            <w:r>
              <w:t>) « lectotype » (Savage, 1945)</w:t>
            </w:r>
          </w:p>
        </w:tc>
      </w:tr>
      <w:tr w:rsidR="00BF18CF" w14:paraId="7DBBDC58" w14:textId="77777777" w:rsidTr="00BF18CF">
        <w:tc>
          <w:tcPr>
            <w:tcW w:w="1874" w:type="dxa"/>
          </w:tcPr>
          <w:p w14:paraId="3E8C1C3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6" w:type="dxa"/>
          </w:tcPr>
          <w:p w14:paraId="2023732D" w14:textId="77777777" w:rsidR="00BF18CF" w:rsidRDefault="00E51347">
            <w:r>
              <w:t>P137(</w:t>
            </w:r>
            <w:proofErr w:type="gramStart"/>
            <w:r>
              <w:t>x,y</w:t>
            </w:r>
            <w:proofErr w:type="gramEnd"/>
            <w:r>
              <w:t>) ⇒ E1(x)</w:t>
            </w:r>
          </w:p>
          <w:p w14:paraId="0B064F3B" w14:textId="77777777" w:rsidR="00BF18CF" w:rsidRDefault="00E51347">
            <w:r>
              <w:t>P137(</w:t>
            </w:r>
            <w:proofErr w:type="gramStart"/>
            <w:r>
              <w:t>x,y</w:t>
            </w:r>
            <w:proofErr w:type="gramEnd"/>
            <w:r>
              <w:t>) ⇒ E55(y)</w:t>
            </w:r>
          </w:p>
          <w:p w14:paraId="0C1A41A9" w14:textId="77777777" w:rsidR="00BF18CF" w:rsidRDefault="00E51347">
            <w:r>
              <w:t>P137(</w:t>
            </w:r>
            <w:proofErr w:type="gramStart"/>
            <w:r>
              <w:t>x,y</w:t>
            </w:r>
            <w:proofErr w:type="gramEnd"/>
            <w:r>
              <w:t>,z) ⇒ [P137(x,y) ∧ E55(z)]</w:t>
            </w:r>
          </w:p>
          <w:p w14:paraId="66559ED9" w14:textId="77777777" w:rsidR="00BF18CF" w:rsidRDefault="00E51347">
            <w:r>
              <w:t>P137(</w:t>
            </w:r>
            <w:proofErr w:type="gramStart"/>
            <w:r>
              <w:t>x,y</w:t>
            </w:r>
            <w:proofErr w:type="gramEnd"/>
            <w:r>
              <w:t>) ⇒ P2(x,y)</w:t>
            </w:r>
          </w:p>
        </w:tc>
      </w:tr>
      <w:tr w:rsidR="00BF18CF" w14:paraId="387B32C7" w14:textId="77777777" w:rsidTr="00BF18CF">
        <w:tc>
          <w:tcPr>
            <w:tcW w:w="1874" w:type="dxa"/>
          </w:tcPr>
          <w:p w14:paraId="2B01234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6" w:type="dxa"/>
          </w:tcPr>
          <w:p w14:paraId="65B3A985" w14:textId="77777777" w:rsidR="00BF18CF" w:rsidRDefault="00E51347">
            <w:r>
              <w:rPr>
                <w:rFonts w:ascii="Consolas" w:eastAsia="Consolas" w:hAnsi="Consolas" w:cs="Consolas"/>
                <w:sz w:val="22"/>
                <w:szCs w:val="22"/>
                <w:shd w:val="clear" w:color="auto" w:fill="EAEEF3"/>
              </w:rPr>
              <w:t>P137.1_dans_le_rôle_taxonomique_de</w:t>
            </w:r>
            <w:r>
              <w:t xml:space="preserve"> : </w:t>
            </w:r>
            <w:r>
              <w:rPr>
                <w:rFonts w:ascii="Consolas" w:eastAsia="Consolas" w:hAnsi="Consolas" w:cs="Consolas"/>
                <w:sz w:val="22"/>
                <w:szCs w:val="22"/>
                <w:shd w:val="clear" w:color="auto" w:fill="EAEEF3"/>
              </w:rPr>
              <w:t>E55_Type</w:t>
            </w:r>
          </w:p>
        </w:tc>
      </w:tr>
      <w:tr w:rsidR="00BF18CF" w14:paraId="3B2FDC97" w14:textId="77777777" w:rsidTr="00BF18CF">
        <w:tc>
          <w:tcPr>
            <w:tcW w:w="1874" w:type="dxa"/>
          </w:tcPr>
          <w:p w14:paraId="6957BF80" w14:textId="3682688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6" w:type="dxa"/>
          </w:tcPr>
          <w:p w14:paraId="665A8F14" w14:textId="77777777" w:rsidR="00BF18CF" w:rsidRDefault="00BF18CF">
            <w:pPr>
              <w:pBdr>
                <w:top w:val="nil"/>
                <w:left w:val="nil"/>
                <w:bottom w:val="nil"/>
                <w:right w:val="nil"/>
                <w:between w:val="nil"/>
              </w:pBdr>
              <w:spacing w:before="36" w:after="36"/>
              <w:rPr>
                <w:color w:val="000000"/>
              </w:rPr>
            </w:pPr>
          </w:p>
        </w:tc>
      </w:tr>
      <w:tr w:rsidR="00BF18CF" w14:paraId="29673CBD" w14:textId="77777777" w:rsidTr="00BF18CF">
        <w:tc>
          <w:tcPr>
            <w:tcW w:w="1874" w:type="dxa"/>
          </w:tcPr>
          <w:p w14:paraId="362E5D0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6" w:type="dxa"/>
          </w:tcPr>
          <w:p w14:paraId="2BB3BD05" w14:textId="77777777" w:rsidR="00BF18CF" w:rsidRDefault="00BF18CF">
            <w:pPr>
              <w:pBdr>
                <w:top w:val="nil"/>
                <w:left w:val="nil"/>
                <w:bottom w:val="nil"/>
                <w:right w:val="nil"/>
                <w:between w:val="nil"/>
              </w:pBdr>
              <w:spacing w:before="36" w:after="36"/>
              <w:rPr>
                <w:color w:val="000000"/>
              </w:rPr>
            </w:pPr>
          </w:p>
        </w:tc>
      </w:tr>
    </w:tbl>
    <w:p w14:paraId="7891E2EB" w14:textId="77777777" w:rsidR="00BF18CF" w:rsidRDefault="00E51347">
      <w:pPr>
        <w:pStyle w:val="Heading3"/>
      </w:pPr>
      <w:bookmarkStart w:id="489" w:name="bookmark=id.3b2epr8" w:colFirst="0" w:colLast="0"/>
      <w:bookmarkStart w:id="490" w:name="_Toc144360988"/>
      <w:bookmarkEnd w:id="489"/>
      <w:r>
        <w:t>P138 représente (est représenté par)</w:t>
      </w:r>
      <w:bookmarkEnd w:id="490"/>
    </w:p>
    <w:tbl>
      <w:tblPr>
        <w:tblStyle w:val="afffffff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2"/>
        <w:gridCol w:w="8818"/>
      </w:tblGrid>
      <w:tr w:rsidR="00BF18CF" w14:paraId="56D69B72" w14:textId="77777777" w:rsidTr="00BF18CF">
        <w:tc>
          <w:tcPr>
            <w:tcW w:w="1872" w:type="dxa"/>
          </w:tcPr>
          <w:p w14:paraId="0FBB3D6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8" w:type="dxa"/>
          </w:tcPr>
          <w:p w14:paraId="1D300904" w14:textId="77777777" w:rsidR="00BF18CF" w:rsidRDefault="00E51347">
            <w:r>
              <w:rPr>
                <w:rFonts w:ascii="Consolas" w:eastAsia="Consolas" w:hAnsi="Consolas" w:cs="Consolas"/>
                <w:sz w:val="22"/>
                <w:szCs w:val="22"/>
                <w:shd w:val="clear" w:color="auto" w:fill="EAEEF3"/>
              </w:rPr>
              <w:t>E36_Entité_visuelle</w:t>
            </w:r>
          </w:p>
        </w:tc>
      </w:tr>
      <w:tr w:rsidR="00BF18CF" w14:paraId="3C65CF01" w14:textId="77777777" w:rsidTr="00BF18CF">
        <w:tc>
          <w:tcPr>
            <w:tcW w:w="1872" w:type="dxa"/>
          </w:tcPr>
          <w:p w14:paraId="021638B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8" w:type="dxa"/>
          </w:tcPr>
          <w:p w14:paraId="298A5EDB" w14:textId="77777777" w:rsidR="00BF18CF" w:rsidRDefault="00E51347">
            <w:r>
              <w:rPr>
                <w:rFonts w:ascii="Consolas" w:eastAsia="Consolas" w:hAnsi="Consolas" w:cs="Consolas"/>
                <w:sz w:val="22"/>
                <w:szCs w:val="22"/>
                <w:shd w:val="clear" w:color="auto" w:fill="EAEEF3"/>
              </w:rPr>
              <w:t>E1_Entité_CRM</w:t>
            </w:r>
          </w:p>
        </w:tc>
      </w:tr>
      <w:tr w:rsidR="00BF18CF" w14:paraId="43BAF88A" w14:textId="77777777" w:rsidTr="00BF18CF">
        <w:tc>
          <w:tcPr>
            <w:tcW w:w="1872" w:type="dxa"/>
          </w:tcPr>
          <w:p w14:paraId="28C322D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8" w:type="dxa"/>
          </w:tcPr>
          <w:p w14:paraId="611D7FC1" w14:textId="77777777" w:rsidR="00BF18CF" w:rsidRDefault="00E51347">
            <w:r>
              <w:rPr>
                <w:rFonts w:ascii="Consolas" w:eastAsia="Consolas" w:hAnsi="Consolas" w:cs="Consolas"/>
                <w:sz w:val="22"/>
                <w:szCs w:val="22"/>
                <w:shd w:val="clear" w:color="auto" w:fill="EAEEF3"/>
              </w:rPr>
              <w:t>E89_Objet_propositionnel</w:t>
            </w:r>
            <w:r>
              <w:t xml:space="preserve">. </w:t>
            </w:r>
            <w:r>
              <w:rPr>
                <w:rFonts w:ascii="Consolas" w:eastAsia="Consolas" w:hAnsi="Consolas" w:cs="Consolas"/>
                <w:sz w:val="22"/>
                <w:szCs w:val="22"/>
                <w:shd w:val="clear" w:color="auto" w:fill="EAEEF3"/>
              </w:rPr>
              <w:t>P67_renvoie_à (fait_l’objet_d’un_renvoi_par)</w:t>
            </w:r>
            <w:r>
              <w:t xml:space="preserve"> : </w:t>
            </w:r>
            <w:r>
              <w:rPr>
                <w:rFonts w:ascii="Consolas" w:eastAsia="Consolas" w:hAnsi="Consolas" w:cs="Consolas"/>
                <w:sz w:val="22"/>
                <w:szCs w:val="22"/>
                <w:shd w:val="clear" w:color="auto" w:fill="EAEEF3"/>
              </w:rPr>
              <w:t>E1_Entité_CRM</w:t>
            </w:r>
          </w:p>
        </w:tc>
      </w:tr>
      <w:tr w:rsidR="00BF18CF" w14:paraId="4DEF929E" w14:textId="77777777" w:rsidTr="00BF18CF">
        <w:tc>
          <w:tcPr>
            <w:tcW w:w="1872" w:type="dxa"/>
          </w:tcPr>
          <w:p w14:paraId="76DD8F69" w14:textId="77777777" w:rsidR="00BF18CF" w:rsidRDefault="00E51347">
            <w:pPr>
              <w:pBdr>
                <w:top w:val="nil"/>
                <w:left w:val="nil"/>
                <w:bottom w:val="nil"/>
                <w:right w:val="nil"/>
                <w:between w:val="nil"/>
              </w:pBdr>
              <w:spacing w:before="36" w:after="36"/>
              <w:rPr>
                <w:color w:val="000000"/>
              </w:rPr>
            </w:pPr>
            <w:r>
              <w:rPr>
                <w:b/>
                <w:color w:val="000000"/>
              </w:rPr>
              <w:lastRenderedPageBreak/>
              <w:t>Super-propriété de</w:t>
            </w:r>
          </w:p>
        </w:tc>
        <w:tc>
          <w:tcPr>
            <w:tcW w:w="8818" w:type="dxa"/>
          </w:tcPr>
          <w:p w14:paraId="2CD3A1B6" w14:textId="77777777" w:rsidR="00BF18CF" w:rsidRDefault="00BF18CF">
            <w:pPr>
              <w:pBdr>
                <w:top w:val="nil"/>
                <w:left w:val="nil"/>
                <w:bottom w:val="nil"/>
                <w:right w:val="nil"/>
                <w:between w:val="nil"/>
              </w:pBdr>
              <w:spacing w:before="36" w:after="36"/>
              <w:rPr>
                <w:color w:val="000000"/>
              </w:rPr>
            </w:pPr>
          </w:p>
        </w:tc>
      </w:tr>
      <w:tr w:rsidR="00BF18CF" w14:paraId="2146787B" w14:textId="77777777" w:rsidTr="00BF18CF">
        <w:tc>
          <w:tcPr>
            <w:tcW w:w="1872" w:type="dxa"/>
          </w:tcPr>
          <w:p w14:paraId="7AD88685"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8" w:type="dxa"/>
          </w:tcPr>
          <w:p w14:paraId="5FAD9553" w14:textId="77777777" w:rsidR="00BF18CF" w:rsidRDefault="00E51347">
            <w:proofErr w:type="gramStart"/>
            <w:r>
              <w:t>plusieurs</w:t>
            </w:r>
            <w:proofErr w:type="gramEnd"/>
            <w:r>
              <w:t xml:space="preserve"> à plusieurs (0,n:0,n)</w:t>
            </w:r>
          </w:p>
        </w:tc>
      </w:tr>
      <w:tr w:rsidR="00BF18CF" w14:paraId="00AA9551" w14:textId="77777777" w:rsidTr="00BF18CF">
        <w:tc>
          <w:tcPr>
            <w:tcW w:w="1872" w:type="dxa"/>
          </w:tcPr>
          <w:p w14:paraId="2788CCA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8" w:type="dxa"/>
          </w:tcPr>
          <w:p w14:paraId="4620889F" w14:textId="77777777" w:rsidR="00BF18CF" w:rsidRDefault="00E51347">
            <w:r>
              <w:t xml:space="preserve">Cette propriété établit la relation entre une instance de </w:t>
            </w:r>
            <w:r>
              <w:rPr>
                <w:rFonts w:ascii="Consolas" w:eastAsia="Consolas" w:hAnsi="Consolas" w:cs="Consolas"/>
                <w:sz w:val="22"/>
                <w:szCs w:val="22"/>
                <w:shd w:val="clear" w:color="auto" w:fill="EAEEF3"/>
              </w:rPr>
              <w:t>E36_Entité_visuelle</w:t>
            </w:r>
            <w:r>
              <w:t xml:space="preserve"> et une instance de </w:t>
            </w:r>
            <w:r>
              <w:rPr>
                <w:rFonts w:ascii="Consolas" w:eastAsia="Consolas" w:hAnsi="Consolas" w:cs="Consolas"/>
                <w:sz w:val="22"/>
                <w:szCs w:val="22"/>
                <w:shd w:val="clear" w:color="auto" w:fill="EAEEF3"/>
              </w:rPr>
              <w:t>E1_Entité_CRM</w:t>
            </w:r>
            <w:r>
              <w:t xml:space="preserve"> qu'elle représente visuellement.</w:t>
            </w:r>
          </w:p>
          <w:p w14:paraId="6926270F" w14:textId="77777777" w:rsidR="00BF18CF" w:rsidRDefault="00E51347">
            <w:r>
              <w:t xml:space="preserve">Toute entité peut être représentée visuellement. Cette propriété fait partie du chemin sémantique complètement développé </w:t>
            </w:r>
            <w:r>
              <w:rPr>
                <w:rFonts w:ascii="Consolas" w:eastAsia="Consolas" w:hAnsi="Consolas" w:cs="Consolas"/>
                <w:sz w:val="22"/>
                <w:szCs w:val="22"/>
                <w:shd w:val="clear" w:color="auto" w:fill="EAEEF3"/>
              </w:rPr>
              <w:t>E24_Chose_matérielle_élaborée_par_l’humain</w:t>
            </w:r>
            <w:r>
              <w:t xml:space="preserve">, </w:t>
            </w:r>
            <w:r>
              <w:rPr>
                <w:rFonts w:ascii="Consolas" w:eastAsia="Consolas" w:hAnsi="Consolas" w:cs="Consolas"/>
                <w:sz w:val="22"/>
                <w:szCs w:val="22"/>
                <w:shd w:val="clear" w:color="auto" w:fill="EAEEF3"/>
              </w:rPr>
              <w:t>P65_représente_l’entité_visuelle (est_représenté_par)</w:t>
            </w:r>
            <w:r>
              <w:t xml:space="preserve">, </w:t>
            </w:r>
            <w:r>
              <w:rPr>
                <w:rFonts w:ascii="Consolas" w:eastAsia="Consolas" w:hAnsi="Consolas" w:cs="Consolas"/>
                <w:sz w:val="22"/>
                <w:szCs w:val="22"/>
                <w:shd w:val="clear" w:color="auto" w:fill="EAEEF3"/>
              </w:rPr>
              <w:t>E36_Entité_visuelle</w:t>
            </w:r>
            <w:r>
              <w:t xml:space="preserve">, </w:t>
            </w:r>
            <w:r>
              <w:rPr>
                <w:rFonts w:ascii="Consolas" w:eastAsia="Consolas" w:hAnsi="Consolas" w:cs="Consolas"/>
                <w:sz w:val="22"/>
                <w:szCs w:val="22"/>
                <w:shd w:val="clear" w:color="auto" w:fill="EAEEF3"/>
              </w:rPr>
              <w:t>P138_représente (est_représenté_par)</w:t>
            </w:r>
            <w:r>
              <w:t xml:space="preserve">, </w:t>
            </w:r>
            <w:r>
              <w:rPr>
                <w:rFonts w:ascii="Consolas" w:eastAsia="Consolas" w:hAnsi="Consolas" w:cs="Consolas"/>
                <w:sz w:val="22"/>
                <w:szCs w:val="22"/>
                <w:shd w:val="clear" w:color="auto" w:fill="EAEEF3"/>
              </w:rPr>
              <w:t>E1_Entité_CRM</w:t>
            </w:r>
            <w:r>
              <w:t xml:space="preserve">, qui peut être raccourci par l'utilisation de </w:t>
            </w:r>
            <w:r>
              <w:rPr>
                <w:rFonts w:ascii="Consolas" w:eastAsia="Consolas" w:hAnsi="Consolas" w:cs="Consolas"/>
                <w:sz w:val="22"/>
                <w:szCs w:val="22"/>
                <w:shd w:val="clear" w:color="auto" w:fill="EAEEF3"/>
              </w:rPr>
              <w:t>P62_illustre (est_illustré_par)</w:t>
            </w:r>
            <w:r>
              <w:t xml:space="preserve">. L'utilisation de la propriété </w:t>
            </w:r>
            <w:r>
              <w:rPr>
                <w:rFonts w:ascii="Consolas" w:eastAsia="Consolas" w:hAnsi="Consolas" w:cs="Consolas"/>
                <w:sz w:val="22"/>
                <w:szCs w:val="22"/>
                <w:shd w:val="clear" w:color="auto" w:fill="EAEEF3"/>
              </w:rPr>
              <w:t>P138.1_mode_de_représentation</w:t>
            </w:r>
            <w:r>
              <w:t xml:space="preserve"> permet de préciser la nature de la représentation.</w:t>
            </w:r>
          </w:p>
          <w:p w14:paraId="77B5487B" w14:textId="77777777" w:rsidR="00BF18CF" w:rsidRDefault="00E51347">
            <w:r>
              <w:t>Cette propriété est aussi utilisée pour identifier la relation entre un original et une numérisation de celui-ci par l'utilisation de techniques telles que la photographie numérique, la numérisation par balayage à plat ou par infrarouge. La numérisation est ici considérée comme un processus avec une composante mécanique et causale rendant la distribution spatiale des propriétés structurelles et optiques de l'original et n'inclut pas nécessairement une similitude identifiable par l'observation humaine.</w:t>
            </w:r>
          </w:p>
        </w:tc>
      </w:tr>
      <w:tr w:rsidR="00BF18CF" w14:paraId="614F04DD" w14:textId="77777777" w:rsidTr="00BF18CF">
        <w:tc>
          <w:tcPr>
            <w:tcW w:w="1872" w:type="dxa"/>
          </w:tcPr>
          <w:p w14:paraId="2B2EF701"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8" w:type="dxa"/>
          </w:tcPr>
          <w:p w14:paraId="43C6AC25" w14:textId="77777777" w:rsidR="00BF18CF" w:rsidRDefault="00E51347">
            <w:pPr>
              <w:numPr>
                <w:ilvl w:val="0"/>
                <w:numId w:val="19"/>
              </w:numPr>
            </w:pPr>
            <w:r>
              <w:t xml:space="preserve">Le fichier numérique consultable à l'adresse </w:t>
            </w:r>
            <w:hyperlink r:id="rId421">
              <w:r>
                <w:rPr>
                  <w:color w:val="4F81BD"/>
                </w:rPr>
                <w:t>http://www.emunch.no/N/full/No-MM_N0001-01.jpg</w:t>
              </w:r>
            </w:hyperlink>
            <w:r>
              <w:t xml:space="preserve"> (</w:t>
            </w:r>
            <w:r>
              <w:rPr>
                <w:rFonts w:ascii="Consolas" w:eastAsia="Consolas" w:hAnsi="Consolas" w:cs="Consolas"/>
                <w:sz w:val="22"/>
                <w:szCs w:val="22"/>
                <w:shd w:val="clear" w:color="auto" w:fill="EAEEF3"/>
              </w:rPr>
              <w:t>E36_Entité_visuelle</w:t>
            </w:r>
            <w:r>
              <w:t>) représente (</w:t>
            </w:r>
            <w:r>
              <w:rPr>
                <w:rFonts w:ascii="Consolas" w:eastAsia="Consolas" w:hAnsi="Consolas" w:cs="Consolas"/>
                <w:sz w:val="22"/>
                <w:szCs w:val="22"/>
                <w:shd w:val="clear" w:color="auto" w:fill="EAEEF3"/>
              </w:rPr>
              <w:t>P138_représente</w:t>
            </w:r>
            <w:r>
              <w:t>) la première page du manuscrit MM N 1, Munchmuseet d'Edvard Munch (</w:t>
            </w:r>
            <w:r>
              <w:rPr>
                <w:rFonts w:ascii="Consolas" w:eastAsia="Consolas" w:hAnsi="Consolas" w:cs="Consolas"/>
                <w:sz w:val="22"/>
                <w:szCs w:val="22"/>
                <w:shd w:val="clear" w:color="auto" w:fill="EAEEF3"/>
              </w:rPr>
              <w:t>E22_Objet_élaboré_par_l’humain</w:t>
            </w:r>
            <w:r>
              <w:t>) et a pour mode de représentation (</w:t>
            </w:r>
            <w:r>
              <w:rPr>
                <w:rFonts w:ascii="Consolas" w:eastAsia="Consolas" w:hAnsi="Consolas" w:cs="Consolas"/>
                <w:sz w:val="22"/>
                <w:szCs w:val="22"/>
                <w:shd w:val="clear" w:color="auto" w:fill="EAEEF3"/>
              </w:rPr>
              <w:t>P138.1_mode_de_représentation</w:t>
            </w:r>
            <w:r>
              <w:t>) « numérisation » (</w:t>
            </w:r>
            <w:r>
              <w:rPr>
                <w:rFonts w:ascii="Consolas" w:eastAsia="Consolas" w:hAnsi="Consolas" w:cs="Consolas"/>
                <w:sz w:val="22"/>
                <w:szCs w:val="22"/>
                <w:shd w:val="clear" w:color="auto" w:fill="EAEEF3"/>
              </w:rPr>
              <w:t>E55_Type</w:t>
            </w:r>
            <w:r>
              <w:t>)</w:t>
            </w:r>
          </w:p>
          <w:p w14:paraId="37C6D10F" w14:textId="77777777" w:rsidR="00BF18CF" w:rsidRDefault="00E51347">
            <w:pPr>
              <w:numPr>
                <w:ilvl w:val="0"/>
                <w:numId w:val="19"/>
              </w:numPr>
            </w:pPr>
            <w:r>
              <w:t>Le modèle 3D VAM_A.200-1946_trace_1M.ply (</w:t>
            </w:r>
            <w:r>
              <w:rPr>
                <w:rFonts w:ascii="Consolas" w:eastAsia="Consolas" w:hAnsi="Consolas" w:cs="Consolas"/>
                <w:sz w:val="22"/>
                <w:szCs w:val="22"/>
                <w:shd w:val="clear" w:color="auto" w:fill="EAEEF3"/>
              </w:rPr>
              <w:t>E73_Objet_informationnel</w:t>
            </w:r>
            <w:r>
              <w:t>) représente (</w:t>
            </w:r>
            <w:r>
              <w:rPr>
                <w:rFonts w:ascii="Consolas" w:eastAsia="Consolas" w:hAnsi="Consolas" w:cs="Consolas"/>
                <w:sz w:val="22"/>
                <w:szCs w:val="22"/>
                <w:shd w:val="clear" w:color="auto" w:fill="EAEEF3"/>
              </w:rPr>
              <w:t>P138_représente</w:t>
            </w:r>
            <w:r>
              <w:t xml:space="preserve">) la sculpture </w:t>
            </w:r>
            <w:r>
              <w:rPr>
                <w:i/>
              </w:rPr>
              <w:t>Virgin and Child</w:t>
            </w:r>
            <w:r>
              <w:t xml:space="preserve"> A.200-1946 (</w:t>
            </w:r>
            <w:r>
              <w:rPr>
                <w:rFonts w:ascii="Consolas" w:eastAsia="Consolas" w:hAnsi="Consolas" w:cs="Consolas"/>
                <w:sz w:val="22"/>
                <w:szCs w:val="22"/>
                <w:shd w:val="clear" w:color="auto" w:fill="EAEEF3"/>
              </w:rPr>
              <w:t>E22_Objet_élaboré_par_l’humain</w:t>
            </w:r>
            <w:r>
              <w:t>) du Victoria &amp; Albert Museum et a pour mode de représentation (</w:t>
            </w:r>
            <w:r>
              <w:rPr>
                <w:rFonts w:ascii="Consolas" w:eastAsia="Consolas" w:hAnsi="Consolas" w:cs="Consolas"/>
                <w:sz w:val="22"/>
                <w:szCs w:val="22"/>
                <w:shd w:val="clear" w:color="auto" w:fill="EAEEF3"/>
              </w:rPr>
              <w:t>P138.1_mode_de_représentation</w:t>
            </w:r>
            <w:r>
              <w:t>) « surface 3D » (</w:t>
            </w:r>
            <w:r>
              <w:rPr>
                <w:rFonts w:ascii="Consolas" w:eastAsia="Consolas" w:hAnsi="Consolas" w:cs="Consolas"/>
                <w:sz w:val="22"/>
                <w:szCs w:val="22"/>
                <w:shd w:val="clear" w:color="auto" w:fill="EAEEF3"/>
              </w:rPr>
              <w:t>E55_Type</w:t>
            </w:r>
            <w:r>
              <w:t>)</w:t>
            </w:r>
          </w:p>
        </w:tc>
      </w:tr>
      <w:tr w:rsidR="00BF18CF" w14:paraId="7B8E8289" w14:textId="77777777" w:rsidTr="00BF18CF">
        <w:tc>
          <w:tcPr>
            <w:tcW w:w="1872" w:type="dxa"/>
          </w:tcPr>
          <w:p w14:paraId="2F7A790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8" w:type="dxa"/>
          </w:tcPr>
          <w:p w14:paraId="0881430E" w14:textId="77777777" w:rsidR="00BF18CF" w:rsidRDefault="00E51347">
            <w:r>
              <w:t>P138(</w:t>
            </w:r>
            <w:proofErr w:type="gramStart"/>
            <w:r>
              <w:t>x,y</w:t>
            </w:r>
            <w:proofErr w:type="gramEnd"/>
            <w:r>
              <w:t>) ⇒ E36(x)</w:t>
            </w:r>
          </w:p>
          <w:p w14:paraId="61F63731" w14:textId="77777777" w:rsidR="00BF18CF" w:rsidRDefault="00E51347">
            <w:r>
              <w:t>P138(</w:t>
            </w:r>
            <w:proofErr w:type="gramStart"/>
            <w:r>
              <w:t>x,y</w:t>
            </w:r>
            <w:proofErr w:type="gramEnd"/>
            <w:r>
              <w:t>) ⇒ E1(y)</w:t>
            </w:r>
          </w:p>
          <w:p w14:paraId="3DB03B1A" w14:textId="77777777" w:rsidR="00BF18CF" w:rsidRDefault="00E51347">
            <w:r>
              <w:t>P138(</w:t>
            </w:r>
            <w:proofErr w:type="gramStart"/>
            <w:r>
              <w:t>x,y</w:t>
            </w:r>
            <w:proofErr w:type="gramEnd"/>
            <w:r>
              <w:t>,z) ⇒ [P138(x,y) ∧ E55(z)]</w:t>
            </w:r>
          </w:p>
          <w:p w14:paraId="2CD8284B" w14:textId="77777777" w:rsidR="00BF18CF" w:rsidRDefault="00E51347">
            <w:r>
              <w:t>P138(</w:t>
            </w:r>
            <w:proofErr w:type="gramStart"/>
            <w:r>
              <w:t>x,y</w:t>
            </w:r>
            <w:proofErr w:type="gramEnd"/>
            <w:r>
              <w:t>) ⇒ P67(x,y)</w:t>
            </w:r>
          </w:p>
        </w:tc>
      </w:tr>
      <w:tr w:rsidR="00BF18CF" w14:paraId="6AD109A5" w14:textId="77777777" w:rsidTr="00BF18CF">
        <w:tc>
          <w:tcPr>
            <w:tcW w:w="1872" w:type="dxa"/>
          </w:tcPr>
          <w:p w14:paraId="2532B1F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8" w:type="dxa"/>
          </w:tcPr>
          <w:p w14:paraId="24E11AE2" w14:textId="77777777" w:rsidR="00BF18CF" w:rsidRDefault="00E51347">
            <w:r>
              <w:rPr>
                <w:rFonts w:ascii="Consolas" w:eastAsia="Consolas" w:hAnsi="Consolas" w:cs="Consolas"/>
                <w:sz w:val="22"/>
                <w:szCs w:val="22"/>
                <w:shd w:val="clear" w:color="auto" w:fill="EAEEF3"/>
              </w:rPr>
              <w:t>P138.1_mode_de_représentation</w:t>
            </w:r>
            <w:r>
              <w:t xml:space="preserve"> : </w:t>
            </w:r>
            <w:r>
              <w:rPr>
                <w:rFonts w:ascii="Consolas" w:eastAsia="Consolas" w:hAnsi="Consolas" w:cs="Consolas"/>
                <w:sz w:val="22"/>
                <w:szCs w:val="22"/>
                <w:shd w:val="clear" w:color="auto" w:fill="EAEEF3"/>
              </w:rPr>
              <w:t>E55_Type</w:t>
            </w:r>
          </w:p>
        </w:tc>
      </w:tr>
      <w:tr w:rsidR="00BF18CF" w14:paraId="25322DDD" w14:textId="77777777" w:rsidTr="00BF18CF">
        <w:tc>
          <w:tcPr>
            <w:tcW w:w="1872" w:type="dxa"/>
          </w:tcPr>
          <w:p w14:paraId="706BEBF6" w14:textId="1AEC3CC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8" w:type="dxa"/>
          </w:tcPr>
          <w:p w14:paraId="7748214B" w14:textId="77777777" w:rsidR="00BF18CF" w:rsidRDefault="00BF18CF">
            <w:pPr>
              <w:pBdr>
                <w:top w:val="nil"/>
                <w:left w:val="nil"/>
                <w:bottom w:val="nil"/>
                <w:right w:val="nil"/>
                <w:between w:val="nil"/>
              </w:pBdr>
              <w:spacing w:before="36" w:after="36"/>
              <w:rPr>
                <w:color w:val="000000"/>
              </w:rPr>
            </w:pPr>
          </w:p>
        </w:tc>
      </w:tr>
      <w:tr w:rsidR="00BF18CF" w14:paraId="22CCFFAD" w14:textId="77777777" w:rsidTr="00BF18CF">
        <w:tc>
          <w:tcPr>
            <w:tcW w:w="1872" w:type="dxa"/>
          </w:tcPr>
          <w:p w14:paraId="11163541"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8" w:type="dxa"/>
          </w:tcPr>
          <w:p w14:paraId="1C05BA69" w14:textId="77777777" w:rsidR="00BF18CF" w:rsidRDefault="00BF18CF">
            <w:pPr>
              <w:pBdr>
                <w:top w:val="nil"/>
                <w:left w:val="nil"/>
                <w:bottom w:val="nil"/>
                <w:right w:val="nil"/>
                <w:between w:val="nil"/>
              </w:pBdr>
              <w:spacing w:before="36" w:after="36"/>
              <w:rPr>
                <w:color w:val="000000"/>
              </w:rPr>
            </w:pPr>
          </w:p>
        </w:tc>
      </w:tr>
    </w:tbl>
    <w:p w14:paraId="2D7945CC" w14:textId="77777777" w:rsidR="00BF18CF" w:rsidRDefault="00E51347">
      <w:pPr>
        <w:pStyle w:val="Heading3"/>
      </w:pPr>
      <w:bookmarkStart w:id="491" w:name="bookmark=id.1q7ozz1" w:colFirst="0" w:colLast="0"/>
      <w:bookmarkStart w:id="492" w:name="_Toc144360989"/>
      <w:bookmarkEnd w:id="491"/>
      <w:r>
        <w:lastRenderedPageBreak/>
        <w:t>P139 a pour forme alternative</w:t>
      </w:r>
      <w:bookmarkEnd w:id="492"/>
    </w:p>
    <w:tbl>
      <w:tblPr>
        <w:tblStyle w:val="affffff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4"/>
        <w:gridCol w:w="8806"/>
      </w:tblGrid>
      <w:tr w:rsidR="00BF18CF" w14:paraId="4463BAEA" w14:textId="77777777" w:rsidTr="00BF18CF">
        <w:tc>
          <w:tcPr>
            <w:tcW w:w="1884" w:type="dxa"/>
          </w:tcPr>
          <w:p w14:paraId="2077748F"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6" w:type="dxa"/>
          </w:tcPr>
          <w:p w14:paraId="21BF5670" w14:textId="77777777" w:rsidR="00BF18CF" w:rsidRDefault="00E51347">
            <w:r>
              <w:rPr>
                <w:rFonts w:ascii="Consolas" w:eastAsia="Consolas" w:hAnsi="Consolas" w:cs="Consolas"/>
                <w:sz w:val="22"/>
                <w:szCs w:val="22"/>
                <w:shd w:val="clear" w:color="auto" w:fill="EAEEF3"/>
              </w:rPr>
              <w:t>E41_Appellation</w:t>
            </w:r>
          </w:p>
        </w:tc>
      </w:tr>
      <w:tr w:rsidR="00BF18CF" w14:paraId="1F29D073" w14:textId="77777777" w:rsidTr="00BF18CF">
        <w:tc>
          <w:tcPr>
            <w:tcW w:w="1884" w:type="dxa"/>
          </w:tcPr>
          <w:p w14:paraId="41066DA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6" w:type="dxa"/>
          </w:tcPr>
          <w:p w14:paraId="2EA8DCC2" w14:textId="77777777" w:rsidR="00BF18CF" w:rsidRDefault="00E51347">
            <w:r>
              <w:rPr>
                <w:rFonts w:ascii="Consolas" w:eastAsia="Consolas" w:hAnsi="Consolas" w:cs="Consolas"/>
                <w:sz w:val="22"/>
                <w:szCs w:val="22"/>
                <w:shd w:val="clear" w:color="auto" w:fill="EAEEF3"/>
              </w:rPr>
              <w:t>E41_Appellation</w:t>
            </w:r>
          </w:p>
        </w:tc>
      </w:tr>
      <w:tr w:rsidR="00BF18CF" w14:paraId="5F73D7E4" w14:textId="77777777" w:rsidTr="00BF18CF">
        <w:tc>
          <w:tcPr>
            <w:tcW w:w="1884" w:type="dxa"/>
          </w:tcPr>
          <w:p w14:paraId="222E9AA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6" w:type="dxa"/>
          </w:tcPr>
          <w:p w14:paraId="70F0C2F3" w14:textId="77777777" w:rsidR="00BF18CF" w:rsidRDefault="00BF18CF">
            <w:pPr>
              <w:pBdr>
                <w:top w:val="nil"/>
                <w:left w:val="nil"/>
                <w:bottom w:val="nil"/>
                <w:right w:val="nil"/>
                <w:between w:val="nil"/>
              </w:pBdr>
              <w:spacing w:before="36" w:after="36"/>
              <w:rPr>
                <w:color w:val="000000"/>
              </w:rPr>
            </w:pPr>
          </w:p>
        </w:tc>
      </w:tr>
      <w:tr w:rsidR="00BF18CF" w14:paraId="178391FB" w14:textId="77777777" w:rsidTr="00BF18CF">
        <w:tc>
          <w:tcPr>
            <w:tcW w:w="1884" w:type="dxa"/>
          </w:tcPr>
          <w:p w14:paraId="7A2E2A2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6" w:type="dxa"/>
          </w:tcPr>
          <w:p w14:paraId="581422B0" w14:textId="77777777" w:rsidR="00BF18CF" w:rsidRDefault="00BF18CF">
            <w:pPr>
              <w:pBdr>
                <w:top w:val="nil"/>
                <w:left w:val="nil"/>
                <w:bottom w:val="nil"/>
                <w:right w:val="nil"/>
                <w:between w:val="nil"/>
              </w:pBdr>
              <w:spacing w:before="36" w:after="36"/>
              <w:rPr>
                <w:color w:val="000000"/>
              </w:rPr>
            </w:pPr>
          </w:p>
        </w:tc>
      </w:tr>
      <w:tr w:rsidR="00BF18CF" w14:paraId="6910119E" w14:textId="77777777" w:rsidTr="00BF18CF">
        <w:tc>
          <w:tcPr>
            <w:tcW w:w="1884" w:type="dxa"/>
          </w:tcPr>
          <w:p w14:paraId="2D840E1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6" w:type="dxa"/>
          </w:tcPr>
          <w:p w14:paraId="3E1C91BF" w14:textId="77777777" w:rsidR="00BF18CF" w:rsidRDefault="00E51347">
            <w:proofErr w:type="gramStart"/>
            <w:r>
              <w:t>plusieurs</w:t>
            </w:r>
            <w:proofErr w:type="gramEnd"/>
            <w:r>
              <w:t xml:space="preserve"> à plusieurs (0,n:0,n)</w:t>
            </w:r>
          </w:p>
        </w:tc>
      </w:tr>
      <w:tr w:rsidR="00BF18CF" w14:paraId="5893E353" w14:textId="77777777" w:rsidTr="00BF18CF">
        <w:tc>
          <w:tcPr>
            <w:tcW w:w="1884" w:type="dxa"/>
          </w:tcPr>
          <w:p w14:paraId="2880D44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6" w:type="dxa"/>
          </w:tcPr>
          <w:p w14:paraId="715DA27A" w14:textId="77777777" w:rsidR="00BF18CF" w:rsidRDefault="00E51347">
            <w:r>
              <w:t xml:space="preserve">Cette propriété associe une instance de </w:t>
            </w:r>
            <w:r>
              <w:rPr>
                <w:rFonts w:ascii="Consolas" w:eastAsia="Consolas" w:hAnsi="Consolas" w:cs="Consolas"/>
                <w:sz w:val="22"/>
                <w:szCs w:val="22"/>
                <w:shd w:val="clear" w:color="auto" w:fill="EAEEF3"/>
              </w:rPr>
              <w:t>E41_Appellation</w:t>
            </w:r>
            <w:r>
              <w:t xml:space="preserve"> avec une autre instance de </w:t>
            </w:r>
            <w:r>
              <w:rPr>
                <w:rFonts w:ascii="Consolas" w:eastAsia="Consolas" w:hAnsi="Consolas" w:cs="Consolas"/>
                <w:sz w:val="22"/>
                <w:szCs w:val="22"/>
                <w:shd w:val="clear" w:color="auto" w:fill="EAEEF3"/>
              </w:rPr>
              <w:t>E41_Appellation</w:t>
            </w:r>
            <w:r>
              <w:t xml:space="preserve"> qui est une dérivée ou une variante de la première. Cette seconde instance peut être utilisée, lorsque le contexte est approprié, pour identifier des éléments identifiés par la première pourvu que cette dernière soit indépendante de l'élément particulier qui est sujet de l'identification. Cette propriété ne doit pas être confondue avec des variantes additionnelles de noms habituellement utilisées pour référer à un élément particulier et unique comme des surnoms individuels. La relation décrite ici est dynamique et asymétrique de telle manière que la portée témoigne de l’élément dérivé si une telle direction peut être établie. Autrement, la relation est symétrique. Dans tous les cas, la relation n'est pas transitive.</w:t>
            </w:r>
          </w:p>
          <w:p w14:paraId="302F22F9" w14:textId="77777777" w:rsidR="00BF18CF" w:rsidRDefault="00E51347">
            <w:r>
              <w:t xml:space="preserve">Plusieurs noms assignés à un objet et qui ne s'appliquent pas à toutes les choses identifiées par une instance spécifique de </w:t>
            </w:r>
            <w:r>
              <w:rPr>
                <w:rFonts w:ascii="Consolas" w:eastAsia="Consolas" w:hAnsi="Consolas" w:cs="Consolas"/>
                <w:sz w:val="22"/>
                <w:szCs w:val="22"/>
                <w:shd w:val="clear" w:color="auto" w:fill="EAEEF3"/>
              </w:rPr>
              <w:t>E41_Appellation</w:t>
            </w:r>
            <w:r>
              <w:t xml:space="preserve"> doivent être modélisés par des valeurs répétées de </w:t>
            </w:r>
            <w:r>
              <w:rPr>
                <w:rFonts w:ascii="Consolas" w:eastAsia="Consolas" w:hAnsi="Consolas" w:cs="Consolas"/>
                <w:sz w:val="22"/>
                <w:szCs w:val="22"/>
                <w:shd w:val="clear" w:color="auto" w:fill="EAEEF3"/>
              </w:rPr>
              <w:t>P1_est_identifié_par (identifie)</w:t>
            </w:r>
            <w:r>
              <w:t xml:space="preserve"> de cet objet.</w:t>
            </w:r>
          </w:p>
          <w:p w14:paraId="1B5D7FA7" w14:textId="77777777" w:rsidR="00BF18CF" w:rsidRDefault="00E51347">
            <w:r>
              <w:t xml:space="preserve">L'utilisation de </w:t>
            </w:r>
            <w:r>
              <w:rPr>
                <w:rFonts w:ascii="Consolas" w:eastAsia="Consolas" w:hAnsi="Consolas" w:cs="Consolas"/>
                <w:sz w:val="22"/>
                <w:szCs w:val="22"/>
                <w:shd w:val="clear" w:color="auto" w:fill="EAEEF3"/>
              </w:rPr>
              <w:t>P139.1_a_pour_type</w:t>
            </w:r>
            <w:r>
              <w:t xml:space="preserve"> permet de clarifier le type de la dérivation, par exemple « la translittération du Latin-1 vers ASCII ».</w:t>
            </w:r>
          </w:p>
          <w:p w14:paraId="6CF6F14C" w14:textId="77777777" w:rsidR="00BF18CF" w:rsidRDefault="00E51347">
            <w:r>
              <w:t>Cette propriété est symétrique et non réflexive.</w:t>
            </w:r>
          </w:p>
        </w:tc>
      </w:tr>
      <w:tr w:rsidR="00BF18CF" w14:paraId="1F4471C7" w14:textId="77777777" w:rsidTr="00BF18CF">
        <w:tc>
          <w:tcPr>
            <w:tcW w:w="1884" w:type="dxa"/>
          </w:tcPr>
          <w:p w14:paraId="3C84C497"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6" w:type="dxa"/>
          </w:tcPr>
          <w:p w14:paraId="4C769BBD" w14:textId="77777777" w:rsidR="00BF18CF" w:rsidRDefault="00E51347">
            <w:pPr>
              <w:numPr>
                <w:ilvl w:val="0"/>
                <w:numId w:val="19"/>
              </w:numPr>
            </w:pPr>
            <w:r>
              <w:t>« Martin Doerr » (</w:t>
            </w:r>
            <w:r>
              <w:rPr>
                <w:rFonts w:ascii="Consolas" w:eastAsia="Consolas" w:hAnsi="Consolas" w:cs="Consolas"/>
                <w:sz w:val="22"/>
                <w:szCs w:val="22"/>
                <w:shd w:val="clear" w:color="auto" w:fill="EAEEF3"/>
              </w:rPr>
              <w:t>E41_Appellation</w:t>
            </w:r>
            <w:r>
              <w:t>) a pour forme alternative (</w:t>
            </w:r>
            <w:r>
              <w:rPr>
                <w:rFonts w:ascii="Consolas" w:eastAsia="Consolas" w:hAnsi="Consolas" w:cs="Consolas"/>
                <w:sz w:val="22"/>
                <w:szCs w:val="22"/>
                <w:shd w:val="clear" w:color="auto" w:fill="EAEEF3"/>
              </w:rPr>
              <w:t>P139_a_pour_forme_alternative</w:t>
            </w:r>
            <w:r>
              <w:t>) « Martin Dörr » (</w:t>
            </w:r>
            <w:r>
              <w:rPr>
                <w:rFonts w:ascii="Consolas" w:eastAsia="Consolas" w:hAnsi="Consolas" w:cs="Consolas"/>
                <w:sz w:val="22"/>
                <w:szCs w:val="22"/>
                <w:shd w:val="clear" w:color="auto" w:fill="EAEEF3"/>
              </w:rPr>
              <w:t>E41_Appellation</w:t>
            </w:r>
            <w:r>
              <w:t>) dont le type est (</w:t>
            </w:r>
            <w:r>
              <w:rPr>
                <w:rFonts w:ascii="Consolas" w:eastAsia="Consolas" w:hAnsi="Consolas" w:cs="Consolas"/>
                <w:sz w:val="22"/>
                <w:szCs w:val="22"/>
                <w:shd w:val="clear" w:color="auto" w:fill="EAEEF3"/>
              </w:rPr>
              <w:t>P139.1_a_pour_type</w:t>
            </w:r>
            <w:r>
              <w:t>) « graphie alternative » (</w:t>
            </w:r>
            <w:r>
              <w:rPr>
                <w:rFonts w:ascii="Consolas" w:eastAsia="Consolas" w:hAnsi="Consolas" w:cs="Consolas"/>
                <w:sz w:val="22"/>
                <w:szCs w:val="22"/>
                <w:shd w:val="clear" w:color="auto" w:fill="EAEEF3"/>
              </w:rPr>
              <w:t>E55_Type</w:t>
            </w:r>
            <w:r>
              <w:t>)</w:t>
            </w:r>
          </w:p>
          <w:p w14:paraId="7D41750D" w14:textId="77777777" w:rsidR="00BF18CF" w:rsidRDefault="00E51347">
            <w:pPr>
              <w:numPr>
                <w:ilvl w:val="0"/>
                <w:numId w:val="19"/>
              </w:numPr>
            </w:pPr>
            <w:r>
              <w:t>« Гончарова, Наталья Сергеевна » (</w:t>
            </w:r>
            <w:r>
              <w:rPr>
                <w:rFonts w:ascii="Consolas" w:eastAsia="Consolas" w:hAnsi="Consolas" w:cs="Consolas"/>
                <w:sz w:val="22"/>
                <w:szCs w:val="22"/>
                <w:shd w:val="clear" w:color="auto" w:fill="EAEEF3"/>
              </w:rPr>
              <w:t>E41_Appellation</w:t>
            </w:r>
            <w:r>
              <w:t>) a pour forme alternative (</w:t>
            </w:r>
            <w:r>
              <w:rPr>
                <w:rFonts w:ascii="Consolas" w:eastAsia="Consolas" w:hAnsi="Consolas" w:cs="Consolas"/>
                <w:sz w:val="22"/>
                <w:szCs w:val="22"/>
                <w:shd w:val="clear" w:color="auto" w:fill="EAEEF3"/>
              </w:rPr>
              <w:t>P139_a_pour_forme_alternative</w:t>
            </w:r>
            <w:r>
              <w:t>) « Gončarova, Natal´â Sergeevna » (</w:t>
            </w:r>
            <w:r>
              <w:rPr>
                <w:rFonts w:ascii="Consolas" w:eastAsia="Consolas" w:hAnsi="Consolas" w:cs="Consolas"/>
                <w:sz w:val="22"/>
                <w:szCs w:val="22"/>
                <w:shd w:val="clear" w:color="auto" w:fill="EAEEF3"/>
              </w:rPr>
              <w:t>E41_Appellation</w:t>
            </w:r>
            <w:r>
              <w:t>) dont le type est (</w:t>
            </w:r>
            <w:r>
              <w:rPr>
                <w:rFonts w:ascii="Consolas" w:eastAsia="Consolas" w:hAnsi="Consolas" w:cs="Consolas"/>
                <w:sz w:val="22"/>
                <w:szCs w:val="22"/>
                <w:shd w:val="clear" w:color="auto" w:fill="EAEEF3"/>
              </w:rPr>
              <w:t>P139.1_a_pour_type</w:t>
            </w:r>
            <w:r>
              <w:t>) « translitération de ISO 9:1995 » (</w:t>
            </w:r>
            <w:r>
              <w:rPr>
                <w:rFonts w:ascii="Consolas" w:eastAsia="Consolas" w:hAnsi="Consolas" w:cs="Consolas"/>
                <w:sz w:val="22"/>
                <w:szCs w:val="22"/>
                <w:shd w:val="clear" w:color="auto" w:fill="EAEEF3"/>
              </w:rPr>
              <w:t>E55_Type</w:t>
            </w:r>
            <w:r>
              <w:t>)</w:t>
            </w:r>
          </w:p>
          <w:p w14:paraId="53347A4B" w14:textId="77777777" w:rsidR="00BF18CF" w:rsidRDefault="00E51347">
            <w:pPr>
              <w:numPr>
                <w:ilvl w:val="0"/>
                <w:numId w:val="19"/>
              </w:numPr>
            </w:pPr>
            <w:r>
              <w:t>« Αθήνα » (</w:t>
            </w:r>
            <w:r>
              <w:rPr>
                <w:rFonts w:ascii="Consolas" w:eastAsia="Consolas" w:hAnsi="Consolas" w:cs="Consolas"/>
                <w:sz w:val="22"/>
                <w:szCs w:val="22"/>
                <w:shd w:val="clear" w:color="auto" w:fill="EAEEF3"/>
              </w:rPr>
              <w:t>E41_Appellation</w:t>
            </w:r>
            <w:r>
              <w:t>) a pour forme alternative (</w:t>
            </w:r>
            <w:r>
              <w:rPr>
                <w:rFonts w:ascii="Consolas" w:eastAsia="Consolas" w:hAnsi="Consolas" w:cs="Consolas"/>
                <w:sz w:val="22"/>
                <w:szCs w:val="22"/>
                <w:shd w:val="clear" w:color="auto" w:fill="EAEEF3"/>
              </w:rPr>
              <w:t>P139_a_pour_forme_alternative</w:t>
            </w:r>
            <w:r>
              <w:t>) « Athina » (</w:t>
            </w:r>
            <w:r>
              <w:rPr>
                <w:rFonts w:ascii="Consolas" w:eastAsia="Consolas" w:hAnsi="Consolas" w:cs="Consolas"/>
                <w:sz w:val="22"/>
                <w:szCs w:val="22"/>
                <w:shd w:val="clear" w:color="auto" w:fill="EAEEF3"/>
              </w:rPr>
              <w:t>E41_Appellation</w:t>
            </w:r>
            <w:r>
              <w:t>) dont le type est (</w:t>
            </w:r>
            <w:r>
              <w:rPr>
                <w:rFonts w:ascii="Consolas" w:eastAsia="Consolas" w:hAnsi="Consolas" w:cs="Consolas"/>
                <w:sz w:val="22"/>
                <w:szCs w:val="22"/>
                <w:shd w:val="clear" w:color="auto" w:fill="EAEEF3"/>
              </w:rPr>
              <w:t>P139.1_a_pour_type</w:t>
            </w:r>
            <w:r>
              <w:t>) « transcription » (</w:t>
            </w:r>
            <w:r>
              <w:rPr>
                <w:rFonts w:ascii="Consolas" w:eastAsia="Consolas" w:hAnsi="Consolas" w:cs="Consolas"/>
                <w:sz w:val="22"/>
                <w:szCs w:val="22"/>
                <w:shd w:val="clear" w:color="auto" w:fill="EAEEF3"/>
              </w:rPr>
              <w:t>E55_Type</w:t>
            </w:r>
            <w:r>
              <w:t>)</w:t>
            </w:r>
          </w:p>
        </w:tc>
      </w:tr>
      <w:tr w:rsidR="00BF18CF" w14:paraId="1B1AB109" w14:textId="77777777" w:rsidTr="00BF18CF">
        <w:tc>
          <w:tcPr>
            <w:tcW w:w="1884" w:type="dxa"/>
          </w:tcPr>
          <w:p w14:paraId="1FCDB3A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6" w:type="dxa"/>
          </w:tcPr>
          <w:p w14:paraId="31724877" w14:textId="77777777" w:rsidR="00BF18CF" w:rsidRDefault="00E51347">
            <w:r>
              <w:t>P139(</w:t>
            </w:r>
            <w:proofErr w:type="gramStart"/>
            <w:r>
              <w:t>x,y</w:t>
            </w:r>
            <w:proofErr w:type="gramEnd"/>
            <w:r>
              <w:t>) ⇒ E41(x)</w:t>
            </w:r>
          </w:p>
          <w:p w14:paraId="0852D08E" w14:textId="77777777" w:rsidR="00BF18CF" w:rsidRDefault="00E51347">
            <w:r>
              <w:t>P139(</w:t>
            </w:r>
            <w:proofErr w:type="gramStart"/>
            <w:r>
              <w:t>x,y</w:t>
            </w:r>
            <w:proofErr w:type="gramEnd"/>
            <w:r>
              <w:t>) ⇒ E41(y)</w:t>
            </w:r>
          </w:p>
          <w:p w14:paraId="6C178A76" w14:textId="77777777" w:rsidR="00BF18CF" w:rsidRDefault="00E51347">
            <w:r>
              <w:t>P139(</w:t>
            </w:r>
            <w:proofErr w:type="gramStart"/>
            <w:r>
              <w:t>x,y</w:t>
            </w:r>
            <w:proofErr w:type="gramEnd"/>
            <w:r>
              <w:t>,z) ⇒ [P139(x,y) ∧ E55(z)]</w:t>
            </w:r>
          </w:p>
          <w:p w14:paraId="5E27B784" w14:textId="77777777" w:rsidR="00BF18CF" w:rsidRDefault="00E51347">
            <w:r>
              <w:t>P139(</w:t>
            </w:r>
            <w:proofErr w:type="gramStart"/>
            <w:r>
              <w:t>x,y</w:t>
            </w:r>
            <w:proofErr w:type="gramEnd"/>
            <w:r>
              <w:t>) ⇒ P139(y,x)</w:t>
            </w:r>
          </w:p>
          <w:p w14:paraId="34B83D76" w14:textId="77777777" w:rsidR="00BF18CF" w:rsidRDefault="00E51347">
            <w:r>
              <w:lastRenderedPageBreak/>
              <w:t>¬P139(</w:t>
            </w:r>
            <w:proofErr w:type="gramStart"/>
            <w:r>
              <w:t>x,x</w:t>
            </w:r>
            <w:proofErr w:type="gramEnd"/>
            <w:r>
              <w:t>)</w:t>
            </w:r>
          </w:p>
        </w:tc>
      </w:tr>
      <w:tr w:rsidR="00BF18CF" w14:paraId="0F084A50" w14:textId="77777777" w:rsidTr="00BF18CF">
        <w:tc>
          <w:tcPr>
            <w:tcW w:w="1884" w:type="dxa"/>
          </w:tcPr>
          <w:p w14:paraId="6A065F96"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806" w:type="dxa"/>
          </w:tcPr>
          <w:p w14:paraId="118DFBF9" w14:textId="77777777" w:rsidR="00BF18CF" w:rsidRDefault="00E51347">
            <w:r>
              <w:rPr>
                <w:rFonts w:ascii="Consolas" w:eastAsia="Consolas" w:hAnsi="Consolas" w:cs="Consolas"/>
                <w:sz w:val="22"/>
                <w:szCs w:val="22"/>
                <w:shd w:val="clear" w:color="auto" w:fill="EAEEF3"/>
              </w:rPr>
              <w:t>P139.1_a_pour_type</w:t>
            </w:r>
            <w:r>
              <w:t xml:space="preserve"> : </w:t>
            </w:r>
            <w:r>
              <w:rPr>
                <w:rFonts w:ascii="Consolas" w:eastAsia="Consolas" w:hAnsi="Consolas" w:cs="Consolas"/>
                <w:sz w:val="22"/>
                <w:szCs w:val="22"/>
                <w:shd w:val="clear" w:color="auto" w:fill="EAEEF3"/>
              </w:rPr>
              <w:t>E55_Type</w:t>
            </w:r>
          </w:p>
        </w:tc>
      </w:tr>
      <w:tr w:rsidR="00BF18CF" w14:paraId="3D1FB188" w14:textId="77777777" w:rsidTr="00BF18CF">
        <w:tc>
          <w:tcPr>
            <w:tcW w:w="1884" w:type="dxa"/>
          </w:tcPr>
          <w:p w14:paraId="4C17A425" w14:textId="0402D78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6" w:type="dxa"/>
          </w:tcPr>
          <w:p w14:paraId="42010B6A" w14:textId="77777777" w:rsidR="00BF18CF" w:rsidRDefault="00BF18CF">
            <w:pPr>
              <w:pBdr>
                <w:top w:val="nil"/>
                <w:left w:val="nil"/>
                <w:bottom w:val="nil"/>
                <w:right w:val="nil"/>
                <w:between w:val="nil"/>
              </w:pBdr>
              <w:spacing w:before="36" w:after="36"/>
              <w:rPr>
                <w:color w:val="000000"/>
              </w:rPr>
            </w:pPr>
          </w:p>
        </w:tc>
      </w:tr>
      <w:tr w:rsidR="00BF18CF" w14:paraId="387761C7" w14:textId="77777777" w:rsidTr="00BF18CF">
        <w:tc>
          <w:tcPr>
            <w:tcW w:w="1884" w:type="dxa"/>
          </w:tcPr>
          <w:p w14:paraId="03EA87F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6" w:type="dxa"/>
          </w:tcPr>
          <w:p w14:paraId="576E2B13" w14:textId="77777777" w:rsidR="00BF18CF" w:rsidRDefault="00BF18CF">
            <w:pPr>
              <w:pBdr>
                <w:top w:val="nil"/>
                <w:left w:val="nil"/>
                <w:bottom w:val="nil"/>
                <w:right w:val="nil"/>
                <w:between w:val="nil"/>
              </w:pBdr>
              <w:spacing w:before="36" w:after="36"/>
              <w:rPr>
                <w:color w:val="000000"/>
              </w:rPr>
            </w:pPr>
          </w:p>
        </w:tc>
      </w:tr>
    </w:tbl>
    <w:p w14:paraId="56EEDC05" w14:textId="77777777" w:rsidR="00BF18CF" w:rsidRDefault="00E51347">
      <w:pPr>
        <w:pStyle w:val="Heading3"/>
      </w:pPr>
      <w:bookmarkStart w:id="493" w:name="bookmark=id.4a7cimu" w:colFirst="0" w:colLast="0"/>
      <w:bookmarkStart w:id="494" w:name="_Toc144360990"/>
      <w:bookmarkEnd w:id="493"/>
      <w:r>
        <w:t>P140 a assigné l’attribut à (a reçu l’attribut par)</w:t>
      </w:r>
      <w:bookmarkEnd w:id="494"/>
    </w:p>
    <w:tbl>
      <w:tblPr>
        <w:tblStyle w:val="affffffff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2"/>
        <w:gridCol w:w="8808"/>
      </w:tblGrid>
      <w:tr w:rsidR="00BF18CF" w14:paraId="2CD585C8" w14:textId="77777777" w:rsidTr="00BF18CF">
        <w:tc>
          <w:tcPr>
            <w:tcW w:w="1882" w:type="dxa"/>
          </w:tcPr>
          <w:p w14:paraId="247B85A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8" w:type="dxa"/>
          </w:tcPr>
          <w:p w14:paraId="31C34FB4" w14:textId="77777777" w:rsidR="00BF18CF" w:rsidRDefault="00E51347">
            <w:r>
              <w:rPr>
                <w:rFonts w:ascii="Consolas" w:eastAsia="Consolas" w:hAnsi="Consolas" w:cs="Consolas"/>
                <w:sz w:val="22"/>
                <w:szCs w:val="22"/>
                <w:shd w:val="clear" w:color="auto" w:fill="EAEEF3"/>
              </w:rPr>
              <w:t>E13_Assignation_d’attribut</w:t>
            </w:r>
          </w:p>
        </w:tc>
      </w:tr>
      <w:tr w:rsidR="00BF18CF" w14:paraId="5A0E1189" w14:textId="77777777" w:rsidTr="00BF18CF">
        <w:tc>
          <w:tcPr>
            <w:tcW w:w="1882" w:type="dxa"/>
          </w:tcPr>
          <w:p w14:paraId="167A17E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8" w:type="dxa"/>
          </w:tcPr>
          <w:p w14:paraId="64F304DA" w14:textId="77777777" w:rsidR="00BF18CF" w:rsidRDefault="00E51347">
            <w:r>
              <w:rPr>
                <w:rFonts w:ascii="Consolas" w:eastAsia="Consolas" w:hAnsi="Consolas" w:cs="Consolas"/>
                <w:sz w:val="22"/>
                <w:szCs w:val="22"/>
                <w:shd w:val="clear" w:color="auto" w:fill="EAEEF3"/>
              </w:rPr>
              <w:t>E1_Entité_CRM</w:t>
            </w:r>
          </w:p>
        </w:tc>
      </w:tr>
      <w:tr w:rsidR="00BF18CF" w14:paraId="67E79314" w14:textId="77777777" w:rsidTr="00BF18CF">
        <w:tc>
          <w:tcPr>
            <w:tcW w:w="1882" w:type="dxa"/>
          </w:tcPr>
          <w:p w14:paraId="68C395A6"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8" w:type="dxa"/>
          </w:tcPr>
          <w:p w14:paraId="3250FC30" w14:textId="77777777" w:rsidR="00BF18CF" w:rsidRDefault="00BF18CF">
            <w:pPr>
              <w:pBdr>
                <w:top w:val="nil"/>
                <w:left w:val="nil"/>
                <w:bottom w:val="nil"/>
                <w:right w:val="nil"/>
                <w:between w:val="nil"/>
              </w:pBdr>
              <w:spacing w:before="36" w:after="36"/>
              <w:rPr>
                <w:color w:val="000000"/>
              </w:rPr>
            </w:pPr>
          </w:p>
        </w:tc>
      </w:tr>
      <w:tr w:rsidR="00BF18CF" w14:paraId="24BE82FA" w14:textId="77777777" w:rsidTr="00BF18CF">
        <w:tc>
          <w:tcPr>
            <w:tcW w:w="1882" w:type="dxa"/>
          </w:tcPr>
          <w:p w14:paraId="3A0257B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8" w:type="dxa"/>
          </w:tcPr>
          <w:p w14:paraId="06EB94BF" w14:textId="77777777" w:rsidR="00BF18CF" w:rsidRDefault="00E51347">
            <w:r>
              <w:rPr>
                <w:rFonts w:ascii="Consolas" w:eastAsia="Consolas" w:hAnsi="Consolas" w:cs="Consolas"/>
                <w:sz w:val="22"/>
                <w:szCs w:val="22"/>
                <w:shd w:val="clear" w:color="auto" w:fill="EAEEF3"/>
              </w:rPr>
              <w:t>E14_Évaluation_d’état_matériel</w:t>
            </w:r>
            <w:r>
              <w:t xml:space="preserve">. </w:t>
            </w:r>
            <w:r>
              <w:rPr>
                <w:rFonts w:ascii="Consolas" w:eastAsia="Consolas" w:hAnsi="Consolas" w:cs="Consolas"/>
                <w:sz w:val="22"/>
                <w:szCs w:val="22"/>
                <w:shd w:val="clear" w:color="auto" w:fill="EAEEF3"/>
              </w:rPr>
              <w:t>P34_a_porté_sur (a_été_évalué_par)</w:t>
            </w:r>
            <w:r>
              <w:t xml:space="preserve"> : </w:t>
            </w:r>
            <w:r>
              <w:rPr>
                <w:rFonts w:ascii="Consolas" w:eastAsia="Consolas" w:hAnsi="Consolas" w:cs="Consolas"/>
                <w:sz w:val="22"/>
                <w:szCs w:val="22"/>
                <w:shd w:val="clear" w:color="auto" w:fill="EAEEF3"/>
              </w:rPr>
              <w:t>E18_Chose_matérielle</w:t>
            </w:r>
          </w:p>
          <w:p w14:paraId="16B61CA3" w14:textId="77777777" w:rsidR="00BF18CF" w:rsidRDefault="00E51347">
            <w:r>
              <w:rPr>
                <w:rFonts w:ascii="Consolas" w:eastAsia="Consolas" w:hAnsi="Consolas" w:cs="Consolas"/>
                <w:sz w:val="22"/>
                <w:szCs w:val="22"/>
                <w:shd w:val="clear" w:color="auto" w:fill="EAEEF3"/>
              </w:rPr>
              <w:t>E16_Mesurage</w:t>
            </w:r>
            <w:r>
              <w:t xml:space="preserve">. </w:t>
            </w:r>
            <w:r>
              <w:rPr>
                <w:rFonts w:ascii="Consolas" w:eastAsia="Consolas" w:hAnsi="Consolas" w:cs="Consolas"/>
                <w:sz w:val="22"/>
                <w:szCs w:val="22"/>
                <w:shd w:val="clear" w:color="auto" w:fill="EAEEF3"/>
              </w:rPr>
              <w:t>P39_a_mesuré (a_été_mesuré_par)</w:t>
            </w:r>
            <w:r>
              <w:t xml:space="preserve"> : </w:t>
            </w:r>
            <w:r>
              <w:rPr>
                <w:rFonts w:ascii="Consolas" w:eastAsia="Consolas" w:hAnsi="Consolas" w:cs="Consolas"/>
                <w:sz w:val="22"/>
                <w:szCs w:val="22"/>
                <w:shd w:val="clear" w:color="auto" w:fill="EAEEF3"/>
              </w:rPr>
              <w:t>E1_Entité_CRM</w:t>
            </w:r>
          </w:p>
          <w:p w14:paraId="637543FF" w14:textId="77777777" w:rsidR="00BF18CF" w:rsidRDefault="00E51347">
            <w:r>
              <w:rPr>
                <w:rFonts w:ascii="Consolas" w:eastAsia="Consolas" w:hAnsi="Consolas" w:cs="Consolas"/>
                <w:sz w:val="22"/>
                <w:szCs w:val="22"/>
                <w:shd w:val="clear" w:color="auto" w:fill="EAEEF3"/>
              </w:rPr>
              <w:t>E17_Assignation_de_type</w:t>
            </w:r>
            <w:r>
              <w:t xml:space="preserve">. </w:t>
            </w:r>
            <w:r>
              <w:rPr>
                <w:rFonts w:ascii="Consolas" w:eastAsia="Consolas" w:hAnsi="Consolas" w:cs="Consolas"/>
                <w:sz w:val="22"/>
                <w:szCs w:val="22"/>
                <w:shd w:val="clear" w:color="auto" w:fill="EAEEF3"/>
              </w:rPr>
              <w:t>P41_a_classifé (a_été_classifié_par)</w:t>
            </w:r>
            <w:r>
              <w:t xml:space="preserve"> : </w:t>
            </w:r>
            <w:r>
              <w:rPr>
                <w:rFonts w:ascii="Consolas" w:eastAsia="Consolas" w:hAnsi="Consolas" w:cs="Consolas"/>
                <w:sz w:val="22"/>
                <w:szCs w:val="22"/>
                <w:shd w:val="clear" w:color="auto" w:fill="EAEEF3"/>
              </w:rPr>
              <w:t>E1_Entité_CRM</w:t>
            </w:r>
          </w:p>
        </w:tc>
      </w:tr>
      <w:tr w:rsidR="00BF18CF" w14:paraId="0AB18B67" w14:textId="77777777" w:rsidTr="00BF18CF">
        <w:tc>
          <w:tcPr>
            <w:tcW w:w="1882" w:type="dxa"/>
          </w:tcPr>
          <w:p w14:paraId="3BB37588"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8" w:type="dxa"/>
          </w:tcPr>
          <w:p w14:paraId="6EB0AB89" w14:textId="77777777" w:rsidR="00BF18CF" w:rsidRDefault="00E51347">
            <w:proofErr w:type="gramStart"/>
            <w:r>
              <w:t>plusieurs</w:t>
            </w:r>
            <w:proofErr w:type="gramEnd"/>
            <w:r>
              <w:t xml:space="preserve"> à plusieurs (0,n:0,n)</w:t>
            </w:r>
          </w:p>
        </w:tc>
      </w:tr>
      <w:tr w:rsidR="00BF18CF" w14:paraId="05428766" w14:textId="77777777" w:rsidTr="00BF18CF">
        <w:tc>
          <w:tcPr>
            <w:tcW w:w="1882" w:type="dxa"/>
          </w:tcPr>
          <w:p w14:paraId="583D9FC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8" w:type="dxa"/>
          </w:tcPr>
          <w:p w14:paraId="4F28237C" w14:textId="77777777" w:rsidR="00BF18CF" w:rsidRDefault="00E51347">
            <w:r>
              <w:t xml:space="preserve">Cette propriété associe une instance de </w:t>
            </w:r>
            <w:r>
              <w:rPr>
                <w:rFonts w:ascii="Consolas" w:eastAsia="Consolas" w:hAnsi="Consolas" w:cs="Consolas"/>
                <w:sz w:val="22"/>
                <w:szCs w:val="22"/>
                <w:shd w:val="clear" w:color="auto" w:fill="EAEEF3"/>
              </w:rPr>
              <w:t>E13_Assignation_d’attribut</w:t>
            </w:r>
            <w:r>
              <w:t xml:space="preserve"> à une instance de </w:t>
            </w:r>
            <w:r>
              <w:rPr>
                <w:rFonts w:ascii="Consolas" w:eastAsia="Consolas" w:hAnsi="Consolas" w:cs="Consolas"/>
                <w:sz w:val="22"/>
                <w:szCs w:val="22"/>
                <w:shd w:val="clear" w:color="auto" w:fill="EAEEF3"/>
              </w:rPr>
              <w:t>E1_Entité_CRM</w:t>
            </w:r>
            <w:r>
              <w:t xml:space="preserve"> à propos de laquelle elle effectue une attribution. L’instance de </w:t>
            </w:r>
            <w:r>
              <w:rPr>
                <w:rFonts w:ascii="Consolas" w:eastAsia="Consolas" w:hAnsi="Consolas" w:cs="Consolas"/>
                <w:sz w:val="22"/>
                <w:szCs w:val="22"/>
                <w:shd w:val="clear" w:color="auto" w:fill="EAEEF3"/>
              </w:rPr>
              <w:t>E1_Entité_CRM</w:t>
            </w:r>
            <w:r>
              <w:t xml:space="preserve"> joue le rôle de domaine de l’attribution.</w:t>
            </w:r>
          </w:p>
          <w:p w14:paraId="51E625BC" w14:textId="77777777" w:rsidR="00BF18CF" w:rsidRDefault="00E51347">
            <w:r>
              <w:t xml:space="preserve">Le type d’attribution devrait être documenté en utilisant la propriété </w:t>
            </w:r>
            <w:r>
              <w:rPr>
                <w:rFonts w:ascii="Consolas" w:eastAsia="Consolas" w:hAnsi="Consolas" w:cs="Consolas"/>
                <w:sz w:val="22"/>
                <w:szCs w:val="22"/>
                <w:shd w:val="clear" w:color="auto" w:fill="EAEEF3"/>
              </w:rPr>
              <w:t>P177_a_assigné_le_type_de_propriété</w:t>
            </w:r>
            <w:r>
              <w:t>.</w:t>
            </w:r>
          </w:p>
        </w:tc>
      </w:tr>
      <w:tr w:rsidR="00BF18CF" w14:paraId="46DAAB1B" w14:textId="77777777" w:rsidTr="00BF18CF">
        <w:tc>
          <w:tcPr>
            <w:tcW w:w="1882" w:type="dxa"/>
          </w:tcPr>
          <w:p w14:paraId="64510F5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8" w:type="dxa"/>
          </w:tcPr>
          <w:p w14:paraId="14C5B0A2" w14:textId="77777777" w:rsidR="00BF18CF" w:rsidRDefault="00E51347">
            <w:pPr>
              <w:numPr>
                <w:ilvl w:val="0"/>
                <w:numId w:val="19"/>
              </w:numPr>
            </w:pPr>
            <w:r>
              <w:t>L'évaluation de la propriété actuelle de la coupe en argent de Martin Doerr (</w:t>
            </w:r>
            <w:r>
              <w:rPr>
                <w:rFonts w:ascii="Consolas" w:eastAsia="Consolas" w:hAnsi="Consolas" w:cs="Consolas"/>
                <w:sz w:val="22"/>
                <w:szCs w:val="22"/>
                <w:shd w:val="clear" w:color="auto" w:fill="EAEEF3"/>
              </w:rPr>
              <w:t>E13_Assignation_d’attribut</w:t>
            </w:r>
            <w:r>
              <w:t>) en février 1997 a assigné l’attribut à (</w:t>
            </w:r>
            <w:r>
              <w:rPr>
                <w:rFonts w:ascii="Consolas" w:eastAsia="Consolas" w:hAnsi="Consolas" w:cs="Consolas"/>
                <w:sz w:val="22"/>
                <w:szCs w:val="22"/>
                <w:shd w:val="clear" w:color="auto" w:fill="EAEEF3"/>
              </w:rPr>
              <w:t>P140_a_assigné_l'attribut_à</w:t>
            </w:r>
            <w:r>
              <w:t>) la coupe en argent de Martin Doerr (</w:t>
            </w:r>
            <w:r>
              <w:rPr>
                <w:rFonts w:ascii="Consolas" w:eastAsia="Consolas" w:hAnsi="Consolas" w:cs="Consolas"/>
                <w:sz w:val="22"/>
                <w:szCs w:val="22"/>
                <w:shd w:val="clear" w:color="auto" w:fill="EAEEF3"/>
              </w:rPr>
              <w:t>E19_Objet_matériel</w:t>
            </w:r>
            <w:r>
              <w:t>) (fictif)</w:t>
            </w:r>
          </w:p>
          <w:p w14:paraId="7F15E348" w14:textId="77777777" w:rsidR="00BF18CF" w:rsidRDefault="00E51347">
            <w:pPr>
              <w:numPr>
                <w:ilvl w:val="0"/>
                <w:numId w:val="19"/>
              </w:numPr>
            </w:pPr>
            <w:r>
              <w:t>L'attribution d'identifiant de la coupe en argent donnée par Martin Doerr (</w:t>
            </w:r>
            <w:r>
              <w:rPr>
                <w:rFonts w:ascii="Consolas" w:eastAsia="Consolas" w:hAnsi="Consolas" w:cs="Consolas"/>
                <w:sz w:val="22"/>
                <w:szCs w:val="22"/>
                <w:shd w:val="clear" w:color="auto" w:fill="EAEEF3"/>
              </w:rPr>
              <w:t>E15_Assignation_d’identifiant</w:t>
            </w:r>
            <w:r>
              <w:t>) le 1</w:t>
            </w:r>
            <w:r>
              <w:rPr>
                <w:vertAlign w:val="superscript"/>
              </w:rPr>
              <w:t>er</w:t>
            </w:r>
            <w:r>
              <w:t xml:space="preserve"> juin 1997 a assigné l’attribut à (</w:t>
            </w:r>
            <w:r>
              <w:rPr>
                <w:rFonts w:ascii="Consolas" w:eastAsia="Consolas" w:hAnsi="Consolas" w:cs="Consolas"/>
                <w:sz w:val="22"/>
                <w:szCs w:val="22"/>
                <w:shd w:val="clear" w:color="auto" w:fill="EAEEF3"/>
              </w:rPr>
              <w:t>P140_a_assigné_l'attribut_à</w:t>
            </w:r>
            <w:r>
              <w:t>) la coupe en argent 232 (</w:t>
            </w:r>
            <w:r>
              <w:rPr>
                <w:rFonts w:ascii="Consolas" w:eastAsia="Consolas" w:hAnsi="Consolas" w:cs="Consolas"/>
                <w:sz w:val="22"/>
                <w:szCs w:val="22"/>
                <w:shd w:val="clear" w:color="auto" w:fill="EAEEF3"/>
              </w:rPr>
              <w:t>E19_Objet_matériel</w:t>
            </w:r>
            <w:r>
              <w:t>) (fictif)</w:t>
            </w:r>
          </w:p>
          <w:p w14:paraId="05BD3659" w14:textId="77777777" w:rsidR="00BF18CF" w:rsidRDefault="00E51347">
            <w:pPr>
              <w:numPr>
                <w:ilvl w:val="0"/>
                <w:numId w:val="19"/>
              </w:numPr>
            </w:pPr>
            <w:r>
              <w:t xml:space="preserve">L’examen du manuscrit </w:t>
            </w:r>
            <w:proofErr w:type="gramStart"/>
            <w:r>
              <w:rPr>
                <w:i/>
              </w:rPr>
              <w:t>Mont</w:t>
            </w:r>
            <w:proofErr w:type="gramEnd"/>
            <w:r>
              <w:rPr>
                <w:i/>
              </w:rPr>
              <w:t xml:space="preserve"> Sinaï, MS gr. 418</w:t>
            </w:r>
            <w:r>
              <w:t xml:space="preserve"> (</w:t>
            </w:r>
            <w:r>
              <w:rPr>
                <w:rFonts w:ascii="Consolas" w:eastAsia="Consolas" w:hAnsi="Consolas" w:cs="Consolas"/>
                <w:sz w:val="22"/>
                <w:szCs w:val="22"/>
                <w:shd w:val="clear" w:color="auto" w:fill="EAEEF3"/>
              </w:rPr>
              <w:t>E13_Assignation_d’attribut</w:t>
            </w:r>
            <w:r>
              <w:t>) a assigné l’attribut à (</w:t>
            </w:r>
            <w:r>
              <w:rPr>
                <w:rFonts w:ascii="Consolas" w:eastAsia="Consolas" w:hAnsi="Consolas" w:cs="Consolas"/>
                <w:sz w:val="22"/>
                <w:szCs w:val="22"/>
                <w:shd w:val="clear" w:color="auto" w:fill="EAEEF3"/>
              </w:rPr>
              <w:t>P140_a_assigné_l'attribut_à</w:t>
            </w:r>
            <w:r>
              <w:t xml:space="preserve">) </w:t>
            </w:r>
            <w:r>
              <w:rPr>
                <w:i/>
              </w:rPr>
              <w:t>Mont Sinaï, MS gr. 418</w:t>
            </w:r>
            <w:r>
              <w:t xml:space="preserve"> (</w:t>
            </w:r>
            <w:r>
              <w:rPr>
                <w:rFonts w:ascii="Consolas" w:eastAsia="Consolas" w:hAnsi="Consolas" w:cs="Consolas"/>
                <w:sz w:val="22"/>
                <w:szCs w:val="22"/>
                <w:shd w:val="clear" w:color="auto" w:fill="EAEEF3"/>
              </w:rPr>
              <w:t>E22_Objet_élaboré_par_l’humain</w:t>
            </w:r>
            <w:r>
              <w:t>) (Honey et Pickwoad, 2010)</w:t>
            </w:r>
          </w:p>
        </w:tc>
      </w:tr>
      <w:tr w:rsidR="00BF18CF" w14:paraId="5F609BEE" w14:textId="77777777" w:rsidTr="00BF18CF">
        <w:tc>
          <w:tcPr>
            <w:tcW w:w="1882" w:type="dxa"/>
          </w:tcPr>
          <w:p w14:paraId="4DE2FC2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8" w:type="dxa"/>
          </w:tcPr>
          <w:p w14:paraId="17F15498" w14:textId="77777777" w:rsidR="00BF18CF" w:rsidRDefault="00E51347">
            <w:r>
              <w:t>P140(</w:t>
            </w:r>
            <w:proofErr w:type="gramStart"/>
            <w:r>
              <w:t>x,y</w:t>
            </w:r>
            <w:proofErr w:type="gramEnd"/>
            <w:r>
              <w:t>) ⇒ E13(x)</w:t>
            </w:r>
          </w:p>
          <w:p w14:paraId="20470391" w14:textId="77777777" w:rsidR="00BF18CF" w:rsidRDefault="00E51347">
            <w:r>
              <w:t>P140(</w:t>
            </w:r>
            <w:proofErr w:type="gramStart"/>
            <w:r>
              <w:t>x,y</w:t>
            </w:r>
            <w:proofErr w:type="gramEnd"/>
            <w:r>
              <w:t>) ⇒ E1(y)</w:t>
            </w:r>
          </w:p>
        </w:tc>
      </w:tr>
      <w:tr w:rsidR="00BF18CF" w14:paraId="18DA8B01" w14:textId="77777777" w:rsidTr="00BF18CF">
        <w:tc>
          <w:tcPr>
            <w:tcW w:w="1882" w:type="dxa"/>
          </w:tcPr>
          <w:p w14:paraId="184AD38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8" w:type="dxa"/>
          </w:tcPr>
          <w:p w14:paraId="09A1A243" w14:textId="77777777" w:rsidR="00BF18CF" w:rsidRDefault="00BF18CF">
            <w:pPr>
              <w:pBdr>
                <w:top w:val="nil"/>
                <w:left w:val="nil"/>
                <w:bottom w:val="nil"/>
                <w:right w:val="nil"/>
                <w:between w:val="nil"/>
              </w:pBdr>
              <w:spacing w:before="36" w:after="36"/>
              <w:rPr>
                <w:color w:val="000000"/>
              </w:rPr>
            </w:pPr>
          </w:p>
        </w:tc>
      </w:tr>
      <w:tr w:rsidR="00BF18CF" w14:paraId="5256E802" w14:textId="77777777" w:rsidTr="00BF18CF">
        <w:tc>
          <w:tcPr>
            <w:tcW w:w="1882" w:type="dxa"/>
          </w:tcPr>
          <w:p w14:paraId="131374B7" w14:textId="5F2D4EEA"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808" w:type="dxa"/>
          </w:tcPr>
          <w:p w14:paraId="6C7151AA" w14:textId="77777777" w:rsidR="00BF18CF" w:rsidRDefault="00E51347">
            <w:r>
              <w:t xml:space="preserve">La formulation « joue le rôle de domaine de l’attribution » peut porter à confusion. Dans l’ensemble de triplets </w:t>
            </w:r>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P140_a_assigné_l'attribut_à (a_reçu_l'attribut_par)</w:t>
            </w:r>
            <w:r>
              <w:t xml:space="preserve">, </w:t>
            </w:r>
            <w:r>
              <w:rPr>
                <w:rFonts w:ascii="Consolas" w:eastAsia="Consolas" w:hAnsi="Consolas" w:cs="Consolas"/>
                <w:sz w:val="22"/>
                <w:szCs w:val="22"/>
                <w:shd w:val="clear" w:color="auto" w:fill="EAEEF3"/>
              </w:rPr>
              <w:t>E1_Entité_CRM</w:t>
            </w:r>
            <w:r>
              <w:t xml:space="preserve"> et </w:t>
            </w:r>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P141_a_assigné (a_été_attribué_par)</w:t>
            </w:r>
            <w:r>
              <w:t xml:space="preserve">, </w:t>
            </w:r>
            <w:r>
              <w:rPr>
                <w:rFonts w:ascii="Consolas" w:eastAsia="Consolas" w:hAnsi="Consolas" w:cs="Consolas"/>
                <w:sz w:val="22"/>
                <w:szCs w:val="22"/>
                <w:shd w:val="clear" w:color="auto" w:fill="EAEEF3"/>
              </w:rPr>
              <w:t>E1_Entité_CRM</w:t>
            </w:r>
            <w:r>
              <w:t xml:space="preserve"> où une entité A (instance de </w:t>
            </w:r>
            <w:r>
              <w:rPr>
                <w:rFonts w:ascii="Consolas" w:eastAsia="Consolas" w:hAnsi="Consolas" w:cs="Consolas"/>
                <w:sz w:val="22"/>
                <w:szCs w:val="22"/>
                <w:shd w:val="clear" w:color="auto" w:fill="EAEEF3"/>
              </w:rPr>
              <w:t>E1_Entité_CRM</w:t>
            </w:r>
            <w:r>
              <w:t xml:space="preserve">) reçoit un attribut B (instance de </w:t>
            </w:r>
            <w:r>
              <w:rPr>
                <w:rFonts w:ascii="Consolas" w:eastAsia="Consolas" w:hAnsi="Consolas" w:cs="Consolas"/>
                <w:sz w:val="22"/>
                <w:szCs w:val="22"/>
                <w:shd w:val="clear" w:color="auto" w:fill="EAEEF3"/>
              </w:rPr>
              <w:t>E1_Entité_CRM</w:t>
            </w:r>
            <w:r>
              <w:t xml:space="preserve">), l’instance A de </w:t>
            </w:r>
            <w:r>
              <w:rPr>
                <w:rFonts w:ascii="Consolas" w:eastAsia="Consolas" w:hAnsi="Consolas" w:cs="Consolas"/>
                <w:sz w:val="22"/>
                <w:szCs w:val="22"/>
                <w:shd w:val="clear" w:color="auto" w:fill="EAEEF3"/>
              </w:rPr>
              <w:t>E1_Entité_CRM</w:t>
            </w:r>
            <w:r>
              <w:t xml:space="preserve"> peut être conceptuellement comprise comme le domaine de l’ensemble de triplets, et l’instance B de </w:t>
            </w:r>
            <w:r>
              <w:rPr>
                <w:rFonts w:ascii="Consolas" w:eastAsia="Consolas" w:hAnsi="Consolas" w:cs="Consolas"/>
                <w:sz w:val="22"/>
                <w:szCs w:val="22"/>
                <w:shd w:val="clear" w:color="auto" w:fill="EAEEF3"/>
              </w:rPr>
              <w:t>E1_Entité_CRM</w:t>
            </w:r>
            <w:r>
              <w:t xml:space="preserve"> comme la portée. Ce n’est alors pas une propriété qui relie un domaine à sa portée, mais ici l’ensemble composé de </w:t>
            </w:r>
            <w:r>
              <w:rPr>
                <w:rFonts w:ascii="Consolas" w:eastAsia="Consolas" w:hAnsi="Consolas" w:cs="Consolas"/>
                <w:sz w:val="22"/>
                <w:szCs w:val="22"/>
                <w:shd w:val="clear" w:color="auto" w:fill="EAEEF3"/>
              </w:rPr>
              <w:t>P140_a_assigné_l'attribut_à (a_reçu_l'attribut_par)</w:t>
            </w:r>
            <w:r>
              <w:t xml:space="preserve">, </w:t>
            </w:r>
            <w:r>
              <w:rPr>
                <w:rFonts w:ascii="Consolas" w:eastAsia="Consolas" w:hAnsi="Consolas" w:cs="Consolas"/>
                <w:sz w:val="22"/>
                <w:szCs w:val="22"/>
                <w:shd w:val="clear" w:color="auto" w:fill="EAEEF3"/>
              </w:rPr>
              <w:t>E13_Assignation_d’attribut</w:t>
            </w:r>
            <w:r>
              <w:t xml:space="preserve"> et </w:t>
            </w:r>
            <w:r>
              <w:rPr>
                <w:rFonts w:ascii="Consolas" w:eastAsia="Consolas" w:hAnsi="Consolas" w:cs="Consolas"/>
                <w:sz w:val="22"/>
                <w:szCs w:val="22"/>
                <w:shd w:val="clear" w:color="auto" w:fill="EAEEF3"/>
              </w:rPr>
              <w:t>P141_a_assigné (a_été_attribué_par)</w:t>
            </w:r>
            <w:r>
              <w:t>.</w:t>
            </w:r>
          </w:p>
        </w:tc>
      </w:tr>
      <w:tr w:rsidR="00BF18CF" w14:paraId="5784BB22" w14:textId="77777777" w:rsidTr="00BF18CF">
        <w:tc>
          <w:tcPr>
            <w:tcW w:w="1882" w:type="dxa"/>
          </w:tcPr>
          <w:p w14:paraId="6B0F7B4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8" w:type="dxa"/>
          </w:tcPr>
          <w:p w14:paraId="4BFA2C5D" w14:textId="77777777" w:rsidR="00BF18CF" w:rsidRDefault="00BF18CF">
            <w:pPr>
              <w:pBdr>
                <w:top w:val="nil"/>
                <w:left w:val="nil"/>
                <w:bottom w:val="nil"/>
                <w:right w:val="nil"/>
                <w:between w:val="nil"/>
              </w:pBdr>
              <w:spacing w:before="36" w:after="36"/>
              <w:rPr>
                <w:color w:val="000000"/>
              </w:rPr>
            </w:pPr>
          </w:p>
        </w:tc>
      </w:tr>
    </w:tbl>
    <w:p w14:paraId="1A0BEEE8" w14:textId="77777777" w:rsidR="00BF18CF" w:rsidRDefault="00E51347">
      <w:pPr>
        <w:pStyle w:val="Heading3"/>
      </w:pPr>
      <w:bookmarkStart w:id="495" w:name="bookmark=id.2pcmsun" w:colFirst="0" w:colLast="0"/>
      <w:bookmarkStart w:id="496" w:name="_Toc144360991"/>
      <w:bookmarkEnd w:id="495"/>
      <w:r>
        <w:t>P141 a attribué (a été attribué par)</w:t>
      </w:r>
      <w:bookmarkEnd w:id="496"/>
    </w:p>
    <w:tbl>
      <w:tblPr>
        <w:tblStyle w:val="afffffff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4"/>
        <w:gridCol w:w="8806"/>
      </w:tblGrid>
      <w:tr w:rsidR="00BF18CF" w14:paraId="63473EA9" w14:textId="77777777" w:rsidTr="00BF18CF">
        <w:tc>
          <w:tcPr>
            <w:tcW w:w="1884" w:type="dxa"/>
          </w:tcPr>
          <w:p w14:paraId="56D8EECE"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6" w:type="dxa"/>
          </w:tcPr>
          <w:p w14:paraId="5B4E3B56" w14:textId="77777777" w:rsidR="00BF18CF" w:rsidRDefault="00E51347">
            <w:r>
              <w:rPr>
                <w:rFonts w:ascii="Consolas" w:eastAsia="Consolas" w:hAnsi="Consolas" w:cs="Consolas"/>
                <w:sz w:val="22"/>
                <w:szCs w:val="22"/>
                <w:shd w:val="clear" w:color="auto" w:fill="EAEEF3"/>
              </w:rPr>
              <w:t>E13_Assignation_d’attribut</w:t>
            </w:r>
          </w:p>
        </w:tc>
      </w:tr>
      <w:tr w:rsidR="00BF18CF" w14:paraId="643E324B" w14:textId="77777777" w:rsidTr="00BF18CF">
        <w:tc>
          <w:tcPr>
            <w:tcW w:w="1884" w:type="dxa"/>
          </w:tcPr>
          <w:p w14:paraId="3F3BD33A"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6" w:type="dxa"/>
          </w:tcPr>
          <w:p w14:paraId="75233F3E" w14:textId="77777777" w:rsidR="00BF18CF" w:rsidRDefault="00E51347">
            <w:r>
              <w:rPr>
                <w:rFonts w:ascii="Consolas" w:eastAsia="Consolas" w:hAnsi="Consolas" w:cs="Consolas"/>
                <w:sz w:val="22"/>
                <w:szCs w:val="22"/>
                <w:shd w:val="clear" w:color="auto" w:fill="EAEEF3"/>
              </w:rPr>
              <w:t>E1_Entité_CRM</w:t>
            </w:r>
          </w:p>
        </w:tc>
      </w:tr>
      <w:tr w:rsidR="00BF18CF" w14:paraId="109A8C9B" w14:textId="77777777" w:rsidTr="00BF18CF">
        <w:tc>
          <w:tcPr>
            <w:tcW w:w="1884" w:type="dxa"/>
          </w:tcPr>
          <w:p w14:paraId="411C625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6" w:type="dxa"/>
          </w:tcPr>
          <w:p w14:paraId="78F6013D" w14:textId="77777777" w:rsidR="00BF18CF" w:rsidRDefault="00BF18CF">
            <w:pPr>
              <w:pBdr>
                <w:top w:val="nil"/>
                <w:left w:val="nil"/>
                <w:bottom w:val="nil"/>
                <w:right w:val="nil"/>
                <w:between w:val="nil"/>
              </w:pBdr>
              <w:spacing w:before="36" w:after="36"/>
              <w:rPr>
                <w:color w:val="000000"/>
              </w:rPr>
            </w:pPr>
          </w:p>
        </w:tc>
      </w:tr>
      <w:tr w:rsidR="00BF18CF" w14:paraId="6E4C8FA7" w14:textId="77777777" w:rsidTr="00BF18CF">
        <w:tc>
          <w:tcPr>
            <w:tcW w:w="1884" w:type="dxa"/>
          </w:tcPr>
          <w:p w14:paraId="1410CB23"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6" w:type="dxa"/>
          </w:tcPr>
          <w:p w14:paraId="634DB35D" w14:textId="77777777" w:rsidR="00BF18CF" w:rsidRDefault="00E51347">
            <w:r>
              <w:rPr>
                <w:rFonts w:ascii="Consolas" w:eastAsia="Consolas" w:hAnsi="Consolas" w:cs="Consolas"/>
                <w:sz w:val="22"/>
                <w:szCs w:val="22"/>
                <w:shd w:val="clear" w:color="auto" w:fill="EAEEF3"/>
              </w:rPr>
              <w:t>E14_Évaluation_d’état_matériel</w:t>
            </w:r>
            <w:r>
              <w:t xml:space="preserve">. </w:t>
            </w:r>
            <w:r>
              <w:rPr>
                <w:rFonts w:ascii="Consolas" w:eastAsia="Consolas" w:hAnsi="Consolas" w:cs="Consolas"/>
                <w:sz w:val="22"/>
                <w:szCs w:val="22"/>
                <w:shd w:val="clear" w:color="auto" w:fill="EAEEF3"/>
              </w:rPr>
              <w:t>P35_a_identifié (a_été_identifié_par)</w:t>
            </w:r>
            <w:r>
              <w:t xml:space="preserve"> : </w:t>
            </w:r>
            <w:r>
              <w:rPr>
                <w:rFonts w:ascii="Consolas" w:eastAsia="Consolas" w:hAnsi="Consolas" w:cs="Consolas"/>
                <w:sz w:val="22"/>
                <w:szCs w:val="22"/>
                <w:shd w:val="clear" w:color="auto" w:fill="EAEEF3"/>
              </w:rPr>
              <w:t>E3_État_matériel</w:t>
            </w:r>
          </w:p>
          <w:p w14:paraId="36E6D2B9" w14:textId="77777777" w:rsidR="00BF18CF" w:rsidRDefault="00E51347">
            <w:r>
              <w:rPr>
                <w:rFonts w:ascii="Consolas" w:eastAsia="Consolas" w:hAnsi="Consolas" w:cs="Consolas"/>
                <w:sz w:val="22"/>
                <w:szCs w:val="22"/>
                <w:shd w:val="clear" w:color="auto" w:fill="EAEEF3"/>
              </w:rPr>
              <w:t>E15_Assignation_d'identifiant</w:t>
            </w:r>
            <w:r>
              <w:t xml:space="preserve">. </w:t>
            </w:r>
            <w:r>
              <w:rPr>
                <w:rFonts w:ascii="Consolas" w:eastAsia="Consolas" w:hAnsi="Consolas" w:cs="Consolas"/>
                <w:sz w:val="22"/>
                <w:szCs w:val="22"/>
                <w:shd w:val="clear" w:color="auto" w:fill="EAEEF3"/>
              </w:rPr>
              <w:t>P37_a_attribué (a_été_attribué_par)</w:t>
            </w:r>
            <w:r>
              <w:t xml:space="preserve"> : </w:t>
            </w:r>
            <w:r>
              <w:rPr>
                <w:rFonts w:ascii="Consolas" w:eastAsia="Consolas" w:hAnsi="Consolas" w:cs="Consolas"/>
                <w:sz w:val="22"/>
                <w:szCs w:val="22"/>
                <w:shd w:val="clear" w:color="auto" w:fill="EAEEF3"/>
              </w:rPr>
              <w:t>E42_Identifiant</w:t>
            </w:r>
          </w:p>
          <w:p w14:paraId="502ED82D" w14:textId="77777777" w:rsidR="00BF18CF" w:rsidRDefault="00E51347">
            <w:r>
              <w:rPr>
                <w:rFonts w:ascii="Consolas" w:eastAsia="Consolas" w:hAnsi="Consolas" w:cs="Consolas"/>
                <w:sz w:val="22"/>
                <w:szCs w:val="22"/>
                <w:shd w:val="clear" w:color="auto" w:fill="EAEEF3"/>
              </w:rPr>
              <w:t>E15_Assignation_d'identifiant</w:t>
            </w:r>
            <w:r>
              <w:t xml:space="preserve">. </w:t>
            </w:r>
            <w:r>
              <w:rPr>
                <w:rFonts w:ascii="Consolas" w:eastAsia="Consolas" w:hAnsi="Consolas" w:cs="Consolas"/>
                <w:sz w:val="22"/>
                <w:szCs w:val="22"/>
                <w:shd w:val="clear" w:color="auto" w:fill="EAEEF3"/>
              </w:rPr>
              <w:t>P38_a_retiré_l’assignation (a_été_retiré_par)</w:t>
            </w:r>
            <w:r>
              <w:t xml:space="preserve"> : </w:t>
            </w:r>
            <w:r>
              <w:rPr>
                <w:rFonts w:ascii="Consolas" w:eastAsia="Consolas" w:hAnsi="Consolas" w:cs="Consolas"/>
                <w:sz w:val="22"/>
                <w:szCs w:val="22"/>
                <w:shd w:val="clear" w:color="auto" w:fill="EAEEF3"/>
              </w:rPr>
              <w:t>E42_Identifiant</w:t>
            </w:r>
          </w:p>
          <w:p w14:paraId="30280F70" w14:textId="77777777" w:rsidR="00BF18CF" w:rsidRDefault="00E51347">
            <w:r>
              <w:rPr>
                <w:rFonts w:ascii="Consolas" w:eastAsia="Consolas" w:hAnsi="Consolas" w:cs="Consolas"/>
                <w:sz w:val="22"/>
                <w:szCs w:val="22"/>
                <w:shd w:val="clear" w:color="auto" w:fill="EAEEF3"/>
              </w:rPr>
              <w:t>E16_Mesurage</w:t>
            </w:r>
            <w:r>
              <w:t xml:space="preserve">. </w:t>
            </w:r>
            <w:r>
              <w:rPr>
                <w:rFonts w:ascii="Consolas" w:eastAsia="Consolas" w:hAnsi="Consolas" w:cs="Consolas"/>
                <w:sz w:val="22"/>
                <w:szCs w:val="22"/>
                <w:shd w:val="clear" w:color="auto" w:fill="EAEEF3"/>
              </w:rPr>
              <w:t>P40_a_relevé_comme_dimension (a_été_relevé_par)</w:t>
            </w:r>
            <w:r>
              <w:t xml:space="preserve"> : </w:t>
            </w:r>
            <w:r>
              <w:rPr>
                <w:rFonts w:ascii="Consolas" w:eastAsia="Consolas" w:hAnsi="Consolas" w:cs="Consolas"/>
                <w:sz w:val="22"/>
                <w:szCs w:val="22"/>
                <w:shd w:val="clear" w:color="auto" w:fill="EAEEF3"/>
              </w:rPr>
              <w:t>E54_Dimension</w:t>
            </w:r>
          </w:p>
          <w:p w14:paraId="0BE51468" w14:textId="77777777" w:rsidR="00BF18CF" w:rsidRDefault="00E51347">
            <w:r>
              <w:rPr>
                <w:rFonts w:ascii="Consolas" w:eastAsia="Consolas" w:hAnsi="Consolas" w:cs="Consolas"/>
                <w:sz w:val="22"/>
                <w:szCs w:val="22"/>
                <w:shd w:val="clear" w:color="auto" w:fill="EAEEF3"/>
              </w:rPr>
              <w:t>E17_Assignation_de_type</w:t>
            </w:r>
            <w:r>
              <w:t xml:space="preserve">. </w:t>
            </w:r>
            <w:r>
              <w:rPr>
                <w:rFonts w:ascii="Consolas" w:eastAsia="Consolas" w:hAnsi="Consolas" w:cs="Consolas"/>
                <w:sz w:val="22"/>
                <w:szCs w:val="22"/>
                <w:shd w:val="clear" w:color="auto" w:fill="EAEEF3"/>
              </w:rPr>
              <w:t>P42_a_attribué (a_été_attribué_par)</w:t>
            </w:r>
            <w:r>
              <w:t xml:space="preserve"> : </w:t>
            </w:r>
            <w:r>
              <w:rPr>
                <w:rFonts w:ascii="Consolas" w:eastAsia="Consolas" w:hAnsi="Consolas" w:cs="Consolas"/>
                <w:sz w:val="22"/>
                <w:szCs w:val="22"/>
                <w:shd w:val="clear" w:color="auto" w:fill="EAEEF3"/>
              </w:rPr>
              <w:t>E55_Type</w:t>
            </w:r>
          </w:p>
        </w:tc>
      </w:tr>
      <w:tr w:rsidR="00BF18CF" w14:paraId="3AFD541F" w14:textId="77777777" w:rsidTr="00BF18CF">
        <w:tc>
          <w:tcPr>
            <w:tcW w:w="1884" w:type="dxa"/>
          </w:tcPr>
          <w:p w14:paraId="0A2FEA8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6" w:type="dxa"/>
          </w:tcPr>
          <w:p w14:paraId="6B446C58" w14:textId="77777777" w:rsidR="00BF18CF" w:rsidRDefault="00E51347">
            <w:proofErr w:type="gramStart"/>
            <w:r>
              <w:t>plusieurs</w:t>
            </w:r>
            <w:proofErr w:type="gramEnd"/>
            <w:r>
              <w:t xml:space="preserve"> à plusieurs (0,n:0,n)</w:t>
            </w:r>
          </w:p>
        </w:tc>
      </w:tr>
      <w:tr w:rsidR="00BF18CF" w14:paraId="3229E594" w14:textId="77777777" w:rsidTr="00BF18CF">
        <w:tc>
          <w:tcPr>
            <w:tcW w:w="1884" w:type="dxa"/>
          </w:tcPr>
          <w:p w14:paraId="2390EF5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6" w:type="dxa"/>
          </w:tcPr>
          <w:p w14:paraId="0A39F043" w14:textId="77777777" w:rsidR="00BF18CF" w:rsidRDefault="00E51347">
            <w:r>
              <w:t xml:space="preserve">Cette propriété associe une instance de </w:t>
            </w:r>
            <w:r>
              <w:rPr>
                <w:rFonts w:ascii="Consolas" w:eastAsia="Consolas" w:hAnsi="Consolas" w:cs="Consolas"/>
                <w:sz w:val="22"/>
                <w:szCs w:val="22"/>
                <w:shd w:val="clear" w:color="auto" w:fill="EAEEF3"/>
              </w:rPr>
              <w:t>E13_Assignation_d’attribut</w:t>
            </w:r>
            <w:r>
              <w:t xml:space="preserve"> à une instance de </w:t>
            </w:r>
            <w:r>
              <w:rPr>
                <w:rFonts w:ascii="Consolas" w:eastAsia="Consolas" w:hAnsi="Consolas" w:cs="Consolas"/>
                <w:sz w:val="22"/>
                <w:szCs w:val="22"/>
                <w:shd w:val="clear" w:color="auto" w:fill="EAEEF3"/>
              </w:rPr>
              <w:t>E1_Entité_CRM</w:t>
            </w:r>
            <w:r>
              <w:t xml:space="preserve"> utilisée lors de cette attribution. L’instance de </w:t>
            </w:r>
            <w:r>
              <w:rPr>
                <w:rFonts w:ascii="Consolas" w:eastAsia="Consolas" w:hAnsi="Consolas" w:cs="Consolas"/>
                <w:sz w:val="22"/>
                <w:szCs w:val="22"/>
                <w:shd w:val="clear" w:color="auto" w:fill="EAEEF3"/>
              </w:rPr>
              <w:t>E1_Entité_CRM</w:t>
            </w:r>
            <w:r>
              <w:t xml:space="preserve"> joue ici le rôle de la portée de l’attribution.</w:t>
            </w:r>
          </w:p>
          <w:p w14:paraId="6BC2FB27" w14:textId="77777777" w:rsidR="00BF18CF" w:rsidRDefault="00E51347">
            <w:r>
              <w:t xml:space="preserve">Le type d’attribution devrait être documenté en utilisant la propriété </w:t>
            </w:r>
            <w:r>
              <w:rPr>
                <w:rFonts w:ascii="Consolas" w:eastAsia="Consolas" w:hAnsi="Consolas" w:cs="Consolas"/>
                <w:sz w:val="22"/>
                <w:szCs w:val="22"/>
                <w:shd w:val="clear" w:color="auto" w:fill="EAEEF3"/>
              </w:rPr>
              <w:t>P177_a_assigné_le_type_de_propriété</w:t>
            </w:r>
            <w:r>
              <w:t>.</w:t>
            </w:r>
          </w:p>
        </w:tc>
      </w:tr>
      <w:tr w:rsidR="00BF18CF" w14:paraId="4118AD26" w14:textId="77777777" w:rsidTr="00BF18CF">
        <w:tc>
          <w:tcPr>
            <w:tcW w:w="1884" w:type="dxa"/>
          </w:tcPr>
          <w:p w14:paraId="0C593383"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6" w:type="dxa"/>
          </w:tcPr>
          <w:p w14:paraId="5519ECC6" w14:textId="77777777" w:rsidR="00BF18CF" w:rsidRDefault="00E51347">
            <w:pPr>
              <w:numPr>
                <w:ilvl w:val="0"/>
                <w:numId w:val="19"/>
              </w:numPr>
            </w:pPr>
            <w:r>
              <w:t>L'évaluation de la propriété actuelle de la coupe en argent de Martin Doerr (</w:t>
            </w:r>
            <w:r>
              <w:rPr>
                <w:rFonts w:ascii="Consolas" w:eastAsia="Consolas" w:hAnsi="Consolas" w:cs="Consolas"/>
                <w:sz w:val="22"/>
                <w:szCs w:val="22"/>
                <w:shd w:val="clear" w:color="auto" w:fill="EAEEF3"/>
              </w:rPr>
              <w:t>E13_Assignation_d’attribut</w:t>
            </w:r>
            <w:r>
              <w:t>) en février 1997 a assigné (</w:t>
            </w:r>
            <w:r>
              <w:rPr>
                <w:rFonts w:ascii="Consolas" w:eastAsia="Consolas" w:hAnsi="Consolas" w:cs="Consolas"/>
                <w:sz w:val="22"/>
                <w:szCs w:val="22"/>
                <w:shd w:val="clear" w:color="auto" w:fill="EAEEF3"/>
              </w:rPr>
              <w:t>P141_a_assigné</w:t>
            </w:r>
            <w:r>
              <w:t>) Martin Doerr (</w:t>
            </w:r>
            <w:r>
              <w:rPr>
                <w:rFonts w:ascii="Consolas" w:eastAsia="Consolas" w:hAnsi="Consolas" w:cs="Consolas"/>
                <w:sz w:val="22"/>
                <w:szCs w:val="22"/>
                <w:shd w:val="clear" w:color="auto" w:fill="EAEEF3"/>
              </w:rPr>
              <w:t>E21_Personne</w:t>
            </w:r>
            <w:r>
              <w:t>) à la coupe en argent (fictif)</w:t>
            </w:r>
          </w:p>
          <w:p w14:paraId="5E9D4D02" w14:textId="77777777" w:rsidR="00BF18CF" w:rsidRDefault="00E51347">
            <w:pPr>
              <w:numPr>
                <w:ilvl w:val="0"/>
                <w:numId w:val="19"/>
              </w:numPr>
            </w:pPr>
            <w:r>
              <w:t>L'attribution d'identifiant de la coupe en argent donnée par Martin Doerr (</w:t>
            </w:r>
            <w:r>
              <w:rPr>
                <w:rFonts w:ascii="Consolas" w:eastAsia="Consolas" w:hAnsi="Consolas" w:cs="Consolas"/>
                <w:sz w:val="22"/>
                <w:szCs w:val="22"/>
                <w:shd w:val="clear" w:color="auto" w:fill="EAEEF3"/>
              </w:rPr>
              <w:t>E15_Assignation_d’identifiant</w:t>
            </w:r>
            <w:r>
              <w:t>) le 1</w:t>
            </w:r>
            <w:r>
              <w:rPr>
                <w:vertAlign w:val="superscript"/>
              </w:rPr>
              <w:t>er</w:t>
            </w:r>
            <w:r>
              <w:t xml:space="preserve"> juin 1997 a assigné (</w:t>
            </w:r>
            <w:r>
              <w:rPr>
                <w:rFonts w:ascii="Consolas" w:eastAsia="Consolas" w:hAnsi="Consolas" w:cs="Consolas"/>
                <w:sz w:val="22"/>
                <w:szCs w:val="22"/>
                <w:shd w:val="clear" w:color="auto" w:fill="EAEEF3"/>
              </w:rPr>
              <w:t>P141_a_assigné</w:t>
            </w:r>
            <w:r>
              <w:t>) l’identifiant d’objet 232 (</w:t>
            </w:r>
            <w:r>
              <w:rPr>
                <w:rFonts w:ascii="Consolas" w:eastAsia="Consolas" w:hAnsi="Consolas" w:cs="Consolas"/>
                <w:sz w:val="22"/>
                <w:szCs w:val="22"/>
                <w:shd w:val="clear" w:color="auto" w:fill="EAEEF3"/>
              </w:rPr>
              <w:t>E42_Identifiant</w:t>
            </w:r>
            <w:r>
              <w:t>) (fictif)</w:t>
            </w:r>
          </w:p>
          <w:p w14:paraId="53A020D7" w14:textId="77777777" w:rsidR="00BF18CF" w:rsidRDefault="00E51347">
            <w:pPr>
              <w:numPr>
                <w:ilvl w:val="0"/>
                <w:numId w:val="19"/>
              </w:numPr>
            </w:pPr>
            <w:r>
              <w:lastRenderedPageBreak/>
              <w:t xml:space="preserve">L’examen du manuscrit </w:t>
            </w:r>
            <w:r>
              <w:rPr>
                <w:i/>
              </w:rPr>
              <w:t>Mont Sinaï, MS gr. 418</w:t>
            </w:r>
            <w:r>
              <w:t xml:space="preserve"> (</w:t>
            </w:r>
            <w:r>
              <w:rPr>
                <w:rFonts w:ascii="Consolas" w:eastAsia="Consolas" w:hAnsi="Consolas" w:cs="Consolas"/>
                <w:sz w:val="22"/>
                <w:szCs w:val="22"/>
                <w:shd w:val="clear" w:color="auto" w:fill="EAEEF3"/>
              </w:rPr>
              <w:t>E13_Assignation_d’attribut</w:t>
            </w:r>
            <w:r>
              <w:t>) a assigné (</w:t>
            </w:r>
            <w:r>
              <w:rPr>
                <w:rFonts w:ascii="Consolas" w:eastAsia="Consolas" w:hAnsi="Consolas" w:cs="Consolas"/>
                <w:sz w:val="22"/>
                <w:szCs w:val="22"/>
                <w:shd w:val="clear" w:color="auto" w:fill="EAEEF3"/>
              </w:rPr>
              <w:t>P141_a_assigné</w:t>
            </w:r>
            <w:r>
              <w:t>) « non pris en charge » (</w:t>
            </w:r>
            <w:r>
              <w:rPr>
                <w:rFonts w:ascii="Consolas" w:eastAsia="Consolas" w:hAnsi="Consolas" w:cs="Consolas"/>
                <w:sz w:val="22"/>
                <w:szCs w:val="22"/>
                <w:shd w:val="clear" w:color="auto" w:fill="EAEEF3"/>
              </w:rPr>
              <w:t>E55_Type</w:t>
            </w:r>
            <w:r>
              <w:t>) (Honey et Pickwoad, 2010)</w:t>
            </w:r>
          </w:p>
        </w:tc>
      </w:tr>
      <w:tr w:rsidR="00BF18CF" w14:paraId="74201BA6" w14:textId="77777777" w:rsidTr="00BF18CF">
        <w:tc>
          <w:tcPr>
            <w:tcW w:w="1884" w:type="dxa"/>
          </w:tcPr>
          <w:p w14:paraId="6AB76ADC"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06" w:type="dxa"/>
          </w:tcPr>
          <w:p w14:paraId="198B74E2" w14:textId="77777777" w:rsidR="00BF18CF" w:rsidRDefault="00E51347">
            <w:r>
              <w:t>P141(</w:t>
            </w:r>
            <w:proofErr w:type="gramStart"/>
            <w:r>
              <w:t>x,y</w:t>
            </w:r>
            <w:proofErr w:type="gramEnd"/>
            <w:r>
              <w:t>) ⇒ E13(x)</w:t>
            </w:r>
          </w:p>
          <w:p w14:paraId="160FB85A" w14:textId="77777777" w:rsidR="00BF18CF" w:rsidRDefault="00E51347">
            <w:r>
              <w:t>P141(</w:t>
            </w:r>
            <w:proofErr w:type="gramStart"/>
            <w:r>
              <w:t>x,y</w:t>
            </w:r>
            <w:proofErr w:type="gramEnd"/>
            <w:r>
              <w:t>) ⇒ E1(y)</w:t>
            </w:r>
          </w:p>
        </w:tc>
      </w:tr>
      <w:tr w:rsidR="00BF18CF" w14:paraId="46FAF8EC" w14:textId="77777777" w:rsidTr="00BF18CF">
        <w:tc>
          <w:tcPr>
            <w:tcW w:w="1884" w:type="dxa"/>
          </w:tcPr>
          <w:p w14:paraId="0ED1B00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6" w:type="dxa"/>
          </w:tcPr>
          <w:p w14:paraId="1D5AFF25" w14:textId="77777777" w:rsidR="00BF18CF" w:rsidRDefault="00BF18CF">
            <w:pPr>
              <w:pBdr>
                <w:top w:val="nil"/>
                <w:left w:val="nil"/>
                <w:bottom w:val="nil"/>
                <w:right w:val="nil"/>
                <w:between w:val="nil"/>
              </w:pBdr>
              <w:spacing w:before="36" w:after="36"/>
              <w:rPr>
                <w:color w:val="000000"/>
              </w:rPr>
            </w:pPr>
          </w:p>
        </w:tc>
      </w:tr>
      <w:tr w:rsidR="00BF18CF" w14:paraId="66C86B70" w14:textId="77777777" w:rsidTr="00BF18CF">
        <w:tc>
          <w:tcPr>
            <w:tcW w:w="1884" w:type="dxa"/>
          </w:tcPr>
          <w:p w14:paraId="252C3E58" w14:textId="7899099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6" w:type="dxa"/>
          </w:tcPr>
          <w:p w14:paraId="2D6069D2" w14:textId="77777777" w:rsidR="00BF18CF" w:rsidRDefault="00E51347">
            <w:r>
              <w:t xml:space="preserve">La formulation « joue le rôle de la portée de l’attribution » peut porter à confusion. Dans l’ensemble de triplets </w:t>
            </w:r>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P140_a_assigné_l'attribut_à (a_reçu_l'attribut_par)</w:t>
            </w:r>
            <w:r>
              <w:t xml:space="preserve">, </w:t>
            </w:r>
            <w:r>
              <w:rPr>
                <w:rFonts w:ascii="Consolas" w:eastAsia="Consolas" w:hAnsi="Consolas" w:cs="Consolas"/>
                <w:sz w:val="22"/>
                <w:szCs w:val="22"/>
                <w:shd w:val="clear" w:color="auto" w:fill="EAEEF3"/>
              </w:rPr>
              <w:t>E1_Entité_CRM</w:t>
            </w:r>
            <w:r>
              <w:t xml:space="preserve"> et </w:t>
            </w:r>
            <w:r>
              <w:rPr>
                <w:rFonts w:ascii="Consolas" w:eastAsia="Consolas" w:hAnsi="Consolas" w:cs="Consolas"/>
                <w:sz w:val="22"/>
                <w:szCs w:val="22"/>
                <w:shd w:val="clear" w:color="auto" w:fill="EAEEF3"/>
              </w:rPr>
              <w:t>E13_Assignation_d’attribut</w:t>
            </w:r>
            <w:r>
              <w:t xml:space="preserve">, </w:t>
            </w:r>
            <w:r>
              <w:rPr>
                <w:rFonts w:ascii="Consolas" w:eastAsia="Consolas" w:hAnsi="Consolas" w:cs="Consolas"/>
                <w:sz w:val="22"/>
                <w:szCs w:val="22"/>
                <w:shd w:val="clear" w:color="auto" w:fill="EAEEF3"/>
              </w:rPr>
              <w:t>P141_a_assigné (a_été_attribué_par)</w:t>
            </w:r>
            <w:r>
              <w:t xml:space="preserve">, </w:t>
            </w:r>
            <w:r>
              <w:rPr>
                <w:rFonts w:ascii="Consolas" w:eastAsia="Consolas" w:hAnsi="Consolas" w:cs="Consolas"/>
                <w:sz w:val="22"/>
                <w:szCs w:val="22"/>
                <w:shd w:val="clear" w:color="auto" w:fill="EAEEF3"/>
              </w:rPr>
              <w:t>E1_Entité_CRM</w:t>
            </w:r>
            <w:r>
              <w:t xml:space="preserve"> où une entité A (instance de </w:t>
            </w:r>
            <w:r>
              <w:rPr>
                <w:rFonts w:ascii="Consolas" w:eastAsia="Consolas" w:hAnsi="Consolas" w:cs="Consolas"/>
                <w:sz w:val="22"/>
                <w:szCs w:val="22"/>
                <w:shd w:val="clear" w:color="auto" w:fill="EAEEF3"/>
              </w:rPr>
              <w:t>E1_Entité_CRM</w:t>
            </w:r>
            <w:r>
              <w:t xml:space="preserve">) reçoit un attribut B (instance de </w:t>
            </w:r>
            <w:r>
              <w:rPr>
                <w:rFonts w:ascii="Consolas" w:eastAsia="Consolas" w:hAnsi="Consolas" w:cs="Consolas"/>
                <w:sz w:val="22"/>
                <w:szCs w:val="22"/>
                <w:shd w:val="clear" w:color="auto" w:fill="EAEEF3"/>
              </w:rPr>
              <w:t>E1_Entité_CRM</w:t>
            </w:r>
            <w:r>
              <w:t xml:space="preserve">), l’instance A de </w:t>
            </w:r>
            <w:r>
              <w:rPr>
                <w:rFonts w:ascii="Consolas" w:eastAsia="Consolas" w:hAnsi="Consolas" w:cs="Consolas"/>
                <w:sz w:val="22"/>
                <w:szCs w:val="22"/>
                <w:shd w:val="clear" w:color="auto" w:fill="EAEEF3"/>
              </w:rPr>
              <w:t>E1_Entité_CRM</w:t>
            </w:r>
            <w:r>
              <w:t xml:space="preserve"> peut être conceptuellement comprise comme le domaine de l’ensemble de triplets, et l’instance B de </w:t>
            </w:r>
            <w:r>
              <w:rPr>
                <w:rFonts w:ascii="Consolas" w:eastAsia="Consolas" w:hAnsi="Consolas" w:cs="Consolas"/>
                <w:sz w:val="22"/>
                <w:szCs w:val="22"/>
                <w:shd w:val="clear" w:color="auto" w:fill="EAEEF3"/>
              </w:rPr>
              <w:t>E1_Entité_CRM</w:t>
            </w:r>
            <w:r>
              <w:t xml:space="preserve"> comme la portée. Ce n’est alors pas une propriété qui relie un domaine à sa portée, mais ici l’ensemble composé de </w:t>
            </w:r>
            <w:r>
              <w:rPr>
                <w:rFonts w:ascii="Consolas" w:eastAsia="Consolas" w:hAnsi="Consolas" w:cs="Consolas"/>
                <w:sz w:val="22"/>
                <w:szCs w:val="22"/>
                <w:shd w:val="clear" w:color="auto" w:fill="EAEEF3"/>
              </w:rPr>
              <w:t>P140_a_assigné_l'attribut_à (a_reçu_l'attribut_par)</w:t>
            </w:r>
            <w:r>
              <w:t xml:space="preserve">, </w:t>
            </w:r>
            <w:r>
              <w:rPr>
                <w:rFonts w:ascii="Consolas" w:eastAsia="Consolas" w:hAnsi="Consolas" w:cs="Consolas"/>
                <w:sz w:val="22"/>
                <w:szCs w:val="22"/>
                <w:shd w:val="clear" w:color="auto" w:fill="EAEEF3"/>
              </w:rPr>
              <w:t>E13_Assignation_d’attribut</w:t>
            </w:r>
            <w:r>
              <w:t xml:space="preserve"> et </w:t>
            </w:r>
            <w:r>
              <w:rPr>
                <w:rFonts w:ascii="Consolas" w:eastAsia="Consolas" w:hAnsi="Consolas" w:cs="Consolas"/>
                <w:sz w:val="22"/>
                <w:szCs w:val="22"/>
                <w:shd w:val="clear" w:color="auto" w:fill="EAEEF3"/>
              </w:rPr>
              <w:t>P141_a_assigné (a_été_attribué_par)</w:t>
            </w:r>
            <w:r>
              <w:t>.</w:t>
            </w:r>
          </w:p>
        </w:tc>
      </w:tr>
      <w:tr w:rsidR="00BF18CF" w14:paraId="2EDB779D" w14:textId="77777777" w:rsidTr="00BF18CF">
        <w:tc>
          <w:tcPr>
            <w:tcW w:w="1884" w:type="dxa"/>
          </w:tcPr>
          <w:p w14:paraId="31CE92D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6" w:type="dxa"/>
          </w:tcPr>
          <w:p w14:paraId="5CE3EBD7" w14:textId="77777777" w:rsidR="00BF18CF" w:rsidRDefault="00BF18CF">
            <w:pPr>
              <w:pBdr>
                <w:top w:val="nil"/>
                <w:left w:val="nil"/>
                <w:bottom w:val="nil"/>
                <w:right w:val="nil"/>
                <w:between w:val="nil"/>
              </w:pBdr>
              <w:spacing w:before="36" w:after="36"/>
              <w:rPr>
                <w:color w:val="000000"/>
              </w:rPr>
            </w:pPr>
          </w:p>
        </w:tc>
      </w:tr>
    </w:tbl>
    <w:p w14:paraId="34889A14" w14:textId="77777777" w:rsidR="00BF18CF" w:rsidRDefault="00E51347">
      <w:pPr>
        <w:pStyle w:val="Heading3"/>
      </w:pPr>
      <w:bookmarkStart w:id="497" w:name="bookmark=id.14hx32g" w:colFirst="0" w:colLast="0"/>
      <w:bookmarkStart w:id="498" w:name="_Toc144360992"/>
      <w:bookmarkEnd w:id="497"/>
      <w:r>
        <w:t>P142 a mobilisé comme élément (a été mobilisé dans)</w:t>
      </w:r>
      <w:bookmarkEnd w:id="498"/>
    </w:p>
    <w:tbl>
      <w:tblPr>
        <w:tblStyle w:val="afffffff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4"/>
        <w:gridCol w:w="8806"/>
      </w:tblGrid>
      <w:tr w:rsidR="00BF18CF" w14:paraId="4117C22F" w14:textId="77777777" w:rsidTr="00BF18CF">
        <w:tc>
          <w:tcPr>
            <w:tcW w:w="1884" w:type="dxa"/>
          </w:tcPr>
          <w:p w14:paraId="778BB526"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6" w:type="dxa"/>
          </w:tcPr>
          <w:p w14:paraId="45B1625F" w14:textId="77777777" w:rsidR="00BF18CF" w:rsidRDefault="00E51347">
            <w:r>
              <w:rPr>
                <w:rFonts w:ascii="Consolas" w:eastAsia="Consolas" w:hAnsi="Consolas" w:cs="Consolas"/>
                <w:sz w:val="22"/>
                <w:szCs w:val="22"/>
                <w:shd w:val="clear" w:color="auto" w:fill="EAEEF3"/>
              </w:rPr>
              <w:t>E15_Assignation_d’identifiant</w:t>
            </w:r>
          </w:p>
        </w:tc>
      </w:tr>
      <w:tr w:rsidR="00BF18CF" w14:paraId="408A8D9E" w14:textId="77777777" w:rsidTr="00BF18CF">
        <w:tc>
          <w:tcPr>
            <w:tcW w:w="1884" w:type="dxa"/>
          </w:tcPr>
          <w:p w14:paraId="47815F9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6" w:type="dxa"/>
          </w:tcPr>
          <w:p w14:paraId="493CE784" w14:textId="77777777" w:rsidR="00BF18CF" w:rsidRDefault="00E51347">
            <w:r>
              <w:rPr>
                <w:rFonts w:ascii="Consolas" w:eastAsia="Consolas" w:hAnsi="Consolas" w:cs="Consolas"/>
                <w:sz w:val="22"/>
                <w:szCs w:val="22"/>
                <w:shd w:val="clear" w:color="auto" w:fill="EAEEF3"/>
              </w:rPr>
              <w:t>E90_Objet_symbolique</w:t>
            </w:r>
          </w:p>
        </w:tc>
      </w:tr>
      <w:tr w:rsidR="00BF18CF" w14:paraId="0A7905CD" w14:textId="77777777" w:rsidTr="00BF18CF">
        <w:tc>
          <w:tcPr>
            <w:tcW w:w="1884" w:type="dxa"/>
          </w:tcPr>
          <w:p w14:paraId="1E67B7F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6" w:type="dxa"/>
          </w:tcPr>
          <w:p w14:paraId="0C0A8410"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P16_a_mobilisé_l’objet_spécifique (a_été_mobilisé_pour)</w:t>
            </w:r>
            <w:r>
              <w:t xml:space="preserve">: </w:t>
            </w:r>
            <w:r>
              <w:rPr>
                <w:rFonts w:ascii="Consolas" w:eastAsia="Consolas" w:hAnsi="Consolas" w:cs="Consolas"/>
                <w:sz w:val="22"/>
                <w:szCs w:val="22"/>
                <w:shd w:val="clear" w:color="auto" w:fill="EAEEF3"/>
              </w:rPr>
              <w:t>E70_Chose</w:t>
            </w:r>
          </w:p>
        </w:tc>
      </w:tr>
      <w:tr w:rsidR="00BF18CF" w14:paraId="3F1AF9C5" w14:textId="77777777" w:rsidTr="00BF18CF">
        <w:tc>
          <w:tcPr>
            <w:tcW w:w="1884" w:type="dxa"/>
          </w:tcPr>
          <w:p w14:paraId="5FE02E7C"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6" w:type="dxa"/>
          </w:tcPr>
          <w:p w14:paraId="366440E9" w14:textId="77777777" w:rsidR="00BF18CF" w:rsidRDefault="00BF18CF">
            <w:pPr>
              <w:pBdr>
                <w:top w:val="nil"/>
                <w:left w:val="nil"/>
                <w:bottom w:val="nil"/>
                <w:right w:val="nil"/>
                <w:between w:val="nil"/>
              </w:pBdr>
              <w:spacing w:before="36" w:after="36"/>
              <w:rPr>
                <w:color w:val="000000"/>
              </w:rPr>
            </w:pPr>
          </w:p>
        </w:tc>
      </w:tr>
      <w:tr w:rsidR="00BF18CF" w14:paraId="57C86506" w14:textId="77777777" w:rsidTr="00BF18CF">
        <w:tc>
          <w:tcPr>
            <w:tcW w:w="1884" w:type="dxa"/>
          </w:tcPr>
          <w:p w14:paraId="08ECCD37"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6" w:type="dxa"/>
          </w:tcPr>
          <w:p w14:paraId="7F8977DD" w14:textId="77777777" w:rsidR="00BF18CF" w:rsidRDefault="00E51347">
            <w:proofErr w:type="gramStart"/>
            <w:r>
              <w:t>plusieurs</w:t>
            </w:r>
            <w:proofErr w:type="gramEnd"/>
            <w:r>
              <w:t xml:space="preserve"> à plusieurs (0:n,0:n)</w:t>
            </w:r>
          </w:p>
        </w:tc>
      </w:tr>
      <w:tr w:rsidR="00BF18CF" w14:paraId="1B364C29" w14:textId="77777777" w:rsidTr="00BF18CF">
        <w:tc>
          <w:tcPr>
            <w:tcW w:w="1884" w:type="dxa"/>
          </w:tcPr>
          <w:p w14:paraId="3DD88E3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6" w:type="dxa"/>
          </w:tcPr>
          <w:p w14:paraId="37D5AC0D" w14:textId="77777777" w:rsidR="00BF18CF" w:rsidRDefault="00E51347">
            <w:r>
              <w:t xml:space="preserve">Cette propriété associe une instance de </w:t>
            </w:r>
            <w:r>
              <w:rPr>
                <w:rFonts w:ascii="Consolas" w:eastAsia="Consolas" w:hAnsi="Consolas" w:cs="Consolas"/>
                <w:sz w:val="22"/>
                <w:szCs w:val="22"/>
                <w:shd w:val="clear" w:color="auto" w:fill="EAEEF3"/>
              </w:rPr>
              <w:t>E15_Assignation_d’identifiant</w:t>
            </w:r>
            <w:r>
              <w:t xml:space="preserve"> à l'instance de </w:t>
            </w:r>
            <w:r>
              <w:rPr>
                <w:rFonts w:ascii="Consolas" w:eastAsia="Consolas" w:hAnsi="Consolas" w:cs="Consolas"/>
                <w:sz w:val="22"/>
                <w:szCs w:val="22"/>
                <w:shd w:val="clear" w:color="auto" w:fill="EAEEF3"/>
              </w:rPr>
              <w:t>E90_Objet_symbolique</w:t>
            </w:r>
            <w:r>
              <w:t xml:space="preserve"> mobilisée comme élément constitutif d'une instance de </w:t>
            </w:r>
            <w:r>
              <w:rPr>
                <w:rFonts w:ascii="Consolas" w:eastAsia="Consolas" w:hAnsi="Consolas" w:cs="Consolas"/>
                <w:sz w:val="22"/>
                <w:szCs w:val="22"/>
                <w:shd w:val="clear" w:color="auto" w:fill="EAEEF3"/>
              </w:rPr>
              <w:t>E42_Identifiant</w:t>
            </w:r>
            <w:r>
              <w:t xml:space="preserve"> lors d'un acte d'assignation.</w:t>
            </w:r>
          </w:p>
        </w:tc>
      </w:tr>
      <w:tr w:rsidR="00BF18CF" w14:paraId="2EFF676B" w14:textId="77777777" w:rsidTr="00BF18CF">
        <w:tc>
          <w:tcPr>
            <w:tcW w:w="1884" w:type="dxa"/>
          </w:tcPr>
          <w:p w14:paraId="0D1487C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6" w:type="dxa"/>
          </w:tcPr>
          <w:p w14:paraId="67A9B0B0" w14:textId="77777777" w:rsidR="00BF18CF" w:rsidRDefault="00E51347">
            <w:pPr>
              <w:numPr>
                <w:ilvl w:val="0"/>
                <w:numId w:val="19"/>
              </w:numPr>
            </w:pPr>
            <w:r>
              <w:t>Le 1</w:t>
            </w:r>
            <w:r>
              <w:rPr>
                <w:vertAlign w:val="superscript"/>
              </w:rPr>
              <w:t>er</w:t>
            </w:r>
            <w:r>
              <w:t xml:space="preserve"> juin 2001, l'assignation de l'identifiant du nom de personne « Guillaume de Machaut, c. 1300-1377 » (</w:t>
            </w:r>
            <w:r>
              <w:rPr>
                <w:rFonts w:ascii="Consolas" w:eastAsia="Consolas" w:hAnsi="Consolas" w:cs="Consolas"/>
                <w:sz w:val="22"/>
                <w:szCs w:val="22"/>
                <w:shd w:val="clear" w:color="auto" w:fill="EAEEF3"/>
              </w:rPr>
              <w:t>E15_Assignation_d’identifiant</w:t>
            </w:r>
            <w:r>
              <w:t>) a mobilisé comme élément constitutif (</w:t>
            </w:r>
            <w:r>
              <w:rPr>
                <w:rFonts w:ascii="Consolas" w:eastAsia="Consolas" w:hAnsi="Consolas" w:cs="Consolas"/>
                <w:sz w:val="22"/>
                <w:szCs w:val="22"/>
                <w:shd w:val="clear" w:color="auto" w:fill="EAEEF3"/>
              </w:rPr>
              <w:t>P142_a_mobilisé_comme_élément</w:t>
            </w:r>
            <w:r>
              <w:t>) « c. 1300-1377 » (</w:t>
            </w:r>
            <w:r>
              <w:rPr>
                <w:rFonts w:ascii="Consolas" w:eastAsia="Consolas" w:hAnsi="Consolas" w:cs="Consolas"/>
                <w:sz w:val="22"/>
                <w:szCs w:val="22"/>
                <w:shd w:val="clear" w:color="auto" w:fill="EAEEF3"/>
              </w:rPr>
              <w:t>E41_Appellation</w:t>
            </w:r>
            <w:r>
              <w:t>) (Kelly, 2014)</w:t>
            </w:r>
          </w:p>
          <w:p w14:paraId="73EC3025" w14:textId="77777777" w:rsidR="00BF18CF" w:rsidRDefault="00E51347">
            <w:pPr>
              <w:numPr>
                <w:ilvl w:val="0"/>
                <w:numId w:val="19"/>
              </w:numPr>
            </w:pPr>
            <w:r>
              <w:t>L'assignation d'un titre uniformisé à l'œuvre textuelle anonyme connue sous le nom d'</w:t>
            </w:r>
            <w:r>
              <w:rPr>
                <w:i/>
              </w:rPr>
              <w:t>Adoration des bergers</w:t>
            </w:r>
            <w:r>
              <w:t xml:space="preserve"> (</w:t>
            </w:r>
            <w:r>
              <w:rPr>
                <w:rFonts w:ascii="Consolas" w:eastAsia="Consolas" w:hAnsi="Consolas" w:cs="Consolas"/>
                <w:sz w:val="22"/>
                <w:szCs w:val="22"/>
                <w:shd w:val="clear" w:color="auto" w:fill="EAEEF3"/>
              </w:rPr>
              <w:t>E15_Assignation_d’identifiant</w:t>
            </w:r>
            <w:r>
              <w:t>) a mobilisé l'élément constitutif (</w:t>
            </w:r>
            <w:r>
              <w:rPr>
                <w:rFonts w:ascii="Consolas" w:eastAsia="Consolas" w:hAnsi="Consolas" w:cs="Consolas"/>
                <w:sz w:val="22"/>
                <w:szCs w:val="22"/>
                <w:shd w:val="clear" w:color="auto" w:fill="EAEEF3"/>
              </w:rPr>
              <w:t>P142_a_mobilisé_comme_élément</w:t>
            </w:r>
            <w:r>
              <w:t>) « Coventry » (</w:t>
            </w:r>
            <w:r>
              <w:rPr>
                <w:rFonts w:ascii="Consolas" w:eastAsia="Consolas" w:hAnsi="Consolas" w:cs="Consolas"/>
                <w:sz w:val="22"/>
                <w:szCs w:val="22"/>
                <w:shd w:val="clear" w:color="auto" w:fill="EAEEF3"/>
              </w:rPr>
              <w:t>E41_Appellation</w:t>
            </w:r>
            <w:r>
              <w:t>) (Britannica, 1998)</w:t>
            </w:r>
          </w:p>
          <w:p w14:paraId="46FFDDF9" w14:textId="77777777" w:rsidR="00BF18CF" w:rsidRDefault="00E51347">
            <w:pPr>
              <w:numPr>
                <w:ilvl w:val="0"/>
                <w:numId w:val="19"/>
              </w:numPr>
            </w:pPr>
            <w:r>
              <w:t xml:space="preserve">L'assignation d'un titre uniformisé à l'œuvre chorégraphique de Pina Bausch </w:t>
            </w:r>
            <w:r>
              <w:rPr>
                <w:i/>
              </w:rPr>
              <w:t>Le sacre du printemps</w:t>
            </w:r>
            <w:r>
              <w:t xml:space="preserve"> (</w:t>
            </w:r>
            <w:r>
              <w:rPr>
                <w:rFonts w:ascii="Consolas" w:eastAsia="Consolas" w:hAnsi="Consolas" w:cs="Consolas"/>
                <w:sz w:val="22"/>
                <w:szCs w:val="22"/>
                <w:shd w:val="clear" w:color="auto" w:fill="EAEEF3"/>
              </w:rPr>
              <w:t>E15_Assignation_d’identifiant</w:t>
            </w:r>
            <w:r>
              <w:t xml:space="preserve">) a mobilisé </w:t>
            </w:r>
            <w:r>
              <w:lastRenderedPageBreak/>
              <w:t>l'élément constitutif (</w:t>
            </w:r>
            <w:r>
              <w:rPr>
                <w:rFonts w:ascii="Consolas" w:eastAsia="Consolas" w:hAnsi="Consolas" w:cs="Consolas"/>
                <w:sz w:val="22"/>
                <w:szCs w:val="22"/>
                <w:shd w:val="clear" w:color="auto" w:fill="EAEEF3"/>
              </w:rPr>
              <w:t>P142_a_mobilisé_comme_élément</w:t>
            </w:r>
            <w:r>
              <w:t>) « œuvre chorégraphique : Bausch » (</w:t>
            </w:r>
            <w:r>
              <w:rPr>
                <w:rFonts w:ascii="Consolas" w:eastAsia="Consolas" w:hAnsi="Consolas" w:cs="Consolas"/>
                <w:sz w:val="22"/>
                <w:szCs w:val="22"/>
                <w:shd w:val="clear" w:color="auto" w:fill="EAEEF3"/>
              </w:rPr>
              <w:t>E90_Objet_symbolique</w:t>
            </w:r>
            <w:r>
              <w:t>) (Brandstetter et Klein, 2015)</w:t>
            </w:r>
          </w:p>
          <w:p w14:paraId="60F36DE6" w14:textId="77777777" w:rsidR="00BF18CF" w:rsidRDefault="00E51347">
            <w:pPr>
              <w:numPr>
                <w:ilvl w:val="0"/>
                <w:numId w:val="19"/>
              </w:numPr>
            </w:pPr>
            <w:r>
              <w:t xml:space="preserve">L'assignation d'un titre uniformisé au film </w:t>
            </w:r>
            <w:r>
              <w:rPr>
                <w:i/>
              </w:rPr>
              <w:t>King Kong</w:t>
            </w:r>
            <w:r>
              <w:t xml:space="preserve"> dirigé en 1933 par Merian C. Cooper et Ernest B. Schoedsack (</w:t>
            </w:r>
            <w:r>
              <w:rPr>
                <w:rFonts w:ascii="Consolas" w:eastAsia="Consolas" w:hAnsi="Consolas" w:cs="Consolas"/>
                <w:sz w:val="22"/>
                <w:szCs w:val="22"/>
                <w:shd w:val="clear" w:color="auto" w:fill="EAEEF3"/>
              </w:rPr>
              <w:t>E15_Assignation_d’identifiant</w:t>
            </w:r>
            <w:r>
              <w:t>) a mobilisé l'élément constitutif (</w:t>
            </w:r>
            <w:r>
              <w:rPr>
                <w:rFonts w:ascii="Consolas" w:eastAsia="Consolas" w:hAnsi="Consolas" w:cs="Consolas"/>
                <w:sz w:val="22"/>
                <w:szCs w:val="22"/>
                <w:shd w:val="clear" w:color="auto" w:fill="EAEEF3"/>
              </w:rPr>
              <w:t>P142_a_mobilisé_comme_élément</w:t>
            </w:r>
            <w:r>
              <w:t>) « 1933 » (</w:t>
            </w:r>
            <w:r>
              <w:rPr>
                <w:rFonts w:ascii="Consolas" w:eastAsia="Consolas" w:hAnsi="Consolas" w:cs="Consolas"/>
                <w:sz w:val="22"/>
                <w:szCs w:val="22"/>
                <w:shd w:val="clear" w:color="auto" w:fill="EAEEF3"/>
              </w:rPr>
              <w:t>E41_Appellation</w:t>
            </w:r>
            <w:r>
              <w:t>) (Goldner et Turner, 1976)</w:t>
            </w:r>
          </w:p>
          <w:p w14:paraId="75CC0597" w14:textId="77777777" w:rsidR="00BF18CF" w:rsidRDefault="00E51347">
            <w:pPr>
              <w:numPr>
                <w:ilvl w:val="0"/>
                <w:numId w:val="19"/>
              </w:numPr>
            </w:pPr>
            <w:r>
              <w:t>L'assignation de l'identifiant d'entreprise « Univerza v Ljubljani. Oddelek za bibliotekarstvo » au Département de bibliothéconomie de l'Université de Ljubljana (</w:t>
            </w:r>
            <w:r>
              <w:rPr>
                <w:rFonts w:ascii="Consolas" w:eastAsia="Consolas" w:hAnsi="Consolas" w:cs="Consolas"/>
                <w:sz w:val="22"/>
                <w:szCs w:val="22"/>
                <w:shd w:val="clear" w:color="auto" w:fill="EAEEF3"/>
              </w:rPr>
              <w:t>E15_Assignation_d’identifiant</w:t>
            </w:r>
            <w:r>
              <w:t>) a mobilisé l'élément constitutif (</w:t>
            </w:r>
            <w:r>
              <w:rPr>
                <w:rFonts w:ascii="Consolas" w:eastAsia="Consolas" w:hAnsi="Consolas" w:cs="Consolas"/>
                <w:sz w:val="22"/>
                <w:szCs w:val="22"/>
                <w:shd w:val="clear" w:color="auto" w:fill="EAEEF3"/>
              </w:rPr>
              <w:t>P142_a_mobilisé_comme_élément</w:t>
            </w:r>
            <w:r>
              <w:t>) « Univerza v Ljubljani » (</w:t>
            </w:r>
            <w:r>
              <w:rPr>
                <w:rFonts w:ascii="Consolas" w:eastAsia="Consolas" w:hAnsi="Consolas" w:cs="Consolas"/>
                <w:sz w:val="22"/>
                <w:szCs w:val="22"/>
                <w:shd w:val="clear" w:color="auto" w:fill="EAEEF3"/>
              </w:rPr>
              <w:t>E41_Appellation</w:t>
            </w:r>
            <w:r>
              <w:t>) (Department of Library and Information Science and Book Studies Library, University of Ljubljana, 2018)</w:t>
            </w:r>
          </w:p>
        </w:tc>
      </w:tr>
      <w:tr w:rsidR="00BF18CF" w14:paraId="2AB54B8C" w14:textId="77777777" w:rsidTr="00BF18CF">
        <w:tc>
          <w:tcPr>
            <w:tcW w:w="1884" w:type="dxa"/>
          </w:tcPr>
          <w:p w14:paraId="172F4D90"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06" w:type="dxa"/>
          </w:tcPr>
          <w:p w14:paraId="0CBF510D" w14:textId="77777777" w:rsidR="00BF18CF" w:rsidRDefault="00E51347">
            <w:r>
              <w:t>P142(</w:t>
            </w:r>
            <w:proofErr w:type="gramStart"/>
            <w:r>
              <w:t>x,y</w:t>
            </w:r>
            <w:proofErr w:type="gramEnd"/>
            <w:r>
              <w:t>) ⇒ E15(x)</w:t>
            </w:r>
          </w:p>
          <w:p w14:paraId="22951AFE" w14:textId="77777777" w:rsidR="00BF18CF" w:rsidRDefault="00E51347">
            <w:r>
              <w:t>P142(</w:t>
            </w:r>
            <w:proofErr w:type="gramStart"/>
            <w:r>
              <w:t>x,y</w:t>
            </w:r>
            <w:proofErr w:type="gramEnd"/>
            <w:r>
              <w:t>) ⇒ E90(y)</w:t>
            </w:r>
          </w:p>
          <w:p w14:paraId="4D394FC0" w14:textId="77777777" w:rsidR="00BF18CF" w:rsidRDefault="00E51347">
            <w:r>
              <w:t>P142(</w:t>
            </w:r>
            <w:proofErr w:type="gramStart"/>
            <w:r>
              <w:t>x,y</w:t>
            </w:r>
            <w:proofErr w:type="gramEnd"/>
            <w:r>
              <w:t>) ⇒ P16(x,y)</w:t>
            </w:r>
          </w:p>
        </w:tc>
      </w:tr>
      <w:tr w:rsidR="00BF18CF" w14:paraId="44AD5D7D" w14:textId="77777777" w:rsidTr="00BF18CF">
        <w:tc>
          <w:tcPr>
            <w:tcW w:w="1884" w:type="dxa"/>
          </w:tcPr>
          <w:p w14:paraId="082008B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6" w:type="dxa"/>
          </w:tcPr>
          <w:p w14:paraId="4FF9FEB6" w14:textId="77777777" w:rsidR="00BF18CF" w:rsidRDefault="00BF18CF">
            <w:pPr>
              <w:pBdr>
                <w:top w:val="nil"/>
                <w:left w:val="nil"/>
                <w:bottom w:val="nil"/>
                <w:right w:val="nil"/>
                <w:between w:val="nil"/>
              </w:pBdr>
              <w:spacing w:before="36" w:after="36"/>
              <w:rPr>
                <w:color w:val="000000"/>
              </w:rPr>
            </w:pPr>
          </w:p>
        </w:tc>
      </w:tr>
      <w:tr w:rsidR="00BF18CF" w14:paraId="35773A79" w14:textId="77777777" w:rsidTr="00BF18CF">
        <w:tc>
          <w:tcPr>
            <w:tcW w:w="1884" w:type="dxa"/>
          </w:tcPr>
          <w:p w14:paraId="49E8684A" w14:textId="029F5C3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6" w:type="dxa"/>
          </w:tcPr>
          <w:p w14:paraId="73F5BD97" w14:textId="77777777" w:rsidR="00BF18CF" w:rsidRDefault="00E51347">
            <w:r>
              <w:t>Dans le second exemple, le terme « Coventry » devrait être dans le titre de l'œuvre mentionnée ou bien l'exemple d'élément constitutif devrait être un exemple tiré du titre, comme « Adoration ».</w:t>
            </w:r>
          </w:p>
        </w:tc>
      </w:tr>
      <w:tr w:rsidR="00BF18CF" w14:paraId="11FFA59D" w14:textId="77777777" w:rsidTr="00BF18CF">
        <w:tc>
          <w:tcPr>
            <w:tcW w:w="1884" w:type="dxa"/>
          </w:tcPr>
          <w:p w14:paraId="3A0B0E1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6" w:type="dxa"/>
          </w:tcPr>
          <w:p w14:paraId="55289C43" w14:textId="77777777" w:rsidR="00BF18CF" w:rsidRDefault="00BF18CF">
            <w:pPr>
              <w:pBdr>
                <w:top w:val="nil"/>
                <w:left w:val="nil"/>
                <w:bottom w:val="nil"/>
                <w:right w:val="nil"/>
                <w:between w:val="nil"/>
              </w:pBdr>
              <w:spacing w:before="36" w:after="36"/>
              <w:rPr>
                <w:color w:val="000000"/>
              </w:rPr>
            </w:pPr>
          </w:p>
        </w:tc>
      </w:tr>
    </w:tbl>
    <w:p w14:paraId="17812166" w14:textId="77777777" w:rsidR="00BF18CF" w:rsidRDefault="00E51347">
      <w:pPr>
        <w:pStyle w:val="Heading3"/>
      </w:pPr>
      <w:bookmarkStart w:id="499" w:name="bookmark=id.3ohklq9" w:colFirst="0" w:colLast="0"/>
      <w:bookmarkStart w:id="500" w:name="_Toc144360993"/>
      <w:bookmarkEnd w:id="499"/>
      <w:r>
        <w:t>P143 a fait adhérer (a adhéré par)</w:t>
      </w:r>
      <w:bookmarkEnd w:id="500"/>
    </w:p>
    <w:tbl>
      <w:tblPr>
        <w:tblStyle w:val="affffffff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0"/>
        <w:gridCol w:w="8810"/>
      </w:tblGrid>
      <w:tr w:rsidR="00BF18CF" w14:paraId="796C21C8" w14:textId="77777777" w:rsidTr="00BF18CF">
        <w:tc>
          <w:tcPr>
            <w:tcW w:w="1880" w:type="dxa"/>
          </w:tcPr>
          <w:p w14:paraId="4FEB03B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0" w:type="dxa"/>
          </w:tcPr>
          <w:p w14:paraId="05FA967E" w14:textId="77777777" w:rsidR="00BF18CF" w:rsidRDefault="00E51347">
            <w:r>
              <w:rPr>
                <w:rFonts w:ascii="Consolas" w:eastAsia="Consolas" w:hAnsi="Consolas" w:cs="Consolas"/>
                <w:sz w:val="22"/>
                <w:szCs w:val="22"/>
                <w:shd w:val="clear" w:color="auto" w:fill="EAEEF3"/>
              </w:rPr>
              <w:t>E85_Adhésion</w:t>
            </w:r>
          </w:p>
        </w:tc>
      </w:tr>
      <w:tr w:rsidR="00BF18CF" w14:paraId="01E86331" w14:textId="77777777" w:rsidTr="00BF18CF">
        <w:tc>
          <w:tcPr>
            <w:tcW w:w="1880" w:type="dxa"/>
          </w:tcPr>
          <w:p w14:paraId="4458F6D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0" w:type="dxa"/>
          </w:tcPr>
          <w:p w14:paraId="240228EA" w14:textId="77777777" w:rsidR="00BF18CF" w:rsidRDefault="00E51347">
            <w:r>
              <w:rPr>
                <w:rFonts w:ascii="Consolas" w:eastAsia="Consolas" w:hAnsi="Consolas" w:cs="Consolas"/>
                <w:sz w:val="22"/>
                <w:szCs w:val="22"/>
                <w:shd w:val="clear" w:color="auto" w:fill="EAEEF3"/>
              </w:rPr>
              <w:t>E39_Actant</w:t>
            </w:r>
          </w:p>
        </w:tc>
      </w:tr>
      <w:tr w:rsidR="00BF18CF" w14:paraId="1CFE9E77" w14:textId="77777777" w:rsidTr="00BF18CF">
        <w:tc>
          <w:tcPr>
            <w:tcW w:w="1880" w:type="dxa"/>
          </w:tcPr>
          <w:p w14:paraId="4B31FB8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0" w:type="dxa"/>
          </w:tcPr>
          <w:p w14:paraId="578B7B1B"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P11_a_eu_pour_actant_participant (a_participé_à)</w:t>
            </w:r>
            <w:r>
              <w:t xml:space="preserve"> : </w:t>
            </w:r>
            <w:r>
              <w:rPr>
                <w:rFonts w:ascii="Consolas" w:eastAsia="Consolas" w:hAnsi="Consolas" w:cs="Consolas"/>
                <w:sz w:val="22"/>
                <w:szCs w:val="22"/>
                <w:shd w:val="clear" w:color="auto" w:fill="EAEEF3"/>
              </w:rPr>
              <w:t>E39_Actant</w:t>
            </w:r>
          </w:p>
        </w:tc>
      </w:tr>
      <w:tr w:rsidR="00BF18CF" w14:paraId="4826DD68" w14:textId="77777777" w:rsidTr="00BF18CF">
        <w:tc>
          <w:tcPr>
            <w:tcW w:w="1880" w:type="dxa"/>
          </w:tcPr>
          <w:p w14:paraId="6F120508"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0" w:type="dxa"/>
          </w:tcPr>
          <w:p w14:paraId="215800E4" w14:textId="77777777" w:rsidR="00BF18CF" w:rsidRDefault="00BF18CF">
            <w:pPr>
              <w:pBdr>
                <w:top w:val="nil"/>
                <w:left w:val="nil"/>
                <w:bottom w:val="nil"/>
                <w:right w:val="nil"/>
                <w:between w:val="nil"/>
              </w:pBdr>
              <w:spacing w:before="36" w:after="36"/>
              <w:rPr>
                <w:color w:val="000000"/>
              </w:rPr>
            </w:pPr>
          </w:p>
        </w:tc>
      </w:tr>
      <w:tr w:rsidR="00BF18CF" w14:paraId="5752C0B0" w14:textId="77777777" w:rsidTr="00BF18CF">
        <w:tc>
          <w:tcPr>
            <w:tcW w:w="1880" w:type="dxa"/>
          </w:tcPr>
          <w:p w14:paraId="1608A99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0" w:type="dxa"/>
          </w:tcPr>
          <w:p w14:paraId="655DB76D" w14:textId="77777777" w:rsidR="00BF18CF" w:rsidRDefault="00E51347">
            <w:proofErr w:type="gramStart"/>
            <w:r>
              <w:t>plusieurs</w:t>
            </w:r>
            <w:proofErr w:type="gramEnd"/>
            <w:r>
              <w:t xml:space="preserve"> à plusieurs, nécessaire (1,n:0,n)</w:t>
            </w:r>
          </w:p>
        </w:tc>
      </w:tr>
      <w:tr w:rsidR="00BF18CF" w14:paraId="63FE60BA" w14:textId="77777777" w:rsidTr="00BF18CF">
        <w:tc>
          <w:tcPr>
            <w:tcW w:w="1880" w:type="dxa"/>
          </w:tcPr>
          <w:p w14:paraId="1CB715F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0" w:type="dxa"/>
          </w:tcPr>
          <w:p w14:paraId="36D1E857" w14:textId="77777777" w:rsidR="00BF18CF" w:rsidRDefault="00E51347">
            <w:r>
              <w:t xml:space="preserve">Cette propriété identifie l’instance de </w:t>
            </w:r>
            <w:r>
              <w:rPr>
                <w:rFonts w:ascii="Consolas" w:eastAsia="Consolas" w:hAnsi="Consolas" w:cs="Consolas"/>
                <w:sz w:val="22"/>
                <w:szCs w:val="22"/>
                <w:shd w:val="clear" w:color="auto" w:fill="EAEEF3"/>
              </w:rPr>
              <w:t>E39_Actant</w:t>
            </w:r>
            <w:r>
              <w:t xml:space="preserve"> qui devient membre d’une instance de </w:t>
            </w:r>
            <w:r>
              <w:rPr>
                <w:rFonts w:ascii="Consolas" w:eastAsia="Consolas" w:hAnsi="Consolas" w:cs="Consolas"/>
                <w:sz w:val="22"/>
                <w:szCs w:val="22"/>
                <w:shd w:val="clear" w:color="auto" w:fill="EAEEF3"/>
              </w:rPr>
              <w:t>E74_Groupe</w:t>
            </w:r>
            <w:r>
              <w:t xml:space="preserve"> par l’intermédiaire d’une instance de </w:t>
            </w:r>
            <w:r>
              <w:rPr>
                <w:rFonts w:ascii="Consolas" w:eastAsia="Consolas" w:hAnsi="Consolas" w:cs="Consolas"/>
                <w:sz w:val="22"/>
                <w:szCs w:val="22"/>
                <w:shd w:val="clear" w:color="auto" w:fill="EAEEF3"/>
              </w:rPr>
              <w:t>E85_Adhésion</w:t>
            </w:r>
            <w:r>
              <w:t>.</w:t>
            </w:r>
          </w:p>
          <w:p w14:paraId="2DCB1C03" w14:textId="77777777" w:rsidR="00BF18CF" w:rsidRDefault="00E51347">
            <w:r>
              <w:t xml:space="preserve">Les évènements d’adhésion permettent de décrire des personnes devenant membres d’un groupe avec le chemin sémantique plus détaillé </w:t>
            </w:r>
            <w:r>
              <w:rPr>
                <w:rFonts w:ascii="Consolas" w:eastAsia="Consolas" w:hAnsi="Consolas" w:cs="Consolas"/>
                <w:sz w:val="22"/>
                <w:szCs w:val="22"/>
                <w:shd w:val="clear" w:color="auto" w:fill="EAEEF3"/>
              </w:rPr>
              <w:t>E74_Groupe</w:t>
            </w:r>
            <w:r>
              <w:t xml:space="preserve">, </w:t>
            </w:r>
            <w:r>
              <w:rPr>
                <w:rFonts w:ascii="Consolas" w:eastAsia="Consolas" w:hAnsi="Consolas" w:cs="Consolas"/>
                <w:sz w:val="22"/>
                <w:szCs w:val="22"/>
                <w:shd w:val="clear" w:color="auto" w:fill="EAEEF3"/>
              </w:rPr>
              <w:t>P144i_a_accueilli_le_membre_par</w:t>
            </w:r>
            <w:r>
              <w:t xml:space="preserve">, </w:t>
            </w:r>
            <w:r>
              <w:rPr>
                <w:rFonts w:ascii="Consolas" w:eastAsia="Consolas" w:hAnsi="Consolas" w:cs="Consolas"/>
                <w:sz w:val="22"/>
                <w:szCs w:val="22"/>
                <w:shd w:val="clear" w:color="auto" w:fill="EAEEF3"/>
              </w:rPr>
              <w:t>E85_Adhésion</w:t>
            </w:r>
            <w:r>
              <w:t xml:space="preserve">, </w:t>
            </w:r>
            <w:r>
              <w:rPr>
                <w:rFonts w:ascii="Consolas" w:eastAsia="Consolas" w:hAnsi="Consolas" w:cs="Consolas"/>
                <w:sz w:val="22"/>
                <w:szCs w:val="22"/>
                <w:shd w:val="clear" w:color="auto" w:fill="EAEEF3"/>
              </w:rPr>
              <w:t>P143_a_fait_adhérer</w:t>
            </w:r>
            <w:r>
              <w:t xml:space="preserve">, </w:t>
            </w:r>
            <w:r>
              <w:rPr>
                <w:rFonts w:ascii="Consolas" w:eastAsia="Consolas" w:hAnsi="Consolas" w:cs="Consolas"/>
                <w:sz w:val="22"/>
                <w:szCs w:val="22"/>
                <w:shd w:val="clear" w:color="auto" w:fill="EAEEF3"/>
              </w:rPr>
              <w:t>E39_Actant</w:t>
            </w:r>
            <w:r>
              <w:t xml:space="preserve">, en comparaison du raccourci possible </w:t>
            </w:r>
            <w:r>
              <w:rPr>
                <w:rFonts w:ascii="Consolas" w:eastAsia="Consolas" w:hAnsi="Consolas" w:cs="Consolas"/>
                <w:sz w:val="22"/>
                <w:szCs w:val="22"/>
                <w:shd w:val="clear" w:color="auto" w:fill="EAEEF3"/>
              </w:rPr>
              <w:t>P107_a_pour_membre_actuel_ou_antérieur (est_le_membre_actuel_ou_antérieur_de)</w:t>
            </w:r>
            <w:r>
              <w:t>.</w:t>
            </w:r>
          </w:p>
        </w:tc>
      </w:tr>
      <w:tr w:rsidR="00BF18CF" w14:paraId="1781266F" w14:textId="77777777" w:rsidTr="00BF18CF">
        <w:tc>
          <w:tcPr>
            <w:tcW w:w="1880" w:type="dxa"/>
          </w:tcPr>
          <w:p w14:paraId="30D19DE8"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10" w:type="dxa"/>
          </w:tcPr>
          <w:p w14:paraId="74A39B0E" w14:textId="77777777" w:rsidR="00BF18CF" w:rsidRDefault="00E51347">
            <w:pPr>
              <w:numPr>
                <w:ilvl w:val="0"/>
                <w:numId w:val="19"/>
              </w:numPr>
            </w:pPr>
            <w:r>
              <w:t>L’élection de Sir Isaac Newton en tant que membre du Parlement d’Angleterre à la convention du Parlement de 1689 (</w:t>
            </w:r>
            <w:r>
              <w:rPr>
                <w:rFonts w:ascii="Consolas" w:eastAsia="Consolas" w:hAnsi="Consolas" w:cs="Consolas"/>
                <w:sz w:val="22"/>
                <w:szCs w:val="22"/>
                <w:shd w:val="clear" w:color="auto" w:fill="EAEEF3"/>
              </w:rPr>
              <w:t>E85_Adhésion</w:t>
            </w:r>
            <w:r>
              <w:t>) a fait adhérer (</w:t>
            </w:r>
            <w:r>
              <w:rPr>
                <w:rFonts w:ascii="Consolas" w:eastAsia="Consolas" w:hAnsi="Consolas" w:cs="Consolas"/>
                <w:sz w:val="22"/>
                <w:szCs w:val="22"/>
                <w:shd w:val="clear" w:color="auto" w:fill="EAEEF3"/>
              </w:rPr>
              <w:t>P143_a_fait_adhérer</w:t>
            </w:r>
            <w:r>
              <w:t>) Sir Isaac Newton (</w:t>
            </w:r>
            <w:r>
              <w:rPr>
                <w:rFonts w:ascii="Consolas" w:eastAsia="Consolas" w:hAnsi="Consolas" w:cs="Consolas"/>
                <w:sz w:val="22"/>
                <w:szCs w:val="22"/>
                <w:shd w:val="clear" w:color="auto" w:fill="EAEEF3"/>
              </w:rPr>
              <w:t>E21_Personne</w:t>
            </w:r>
            <w:r>
              <w:t>) (Iliffe, 2013)</w:t>
            </w:r>
          </w:p>
          <w:p w14:paraId="438056C1" w14:textId="77777777" w:rsidR="00BF18CF" w:rsidRDefault="00E51347">
            <w:pPr>
              <w:numPr>
                <w:ilvl w:val="0"/>
                <w:numId w:val="19"/>
              </w:numPr>
            </w:pPr>
            <w:r>
              <w:t>L’investiture de Mikhaïl Sergueïevitch Gorbatchev en tant que dirigeant de l’Union des républiques socialistes soviétiques (URSS) en 1985 (</w:t>
            </w:r>
            <w:r>
              <w:rPr>
                <w:rFonts w:ascii="Consolas" w:eastAsia="Consolas" w:hAnsi="Consolas" w:cs="Consolas"/>
                <w:sz w:val="22"/>
                <w:szCs w:val="22"/>
                <w:shd w:val="clear" w:color="auto" w:fill="EAEEF3"/>
              </w:rPr>
              <w:t>E85_Adhésion</w:t>
            </w:r>
            <w:r>
              <w:t>) a fait adhérer (</w:t>
            </w:r>
            <w:r>
              <w:rPr>
                <w:rFonts w:ascii="Consolas" w:eastAsia="Consolas" w:hAnsi="Consolas" w:cs="Consolas"/>
                <w:sz w:val="22"/>
                <w:szCs w:val="22"/>
                <w:shd w:val="clear" w:color="auto" w:fill="EAEEF3"/>
              </w:rPr>
              <w:t>P143_a_fait_adhérer</w:t>
            </w:r>
            <w:r>
              <w:t>) Mikhail Sergeyevich Gorbachev (</w:t>
            </w:r>
            <w:r>
              <w:rPr>
                <w:rFonts w:ascii="Consolas" w:eastAsia="Consolas" w:hAnsi="Consolas" w:cs="Consolas"/>
                <w:sz w:val="22"/>
                <w:szCs w:val="22"/>
                <w:shd w:val="clear" w:color="auto" w:fill="EAEEF3"/>
              </w:rPr>
              <w:t>E21_Personne</w:t>
            </w:r>
            <w:r>
              <w:t>) (Galeotti, 1997)</w:t>
            </w:r>
          </w:p>
          <w:p w14:paraId="2D8D0EE5" w14:textId="77777777" w:rsidR="00BF18CF" w:rsidRDefault="00E51347">
            <w:pPr>
              <w:numPr>
                <w:ilvl w:val="0"/>
                <w:numId w:val="19"/>
              </w:numPr>
            </w:pPr>
            <w:r>
              <w:t>La mise en application du traité d’adhésion du Danemark à la Communauté économique européenne le 1er janvier 1973 (</w:t>
            </w:r>
            <w:r>
              <w:rPr>
                <w:rFonts w:ascii="Consolas" w:eastAsia="Consolas" w:hAnsi="Consolas" w:cs="Consolas"/>
                <w:sz w:val="22"/>
                <w:szCs w:val="22"/>
                <w:shd w:val="clear" w:color="auto" w:fill="EAEEF3"/>
              </w:rPr>
              <w:t>E85_Adhésion</w:t>
            </w:r>
            <w:r>
              <w:t>) a fait adhérer (</w:t>
            </w:r>
            <w:r>
              <w:rPr>
                <w:rFonts w:ascii="Consolas" w:eastAsia="Consolas" w:hAnsi="Consolas" w:cs="Consolas"/>
                <w:sz w:val="22"/>
                <w:szCs w:val="22"/>
                <w:shd w:val="clear" w:color="auto" w:fill="EAEEF3"/>
              </w:rPr>
              <w:t>P143_a_fait_adhérer</w:t>
            </w:r>
            <w:r>
              <w:t>) le Danemark (</w:t>
            </w:r>
            <w:r>
              <w:rPr>
                <w:rFonts w:ascii="Consolas" w:eastAsia="Consolas" w:hAnsi="Consolas" w:cs="Consolas"/>
                <w:sz w:val="22"/>
                <w:szCs w:val="22"/>
                <w:shd w:val="clear" w:color="auto" w:fill="EAEEF3"/>
              </w:rPr>
              <w:t>E74_Groupe</w:t>
            </w:r>
            <w:r>
              <w:t>) à la Communauté économique européenne.</w:t>
            </w:r>
          </w:p>
        </w:tc>
      </w:tr>
      <w:tr w:rsidR="00BF18CF" w14:paraId="616B217E" w14:textId="77777777" w:rsidTr="00BF18CF">
        <w:tc>
          <w:tcPr>
            <w:tcW w:w="1880" w:type="dxa"/>
          </w:tcPr>
          <w:p w14:paraId="50AC2F7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0" w:type="dxa"/>
          </w:tcPr>
          <w:p w14:paraId="78A6ACF7" w14:textId="77777777" w:rsidR="00BF18CF" w:rsidRDefault="00E51347">
            <w:r>
              <w:t>P143(</w:t>
            </w:r>
            <w:proofErr w:type="gramStart"/>
            <w:r>
              <w:t>x,y</w:t>
            </w:r>
            <w:proofErr w:type="gramEnd"/>
            <w:r>
              <w:t>) ⇒ E85(x)</w:t>
            </w:r>
          </w:p>
          <w:p w14:paraId="2D4688C7" w14:textId="77777777" w:rsidR="00BF18CF" w:rsidRDefault="00E51347">
            <w:r>
              <w:t>P143(</w:t>
            </w:r>
            <w:proofErr w:type="gramStart"/>
            <w:r>
              <w:t>x,y</w:t>
            </w:r>
            <w:proofErr w:type="gramEnd"/>
            <w:r>
              <w:t>) ⇒ E39(y)</w:t>
            </w:r>
          </w:p>
          <w:p w14:paraId="05F9F650" w14:textId="77777777" w:rsidR="00BF18CF" w:rsidRDefault="00E51347">
            <w:r>
              <w:t>P143(</w:t>
            </w:r>
            <w:proofErr w:type="gramStart"/>
            <w:r>
              <w:t>x,y</w:t>
            </w:r>
            <w:proofErr w:type="gramEnd"/>
            <w:r>
              <w:t>) ⇒ P11(x,y)</w:t>
            </w:r>
          </w:p>
        </w:tc>
      </w:tr>
      <w:tr w:rsidR="00BF18CF" w14:paraId="16C99799" w14:textId="77777777" w:rsidTr="00BF18CF">
        <w:tc>
          <w:tcPr>
            <w:tcW w:w="1880" w:type="dxa"/>
          </w:tcPr>
          <w:p w14:paraId="65F0D51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0" w:type="dxa"/>
          </w:tcPr>
          <w:p w14:paraId="632B7F90" w14:textId="77777777" w:rsidR="00BF18CF" w:rsidRDefault="00BF18CF">
            <w:pPr>
              <w:pBdr>
                <w:top w:val="nil"/>
                <w:left w:val="nil"/>
                <w:bottom w:val="nil"/>
                <w:right w:val="nil"/>
                <w:between w:val="nil"/>
              </w:pBdr>
              <w:spacing w:before="36" w:after="36"/>
              <w:rPr>
                <w:color w:val="000000"/>
              </w:rPr>
            </w:pPr>
          </w:p>
        </w:tc>
      </w:tr>
      <w:tr w:rsidR="00BF18CF" w14:paraId="544B7ACD" w14:textId="77777777" w:rsidTr="00BF18CF">
        <w:tc>
          <w:tcPr>
            <w:tcW w:w="1880" w:type="dxa"/>
          </w:tcPr>
          <w:p w14:paraId="4EC98BB8" w14:textId="48B2E67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0" w:type="dxa"/>
          </w:tcPr>
          <w:p w14:paraId="2501E218" w14:textId="77777777" w:rsidR="00BF18CF" w:rsidRDefault="00E51347">
            <w:r w:rsidRPr="00EE61A5">
              <w:rPr>
                <w:lang w:val="en-CA"/>
              </w:rPr>
              <w:t xml:space="preserve">Dans la phrase « The implementation of the membership treaty January 1. </w:t>
            </w:r>
            <w:r>
              <w:t xml:space="preserve">1973 between EU and Denmark (E85) </w:t>
            </w:r>
            <w:r>
              <w:rPr>
                <w:i/>
              </w:rPr>
              <w:t>joined</w:t>
            </w:r>
            <w:r>
              <w:t xml:space="preserve"> Denmark (E74) », « EU » a été traduit par « Communauté économique européenne », l’Union Européenne n’existant pas en 1973.</w:t>
            </w:r>
          </w:p>
        </w:tc>
      </w:tr>
      <w:tr w:rsidR="00BF18CF" w14:paraId="01AD7257" w14:textId="77777777" w:rsidTr="00BF18CF">
        <w:tc>
          <w:tcPr>
            <w:tcW w:w="1880" w:type="dxa"/>
          </w:tcPr>
          <w:p w14:paraId="6EB2DA4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0" w:type="dxa"/>
          </w:tcPr>
          <w:p w14:paraId="5E6C7410" w14:textId="77777777" w:rsidR="00BF18CF" w:rsidRDefault="00BF18CF">
            <w:pPr>
              <w:pBdr>
                <w:top w:val="nil"/>
                <w:left w:val="nil"/>
                <w:bottom w:val="nil"/>
                <w:right w:val="nil"/>
                <w:between w:val="nil"/>
              </w:pBdr>
              <w:spacing w:before="36" w:after="36"/>
              <w:rPr>
                <w:color w:val="000000"/>
              </w:rPr>
            </w:pPr>
          </w:p>
        </w:tc>
      </w:tr>
    </w:tbl>
    <w:p w14:paraId="760835FD" w14:textId="77777777" w:rsidR="00BF18CF" w:rsidRDefault="00E51347">
      <w:pPr>
        <w:pStyle w:val="Heading3"/>
      </w:pPr>
      <w:bookmarkStart w:id="501" w:name="bookmark=id.23muvy2" w:colFirst="0" w:colLast="0"/>
      <w:bookmarkStart w:id="502" w:name="_Toc144360994"/>
      <w:bookmarkEnd w:id="501"/>
      <w:r>
        <w:t>P144 a fait adhérer à (a accueilli le membre par)</w:t>
      </w:r>
      <w:bookmarkEnd w:id="502"/>
    </w:p>
    <w:tbl>
      <w:tblPr>
        <w:tblStyle w:val="affffff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0"/>
        <w:gridCol w:w="8810"/>
      </w:tblGrid>
      <w:tr w:rsidR="00BF18CF" w14:paraId="48F237A8" w14:textId="77777777" w:rsidTr="00BF18CF">
        <w:tc>
          <w:tcPr>
            <w:tcW w:w="1880" w:type="dxa"/>
          </w:tcPr>
          <w:p w14:paraId="340C289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0" w:type="dxa"/>
          </w:tcPr>
          <w:p w14:paraId="517D249B" w14:textId="77777777" w:rsidR="00BF18CF" w:rsidRDefault="00E51347">
            <w:r>
              <w:rPr>
                <w:rFonts w:ascii="Consolas" w:eastAsia="Consolas" w:hAnsi="Consolas" w:cs="Consolas"/>
                <w:sz w:val="22"/>
                <w:szCs w:val="22"/>
                <w:shd w:val="clear" w:color="auto" w:fill="EAEEF3"/>
              </w:rPr>
              <w:t>E85_Adhésion</w:t>
            </w:r>
          </w:p>
        </w:tc>
      </w:tr>
      <w:tr w:rsidR="00BF18CF" w14:paraId="7C4C8E50" w14:textId="77777777" w:rsidTr="00BF18CF">
        <w:tc>
          <w:tcPr>
            <w:tcW w:w="1880" w:type="dxa"/>
          </w:tcPr>
          <w:p w14:paraId="0F4E10B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0" w:type="dxa"/>
          </w:tcPr>
          <w:p w14:paraId="40E3C014" w14:textId="77777777" w:rsidR="00BF18CF" w:rsidRDefault="00E51347">
            <w:r>
              <w:rPr>
                <w:rFonts w:ascii="Consolas" w:eastAsia="Consolas" w:hAnsi="Consolas" w:cs="Consolas"/>
                <w:sz w:val="22"/>
                <w:szCs w:val="22"/>
                <w:shd w:val="clear" w:color="auto" w:fill="EAEEF3"/>
              </w:rPr>
              <w:t>E74_Groupe</w:t>
            </w:r>
          </w:p>
        </w:tc>
      </w:tr>
      <w:tr w:rsidR="00BF18CF" w14:paraId="35A2F3AC" w14:textId="77777777" w:rsidTr="00BF18CF">
        <w:tc>
          <w:tcPr>
            <w:tcW w:w="1880" w:type="dxa"/>
          </w:tcPr>
          <w:p w14:paraId="1FFC851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0" w:type="dxa"/>
          </w:tcPr>
          <w:p w14:paraId="358B21F8"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P11_a_eu_pour_actant_participant (a_participé_à)</w:t>
            </w:r>
            <w:r>
              <w:t xml:space="preserve"> : </w:t>
            </w:r>
            <w:r>
              <w:rPr>
                <w:rFonts w:ascii="Consolas" w:eastAsia="Consolas" w:hAnsi="Consolas" w:cs="Consolas"/>
                <w:sz w:val="22"/>
                <w:szCs w:val="22"/>
                <w:shd w:val="clear" w:color="auto" w:fill="EAEEF3"/>
              </w:rPr>
              <w:t>E39_Actant</w:t>
            </w:r>
          </w:p>
        </w:tc>
      </w:tr>
      <w:tr w:rsidR="00BF18CF" w14:paraId="6C508460" w14:textId="77777777" w:rsidTr="00BF18CF">
        <w:tc>
          <w:tcPr>
            <w:tcW w:w="1880" w:type="dxa"/>
          </w:tcPr>
          <w:p w14:paraId="476AD963"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0" w:type="dxa"/>
          </w:tcPr>
          <w:p w14:paraId="692284E0" w14:textId="77777777" w:rsidR="00BF18CF" w:rsidRDefault="00BF18CF">
            <w:pPr>
              <w:pBdr>
                <w:top w:val="nil"/>
                <w:left w:val="nil"/>
                <w:bottom w:val="nil"/>
                <w:right w:val="nil"/>
                <w:between w:val="nil"/>
              </w:pBdr>
              <w:spacing w:before="36" w:after="36"/>
              <w:rPr>
                <w:color w:val="000000"/>
              </w:rPr>
            </w:pPr>
          </w:p>
        </w:tc>
      </w:tr>
      <w:tr w:rsidR="00BF18CF" w14:paraId="305833FD" w14:textId="77777777" w:rsidTr="00BF18CF">
        <w:tc>
          <w:tcPr>
            <w:tcW w:w="1880" w:type="dxa"/>
          </w:tcPr>
          <w:p w14:paraId="67F35281"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0" w:type="dxa"/>
          </w:tcPr>
          <w:p w14:paraId="7CB113F9" w14:textId="77777777" w:rsidR="00BF18CF" w:rsidRDefault="00E51347">
            <w:proofErr w:type="gramStart"/>
            <w:r>
              <w:t>plusieurs</w:t>
            </w:r>
            <w:proofErr w:type="gramEnd"/>
            <w:r>
              <w:t xml:space="preserve"> à plusieurs, nécessaire (1,n:0,n)</w:t>
            </w:r>
          </w:p>
        </w:tc>
      </w:tr>
      <w:tr w:rsidR="00BF18CF" w14:paraId="2A4A8612" w14:textId="77777777" w:rsidTr="00BF18CF">
        <w:tc>
          <w:tcPr>
            <w:tcW w:w="1880" w:type="dxa"/>
          </w:tcPr>
          <w:p w14:paraId="42CF468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0" w:type="dxa"/>
          </w:tcPr>
          <w:p w14:paraId="24D280AB" w14:textId="77777777" w:rsidR="00BF18CF" w:rsidRDefault="00E51347">
            <w:r>
              <w:t xml:space="preserve">Cette propriété identifie l’instance de </w:t>
            </w:r>
            <w:r>
              <w:rPr>
                <w:rFonts w:ascii="Consolas" w:eastAsia="Consolas" w:hAnsi="Consolas" w:cs="Consolas"/>
                <w:sz w:val="22"/>
                <w:szCs w:val="22"/>
                <w:shd w:val="clear" w:color="auto" w:fill="EAEEF3"/>
              </w:rPr>
              <w:t>E74_Groupe</w:t>
            </w:r>
            <w:r>
              <w:t xml:space="preserve"> dont une instance de </w:t>
            </w:r>
            <w:r>
              <w:rPr>
                <w:rFonts w:ascii="Consolas" w:eastAsia="Consolas" w:hAnsi="Consolas" w:cs="Consolas"/>
                <w:sz w:val="22"/>
                <w:szCs w:val="22"/>
                <w:shd w:val="clear" w:color="auto" w:fill="EAEEF3"/>
              </w:rPr>
              <w:t>E39_Actant</w:t>
            </w:r>
            <w:r>
              <w:t xml:space="preserve"> devient membre par l'intermédiaire d'une instance de </w:t>
            </w:r>
            <w:r>
              <w:rPr>
                <w:rFonts w:ascii="Consolas" w:eastAsia="Consolas" w:hAnsi="Consolas" w:cs="Consolas"/>
                <w:sz w:val="22"/>
                <w:szCs w:val="22"/>
                <w:shd w:val="clear" w:color="auto" w:fill="EAEEF3"/>
              </w:rPr>
              <w:t>E85_Adhésion</w:t>
            </w:r>
            <w:r>
              <w:t>.</w:t>
            </w:r>
          </w:p>
          <w:p w14:paraId="3A9ED3BF" w14:textId="77777777" w:rsidR="00BF18CF" w:rsidRDefault="00E51347">
            <w:r>
              <w:t xml:space="preserve">Bien qu'une activité d'adhésion ne concerne normalement qu'une seule instance de </w:t>
            </w:r>
            <w:r>
              <w:rPr>
                <w:rFonts w:ascii="Consolas" w:eastAsia="Consolas" w:hAnsi="Consolas" w:cs="Consolas"/>
                <w:sz w:val="22"/>
                <w:szCs w:val="22"/>
                <w:shd w:val="clear" w:color="auto" w:fill="EAEEF3"/>
              </w:rPr>
              <w:t>E74_Groupe</w:t>
            </w:r>
            <w:r>
              <w:t>, il est possible d'imaginer des circonstances selon lesquelles devenir membre d'un groupe implique également de devenir membre d'un autre groupe.</w:t>
            </w:r>
          </w:p>
          <w:p w14:paraId="7A2E25FE" w14:textId="77777777" w:rsidR="00BF18CF" w:rsidRDefault="00E51347">
            <w:r>
              <w:t xml:space="preserve">Les évènements d'adhésion permettent de décrire les personnes qui deviennent membres d'un groupe avec le chemin sémantique plus détaillé </w:t>
            </w:r>
            <w:r>
              <w:rPr>
                <w:rFonts w:ascii="Consolas" w:eastAsia="Consolas" w:hAnsi="Consolas" w:cs="Consolas"/>
                <w:sz w:val="22"/>
                <w:szCs w:val="22"/>
                <w:shd w:val="clear" w:color="auto" w:fill="EAEEF3"/>
              </w:rPr>
              <w:t>E74_Groupe</w:t>
            </w:r>
            <w:r>
              <w:t xml:space="preserve">, </w:t>
            </w:r>
            <w:r>
              <w:rPr>
                <w:rFonts w:ascii="Consolas" w:eastAsia="Consolas" w:hAnsi="Consolas" w:cs="Consolas"/>
                <w:sz w:val="22"/>
                <w:szCs w:val="22"/>
                <w:shd w:val="clear" w:color="auto" w:fill="EAEEF3"/>
              </w:rPr>
              <w:t>P144i_a_accueilli_le_membre_par</w:t>
            </w:r>
            <w:r>
              <w:t xml:space="preserve">, </w:t>
            </w:r>
            <w:r>
              <w:rPr>
                <w:rFonts w:ascii="Consolas" w:eastAsia="Consolas" w:hAnsi="Consolas" w:cs="Consolas"/>
                <w:sz w:val="22"/>
                <w:szCs w:val="22"/>
                <w:shd w:val="clear" w:color="auto" w:fill="EAEEF3"/>
              </w:rPr>
              <w:t>E85_Adhésion</w:t>
            </w:r>
            <w:r>
              <w:t xml:space="preserve">, </w:t>
            </w:r>
            <w:r>
              <w:rPr>
                <w:rFonts w:ascii="Consolas" w:eastAsia="Consolas" w:hAnsi="Consolas" w:cs="Consolas"/>
                <w:sz w:val="22"/>
                <w:szCs w:val="22"/>
                <w:shd w:val="clear" w:color="auto" w:fill="EAEEF3"/>
              </w:rPr>
              <w:t>P143_a_fait_adhérer</w:t>
            </w:r>
            <w:r>
              <w:t xml:space="preserve">, </w:t>
            </w:r>
            <w:r>
              <w:rPr>
                <w:rFonts w:ascii="Consolas" w:eastAsia="Consolas" w:hAnsi="Consolas" w:cs="Consolas"/>
                <w:sz w:val="22"/>
                <w:szCs w:val="22"/>
                <w:shd w:val="clear" w:color="auto" w:fill="EAEEF3"/>
              </w:rPr>
              <w:t>E39_Actant</w:t>
            </w:r>
            <w:r>
              <w:t xml:space="preserve">, comparativement au raccourci offert par </w:t>
            </w:r>
            <w:r>
              <w:rPr>
                <w:rFonts w:ascii="Consolas" w:eastAsia="Consolas" w:hAnsi="Consolas" w:cs="Consolas"/>
                <w:sz w:val="22"/>
                <w:szCs w:val="22"/>
                <w:shd w:val="clear" w:color="auto" w:fill="EAEEF3"/>
              </w:rPr>
              <w:lastRenderedPageBreak/>
              <w:t>P107_a_pour_membre_actuel_ou_antérieur (est_le_membre_actuel_ou_antérieur_de)</w:t>
            </w:r>
            <w:r>
              <w:t>.</w:t>
            </w:r>
          </w:p>
          <w:p w14:paraId="577478C8" w14:textId="77777777" w:rsidR="00BF18CF" w:rsidRDefault="00E51347">
            <w:r>
              <w:t xml:space="preserve">La propriété </w:t>
            </w:r>
            <w:r>
              <w:rPr>
                <w:rFonts w:ascii="Consolas" w:eastAsia="Consolas" w:hAnsi="Consolas" w:cs="Consolas"/>
                <w:sz w:val="22"/>
                <w:szCs w:val="22"/>
                <w:shd w:val="clear" w:color="auto" w:fill="EAEEF3"/>
              </w:rPr>
              <w:t>P144.1_sorte_de_membre</w:t>
            </w:r>
            <w:r>
              <w:t xml:space="preserve"> peut être utilisée pour spécifier le type d'appartenance ou le rôle du membre dans le groupe.</w:t>
            </w:r>
          </w:p>
        </w:tc>
      </w:tr>
      <w:tr w:rsidR="00BF18CF" w14:paraId="5EC7FE26" w14:textId="77777777" w:rsidTr="00BF18CF">
        <w:tc>
          <w:tcPr>
            <w:tcW w:w="1880" w:type="dxa"/>
          </w:tcPr>
          <w:p w14:paraId="08062C38"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10" w:type="dxa"/>
          </w:tcPr>
          <w:p w14:paraId="6FDB255A" w14:textId="77777777" w:rsidR="00BF18CF" w:rsidRDefault="00E51347">
            <w:pPr>
              <w:numPr>
                <w:ilvl w:val="0"/>
                <w:numId w:val="19"/>
              </w:numPr>
            </w:pPr>
            <w:r>
              <w:t>L’élection de Sir Isaac Newton en tant que membre du Parlement d'Angleterre à la convention du Parlement de 1689 (</w:t>
            </w:r>
            <w:r>
              <w:rPr>
                <w:rFonts w:ascii="Consolas" w:eastAsia="Consolas" w:hAnsi="Consolas" w:cs="Consolas"/>
                <w:sz w:val="22"/>
                <w:szCs w:val="22"/>
                <w:shd w:val="clear" w:color="auto" w:fill="EAEEF3"/>
              </w:rPr>
              <w:t>E85_Adhésion</w:t>
            </w:r>
            <w:r>
              <w:t>) l'a fait adhérer à (</w:t>
            </w:r>
            <w:r>
              <w:rPr>
                <w:rFonts w:ascii="Consolas" w:eastAsia="Consolas" w:hAnsi="Consolas" w:cs="Consolas"/>
                <w:sz w:val="22"/>
                <w:szCs w:val="22"/>
                <w:shd w:val="clear" w:color="auto" w:fill="EAEEF3"/>
              </w:rPr>
              <w:t>P144_a_fait_adhérer_à</w:t>
            </w:r>
            <w:r>
              <w:t>) la convention du Parlement (</w:t>
            </w:r>
            <w:r>
              <w:rPr>
                <w:rFonts w:ascii="Consolas" w:eastAsia="Consolas" w:hAnsi="Consolas" w:cs="Consolas"/>
                <w:sz w:val="22"/>
                <w:szCs w:val="22"/>
                <w:shd w:val="clear" w:color="auto" w:fill="EAEEF3"/>
              </w:rPr>
              <w:t>E74_Groupe</w:t>
            </w:r>
            <w:r>
              <w:t>) (Iliffe, 2013)</w:t>
            </w:r>
          </w:p>
          <w:p w14:paraId="4534D2B3" w14:textId="77777777" w:rsidR="00BF18CF" w:rsidRDefault="00E51347">
            <w:pPr>
              <w:numPr>
                <w:ilvl w:val="0"/>
                <w:numId w:val="19"/>
              </w:numPr>
            </w:pPr>
            <w:r>
              <w:t>L'investiture de Mikhaïl Sergueïevitch Gorbatchev en tant que dirigeant de l’Union des républiques socialistes soviétiques (URSS) en 1985 (</w:t>
            </w:r>
            <w:r>
              <w:rPr>
                <w:rFonts w:ascii="Consolas" w:eastAsia="Consolas" w:hAnsi="Consolas" w:cs="Consolas"/>
                <w:sz w:val="22"/>
                <w:szCs w:val="22"/>
                <w:shd w:val="clear" w:color="auto" w:fill="EAEEF3"/>
              </w:rPr>
              <w:t>E85_Adhésion</w:t>
            </w:r>
            <w:r>
              <w:t>) l'a fait adhérer à (</w:t>
            </w:r>
            <w:r>
              <w:rPr>
                <w:rFonts w:ascii="Consolas" w:eastAsia="Consolas" w:hAnsi="Consolas" w:cs="Consolas"/>
                <w:sz w:val="22"/>
                <w:szCs w:val="22"/>
                <w:shd w:val="clear" w:color="auto" w:fill="EAEEF3"/>
              </w:rPr>
              <w:t>P144_a_fait_adhérer_à</w:t>
            </w:r>
            <w:r>
              <w:t>) l’Union des républiques socialistes soviétiques (URSS) (</w:t>
            </w:r>
            <w:r>
              <w:rPr>
                <w:rFonts w:ascii="Consolas" w:eastAsia="Consolas" w:hAnsi="Consolas" w:cs="Consolas"/>
                <w:sz w:val="22"/>
                <w:szCs w:val="22"/>
                <w:shd w:val="clear" w:color="auto" w:fill="EAEEF3"/>
              </w:rPr>
              <w:t>E74_Groupe</w:t>
            </w:r>
            <w:r>
              <w:t>) avec sorte de membre (</w:t>
            </w:r>
            <w:r>
              <w:rPr>
                <w:rFonts w:ascii="Consolas" w:eastAsia="Consolas" w:hAnsi="Consolas" w:cs="Consolas"/>
                <w:sz w:val="22"/>
                <w:szCs w:val="22"/>
                <w:shd w:val="clear" w:color="auto" w:fill="EAEEF3"/>
              </w:rPr>
              <w:t>P144.1_sorte_de_membre)</w:t>
            </w:r>
            <w:r>
              <w:t xml:space="preserve"> président (Galeotti, 1997)</w:t>
            </w:r>
          </w:p>
          <w:p w14:paraId="1683F12D" w14:textId="77777777" w:rsidR="00BF18CF" w:rsidRDefault="00E51347">
            <w:pPr>
              <w:numPr>
                <w:ilvl w:val="0"/>
                <w:numId w:val="19"/>
              </w:numPr>
            </w:pPr>
            <w:r>
              <w:t>La mise en application du traité d’adhésion du Danemark à la Communauté économique européenne le 1</w:t>
            </w:r>
            <w:r>
              <w:rPr>
                <w:vertAlign w:val="superscript"/>
              </w:rPr>
              <w:t>er</w:t>
            </w:r>
            <w:r>
              <w:t xml:space="preserve"> janvier 1973 (</w:t>
            </w:r>
            <w:r>
              <w:rPr>
                <w:rFonts w:ascii="Consolas" w:eastAsia="Consolas" w:hAnsi="Consolas" w:cs="Consolas"/>
                <w:sz w:val="22"/>
                <w:szCs w:val="22"/>
                <w:shd w:val="clear" w:color="auto" w:fill="EAEEF3"/>
              </w:rPr>
              <w:t>E85_Adhésion</w:t>
            </w:r>
            <w:r>
              <w:t>) l'a fait adhérer à (</w:t>
            </w:r>
            <w:r>
              <w:rPr>
                <w:rFonts w:ascii="Consolas" w:eastAsia="Consolas" w:hAnsi="Consolas" w:cs="Consolas"/>
                <w:sz w:val="22"/>
                <w:szCs w:val="22"/>
                <w:shd w:val="clear" w:color="auto" w:fill="EAEEF3"/>
              </w:rPr>
              <w:t>P144_a_fait_adhérer_à</w:t>
            </w:r>
            <w:r>
              <w:t>) la Communauté économique européenne (</w:t>
            </w:r>
            <w:r>
              <w:rPr>
                <w:rFonts w:ascii="Consolas" w:eastAsia="Consolas" w:hAnsi="Consolas" w:cs="Consolas"/>
                <w:sz w:val="22"/>
                <w:szCs w:val="22"/>
                <w:shd w:val="clear" w:color="auto" w:fill="EAEEF3"/>
              </w:rPr>
              <w:t>E74_Groupe</w:t>
            </w:r>
            <w:r>
              <w:t>)</w:t>
            </w:r>
          </w:p>
        </w:tc>
      </w:tr>
      <w:tr w:rsidR="00BF18CF" w14:paraId="495AABA3" w14:textId="77777777" w:rsidTr="00BF18CF">
        <w:tc>
          <w:tcPr>
            <w:tcW w:w="1880" w:type="dxa"/>
          </w:tcPr>
          <w:p w14:paraId="396DD77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0" w:type="dxa"/>
          </w:tcPr>
          <w:p w14:paraId="45F0AE87" w14:textId="77777777" w:rsidR="00BF18CF" w:rsidRDefault="00E51347">
            <w:r>
              <w:t>P144(</w:t>
            </w:r>
            <w:proofErr w:type="gramStart"/>
            <w:r>
              <w:t>x,y</w:t>
            </w:r>
            <w:proofErr w:type="gramEnd"/>
            <w:r>
              <w:t>) ⇒ E85(x)</w:t>
            </w:r>
          </w:p>
          <w:p w14:paraId="3D643BE6" w14:textId="77777777" w:rsidR="00BF18CF" w:rsidRDefault="00E51347">
            <w:r>
              <w:t>P144(</w:t>
            </w:r>
            <w:proofErr w:type="gramStart"/>
            <w:r>
              <w:t>x,y</w:t>
            </w:r>
            <w:proofErr w:type="gramEnd"/>
            <w:r>
              <w:t>)⇒ E74(y)</w:t>
            </w:r>
          </w:p>
        </w:tc>
      </w:tr>
      <w:tr w:rsidR="00BF18CF" w14:paraId="68EE1D68" w14:textId="77777777" w:rsidTr="00BF18CF">
        <w:tc>
          <w:tcPr>
            <w:tcW w:w="1880" w:type="dxa"/>
          </w:tcPr>
          <w:p w14:paraId="3677783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0" w:type="dxa"/>
          </w:tcPr>
          <w:p w14:paraId="204A9977" w14:textId="77777777" w:rsidR="00BF18CF" w:rsidRDefault="00E51347">
            <w:r>
              <w:rPr>
                <w:rFonts w:ascii="Consolas" w:eastAsia="Consolas" w:hAnsi="Consolas" w:cs="Consolas"/>
                <w:sz w:val="22"/>
                <w:szCs w:val="22"/>
                <w:shd w:val="clear" w:color="auto" w:fill="EAEEF3"/>
              </w:rPr>
              <w:t>P144.1_sorte_de_membre</w:t>
            </w:r>
            <w:r>
              <w:t xml:space="preserve"> : </w:t>
            </w:r>
            <w:r>
              <w:rPr>
                <w:rFonts w:ascii="Consolas" w:eastAsia="Consolas" w:hAnsi="Consolas" w:cs="Consolas"/>
                <w:sz w:val="22"/>
                <w:szCs w:val="22"/>
                <w:shd w:val="clear" w:color="auto" w:fill="EAEEF3"/>
              </w:rPr>
              <w:t>E55_Type</w:t>
            </w:r>
          </w:p>
        </w:tc>
      </w:tr>
      <w:tr w:rsidR="00BF18CF" w14:paraId="5506F753" w14:textId="77777777" w:rsidTr="00BF18CF">
        <w:tc>
          <w:tcPr>
            <w:tcW w:w="1880" w:type="dxa"/>
          </w:tcPr>
          <w:p w14:paraId="11EAFAF2" w14:textId="1B58522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0" w:type="dxa"/>
          </w:tcPr>
          <w:p w14:paraId="7EA9D96C" w14:textId="77777777" w:rsidR="00BF18CF" w:rsidRDefault="00BF18CF">
            <w:pPr>
              <w:pBdr>
                <w:top w:val="nil"/>
                <w:left w:val="nil"/>
                <w:bottom w:val="nil"/>
                <w:right w:val="nil"/>
                <w:between w:val="nil"/>
              </w:pBdr>
              <w:spacing w:before="36" w:after="36"/>
              <w:rPr>
                <w:color w:val="000000"/>
              </w:rPr>
            </w:pPr>
          </w:p>
        </w:tc>
      </w:tr>
      <w:tr w:rsidR="00BF18CF" w14:paraId="21ECFE4E" w14:textId="77777777" w:rsidTr="00BF18CF">
        <w:tc>
          <w:tcPr>
            <w:tcW w:w="1880" w:type="dxa"/>
          </w:tcPr>
          <w:p w14:paraId="074B04F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0" w:type="dxa"/>
          </w:tcPr>
          <w:p w14:paraId="640B55F2" w14:textId="77777777" w:rsidR="00BF18CF" w:rsidRDefault="00BF18CF">
            <w:pPr>
              <w:pBdr>
                <w:top w:val="nil"/>
                <w:left w:val="nil"/>
                <w:bottom w:val="nil"/>
                <w:right w:val="nil"/>
                <w:between w:val="nil"/>
              </w:pBdr>
              <w:spacing w:before="36" w:after="36"/>
              <w:rPr>
                <w:color w:val="000000"/>
              </w:rPr>
            </w:pPr>
          </w:p>
        </w:tc>
      </w:tr>
    </w:tbl>
    <w:p w14:paraId="1BE4C490" w14:textId="77777777" w:rsidR="00BF18CF" w:rsidRDefault="00E51347">
      <w:pPr>
        <w:pStyle w:val="Heading3"/>
      </w:pPr>
      <w:bookmarkStart w:id="503" w:name="bookmark=id.is565v" w:colFirst="0" w:colLast="0"/>
      <w:bookmarkStart w:id="504" w:name="_Toc144360995"/>
      <w:bookmarkEnd w:id="503"/>
      <w:r>
        <w:t>P145 a dissocié (est dissocié par)</w:t>
      </w:r>
      <w:bookmarkEnd w:id="504"/>
    </w:p>
    <w:tbl>
      <w:tblPr>
        <w:tblStyle w:val="affffff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0"/>
        <w:gridCol w:w="8760"/>
      </w:tblGrid>
      <w:tr w:rsidR="00BF18CF" w14:paraId="562AE50D" w14:textId="77777777" w:rsidTr="00BF18CF">
        <w:tc>
          <w:tcPr>
            <w:tcW w:w="1930" w:type="dxa"/>
          </w:tcPr>
          <w:p w14:paraId="3255941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60" w:type="dxa"/>
          </w:tcPr>
          <w:p w14:paraId="181E1C28" w14:textId="77777777" w:rsidR="00BF18CF" w:rsidRDefault="00E51347">
            <w:r>
              <w:rPr>
                <w:rFonts w:ascii="Consolas" w:eastAsia="Consolas" w:hAnsi="Consolas" w:cs="Consolas"/>
                <w:sz w:val="22"/>
                <w:szCs w:val="22"/>
                <w:shd w:val="clear" w:color="auto" w:fill="EAEEF3"/>
              </w:rPr>
              <w:t>E86_Départ</w:t>
            </w:r>
          </w:p>
        </w:tc>
      </w:tr>
      <w:tr w:rsidR="00BF18CF" w14:paraId="4C2094B3" w14:textId="77777777" w:rsidTr="00BF18CF">
        <w:tc>
          <w:tcPr>
            <w:tcW w:w="1930" w:type="dxa"/>
          </w:tcPr>
          <w:p w14:paraId="46A1F83E"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60" w:type="dxa"/>
          </w:tcPr>
          <w:p w14:paraId="4EBD382A" w14:textId="77777777" w:rsidR="00BF18CF" w:rsidRDefault="00E51347">
            <w:r>
              <w:rPr>
                <w:rFonts w:ascii="Consolas" w:eastAsia="Consolas" w:hAnsi="Consolas" w:cs="Consolas"/>
                <w:sz w:val="22"/>
                <w:szCs w:val="22"/>
                <w:shd w:val="clear" w:color="auto" w:fill="EAEEF3"/>
              </w:rPr>
              <w:t>E39_Actant</w:t>
            </w:r>
          </w:p>
        </w:tc>
      </w:tr>
      <w:tr w:rsidR="00BF18CF" w14:paraId="0B0CE4F7" w14:textId="77777777" w:rsidTr="00BF18CF">
        <w:tc>
          <w:tcPr>
            <w:tcW w:w="1930" w:type="dxa"/>
          </w:tcPr>
          <w:p w14:paraId="18F5710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60" w:type="dxa"/>
          </w:tcPr>
          <w:p w14:paraId="1AFD8610"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P11_a_eu_pour_actant_participant (a_participé_à)</w:t>
            </w:r>
            <w:r>
              <w:t xml:space="preserve"> : </w:t>
            </w:r>
            <w:r>
              <w:rPr>
                <w:rFonts w:ascii="Consolas" w:eastAsia="Consolas" w:hAnsi="Consolas" w:cs="Consolas"/>
                <w:sz w:val="22"/>
                <w:szCs w:val="22"/>
                <w:shd w:val="clear" w:color="auto" w:fill="EAEEF3"/>
              </w:rPr>
              <w:t>E39_Actant</w:t>
            </w:r>
          </w:p>
        </w:tc>
      </w:tr>
      <w:tr w:rsidR="00BF18CF" w14:paraId="5D290057" w14:textId="77777777" w:rsidTr="00BF18CF">
        <w:tc>
          <w:tcPr>
            <w:tcW w:w="1930" w:type="dxa"/>
          </w:tcPr>
          <w:p w14:paraId="08B88058"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60" w:type="dxa"/>
          </w:tcPr>
          <w:p w14:paraId="292074AE" w14:textId="77777777" w:rsidR="00BF18CF" w:rsidRDefault="00BF18CF">
            <w:pPr>
              <w:pBdr>
                <w:top w:val="nil"/>
                <w:left w:val="nil"/>
                <w:bottom w:val="nil"/>
                <w:right w:val="nil"/>
                <w:between w:val="nil"/>
              </w:pBdr>
              <w:spacing w:before="36" w:after="36"/>
              <w:rPr>
                <w:color w:val="000000"/>
              </w:rPr>
            </w:pPr>
          </w:p>
        </w:tc>
      </w:tr>
      <w:tr w:rsidR="00BF18CF" w14:paraId="0789DBA4" w14:textId="77777777" w:rsidTr="00BF18CF">
        <w:tc>
          <w:tcPr>
            <w:tcW w:w="1930" w:type="dxa"/>
          </w:tcPr>
          <w:p w14:paraId="08FEEE3D"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60" w:type="dxa"/>
          </w:tcPr>
          <w:p w14:paraId="37064B77" w14:textId="77777777" w:rsidR="00BF18CF" w:rsidRDefault="00E51347">
            <w:proofErr w:type="gramStart"/>
            <w:r>
              <w:t>plusieurs</w:t>
            </w:r>
            <w:proofErr w:type="gramEnd"/>
            <w:r>
              <w:t xml:space="preserve"> à plusieurs, nécessaire (1,n:0,n)</w:t>
            </w:r>
          </w:p>
        </w:tc>
      </w:tr>
      <w:tr w:rsidR="00BF18CF" w14:paraId="235DE013" w14:textId="77777777" w:rsidTr="00BF18CF">
        <w:tc>
          <w:tcPr>
            <w:tcW w:w="1930" w:type="dxa"/>
          </w:tcPr>
          <w:p w14:paraId="4EBBDA0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60" w:type="dxa"/>
          </w:tcPr>
          <w:p w14:paraId="17A801E8" w14:textId="77777777" w:rsidR="00BF18CF" w:rsidRDefault="00E51347">
            <w:r>
              <w:t xml:space="preserve">Cette propriété identifie l'instance de </w:t>
            </w:r>
            <w:r>
              <w:rPr>
                <w:rFonts w:ascii="Consolas" w:eastAsia="Consolas" w:hAnsi="Consolas" w:cs="Consolas"/>
                <w:sz w:val="22"/>
                <w:szCs w:val="22"/>
                <w:shd w:val="clear" w:color="auto" w:fill="EAEEF3"/>
              </w:rPr>
              <w:t>E39_Actant</w:t>
            </w:r>
            <w:r>
              <w:t xml:space="preserve"> qui quitte une instance de </w:t>
            </w:r>
            <w:r>
              <w:rPr>
                <w:rFonts w:ascii="Consolas" w:eastAsia="Consolas" w:hAnsi="Consolas" w:cs="Consolas"/>
                <w:sz w:val="22"/>
                <w:szCs w:val="22"/>
                <w:shd w:val="clear" w:color="auto" w:fill="EAEEF3"/>
              </w:rPr>
              <w:t>E74_Groupe</w:t>
            </w:r>
            <w:r>
              <w:t xml:space="preserve"> par l'intermédiaire d'une instance de </w:t>
            </w:r>
            <w:r>
              <w:rPr>
                <w:rFonts w:ascii="Consolas" w:eastAsia="Consolas" w:hAnsi="Consolas" w:cs="Consolas"/>
                <w:sz w:val="22"/>
                <w:szCs w:val="22"/>
                <w:shd w:val="clear" w:color="auto" w:fill="EAEEF3"/>
              </w:rPr>
              <w:t>E86_Départ</w:t>
            </w:r>
            <w:r>
              <w:t>.</w:t>
            </w:r>
          </w:p>
        </w:tc>
      </w:tr>
      <w:tr w:rsidR="00BF18CF" w14:paraId="15A8BB5A" w14:textId="77777777" w:rsidTr="00BF18CF">
        <w:tc>
          <w:tcPr>
            <w:tcW w:w="1930" w:type="dxa"/>
          </w:tcPr>
          <w:p w14:paraId="6369F49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60" w:type="dxa"/>
          </w:tcPr>
          <w:p w14:paraId="72DA48AE" w14:textId="77777777" w:rsidR="00BF18CF" w:rsidRDefault="00E51347">
            <w:pPr>
              <w:numPr>
                <w:ilvl w:val="0"/>
                <w:numId w:val="19"/>
              </w:numPr>
            </w:pPr>
            <w:r>
              <w:t>La fin du mandat de Sir Isaac Newton comme membre du Parlement d’Angleterre pour l'Université de Cambridge à la convention du Parlement en 1702 a dissocié (</w:t>
            </w:r>
            <w:r>
              <w:rPr>
                <w:rFonts w:ascii="Consolas" w:eastAsia="Consolas" w:hAnsi="Consolas" w:cs="Consolas"/>
                <w:sz w:val="22"/>
                <w:szCs w:val="22"/>
                <w:shd w:val="clear" w:color="auto" w:fill="EAEEF3"/>
              </w:rPr>
              <w:t>P145_a_dissocié</w:t>
            </w:r>
            <w:r>
              <w:t>) Sir Isaac Newton (Iliffe, 2013)</w:t>
            </w:r>
          </w:p>
          <w:p w14:paraId="3B234202" w14:textId="77777777" w:rsidR="00BF18CF" w:rsidRDefault="00E51347">
            <w:pPr>
              <w:numPr>
                <w:ilvl w:val="0"/>
                <w:numId w:val="19"/>
              </w:numPr>
            </w:pPr>
            <w:r>
              <w:lastRenderedPageBreak/>
              <w:t>La fin du mandat de George Washington à la présidence des États-Unis en 1797 a dissocié (</w:t>
            </w:r>
            <w:r>
              <w:rPr>
                <w:rFonts w:ascii="Consolas" w:eastAsia="Consolas" w:hAnsi="Consolas" w:cs="Consolas"/>
                <w:sz w:val="22"/>
                <w:szCs w:val="22"/>
                <w:shd w:val="clear" w:color="auto" w:fill="EAEEF3"/>
              </w:rPr>
              <w:t>P145_a_dissocié</w:t>
            </w:r>
            <w:r>
              <w:t>) George Washington du Bureau exécutif du président des États-Unis (Unger, 2015)</w:t>
            </w:r>
          </w:p>
          <w:p w14:paraId="52A817E0" w14:textId="77777777" w:rsidR="00BF18CF" w:rsidRDefault="00E51347">
            <w:pPr>
              <w:numPr>
                <w:ilvl w:val="0"/>
                <w:numId w:val="19"/>
              </w:numPr>
            </w:pPr>
            <w:r>
              <w:t>L’application du [n.d.t. « Traité sur le Groenland »] entre l'Union européenne, le Danemark et le Groenland le 1</w:t>
            </w:r>
            <w:r>
              <w:rPr>
                <w:vertAlign w:val="superscript"/>
              </w:rPr>
              <w:t>er</w:t>
            </w:r>
            <w:r>
              <w:t xml:space="preserve"> février 1985 (</w:t>
            </w:r>
            <w:r>
              <w:rPr>
                <w:rFonts w:ascii="Consolas" w:eastAsia="Consolas" w:hAnsi="Consolas" w:cs="Consolas"/>
                <w:sz w:val="22"/>
                <w:szCs w:val="22"/>
                <w:shd w:val="clear" w:color="auto" w:fill="EAEEF3"/>
              </w:rPr>
              <w:t>E86_Départ</w:t>
            </w:r>
            <w:r>
              <w:t>) a dissocié (</w:t>
            </w:r>
            <w:r>
              <w:rPr>
                <w:rFonts w:ascii="Consolas" w:eastAsia="Consolas" w:hAnsi="Consolas" w:cs="Consolas"/>
                <w:sz w:val="22"/>
                <w:szCs w:val="22"/>
                <w:shd w:val="clear" w:color="auto" w:fill="EAEEF3"/>
              </w:rPr>
              <w:t>P145_a_dissocié</w:t>
            </w:r>
            <w:r>
              <w:t>) le Groenland (</w:t>
            </w:r>
            <w:r>
              <w:rPr>
                <w:rFonts w:ascii="Consolas" w:eastAsia="Consolas" w:hAnsi="Consolas" w:cs="Consolas"/>
                <w:sz w:val="22"/>
                <w:szCs w:val="22"/>
                <w:shd w:val="clear" w:color="auto" w:fill="EAEEF3"/>
              </w:rPr>
              <w:t>E74_Groupe</w:t>
            </w:r>
            <w:r>
              <w:t>) de l’Union Européenne.</w:t>
            </w:r>
          </w:p>
        </w:tc>
      </w:tr>
      <w:tr w:rsidR="00BF18CF" w14:paraId="0AA4D45D" w14:textId="77777777" w:rsidTr="00BF18CF">
        <w:tc>
          <w:tcPr>
            <w:tcW w:w="1930" w:type="dxa"/>
          </w:tcPr>
          <w:p w14:paraId="05283069"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760" w:type="dxa"/>
          </w:tcPr>
          <w:p w14:paraId="71D5CEE9" w14:textId="77777777" w:rsidR="00BF18CF" w:rsidRDefault="00E51347">
            <w:r>
              <w:t>P145(</w:t>
            </w:r>
            <w:proofErr w:type="gramStart"/>
            <w:r>
              <w:t>x,y</w:t>
            </w:r>
            <w:proofErr w:type="gramEnd"/>
            <w:r>
              <w:t>) ⇒ E86(x)</w:t>
            </w:r>
          </w:p>
          <w:p w14:paraId="326FA546" w14:textId="77777777" w:rsidR="00BF18CF" w:rsidRDefault="00E51347">
            <w:r>
              <w:t>P145(</w:t>
            </w:r>
            <w:proofErr w:type="gramStart"/>
            <w:r>
              <w:t>x,y</w:t>
            </w:r>
            <w:proofErr w:type="gramEnd"/>
            <w:r>
              <w:t>) ⇒ E39(y)</w:t>
            </w:r>
          </w:p>
          <w:p w14:paraId="0024462D" w14:textId="77777777" w:rsidR="00BF18CF" w:rsidRDefault="00E51347">
            <w:r>
              <w:t>P145(</w:t>
            </w:r>
            <w:proofErr w:type="gramStart"/>
            <w:r>
              <w:t>x,y</w:t>
            </w:r>
            <w:proofErr w:type="gramEnd"/>
            <w:r>
              <w:t>) ⇒ P11(x,y)</w:t>
            </w:r>
          </w:p>
        </w:tc>
      </w:tr>
      <w:tr w:rsidR="00BF18CF" w14:paraId="42B70F01" w14:textId="77777777" w:rsidTr="00BF18CF">
        <w:tc>
          <w:tcPr>
            <w:tcW w:w="1930" w:type="dxa"/>
          </w:tcPr>
          <w:p w14:paraId="7073A71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60" w:type="dxa"/>
          </w:tcPr>
          <w:p w14:paraId="1FDED5A6" w14:textId="77777777" w:rsidR="00BF18CF" w:rsidRDefault="00BF18CF">
            <w:pPr>
              <w:pBdr>
                <w:top w:val="nil"/>
                <w:left w:val="nil"/>
                <w:bottom w:val="nil"/>
                <w:right w:val="nil"/>
                <w:between w:val="nil"/>
              </w:pBdr>
              <w:spacing w:before="36" w:after="36"/>
              <w:rPr>
                <w:color w:val="000000"/>
              </w:rPr>
            </w:pPr>
          </w:p>
        </w:tc>
      </w:tr>
      <w:tr w:rsidR="00BF18CF" w14:paraId="3629EA7A" w14:textId="77777777" w:rsidTr="00BF18CF">
        <w:tc>
          <w:tcPr>
            <w:tcW w:w="1930" w:type="dxa"/>
          </w:tcPr>
          <w:p w14:paraId="03C78111" w14:textId="3F1BA49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60" w:type="dxa"/>
          </w:tcPr>
          <w:p w14:paraId="17AF2BA4" w14:textId="77777777" w:rsidR="00BF18CF" w:rsidRDefault="00BF18CF">
            <w:pPr>
              <w:pBdr>
                <w:top w:val="nil"/>
                <w:left w:val="nil"/>
                <w:bottom w:val="nil"/>
                <w:right w:val="nil"/>
                <w:between w:val="nil"/>
              </w:pBdr>
              <w:spacing w:before="36" w:after="36"/>
              <w:rPr>
                <w:color w:val="000000"/>
              </w:rPr>
            </w:pPr>
          </w:p>
        </w:tc>
      </w:tr>
      <w:tr w:rsidR="00BF18CF" w14:paraId="28DA25D7" w14:textId="77777777" w:rsidTr="00BF18CF">
        <w:tc>
          <w:tcPr>
            <w:tcW w:w="1930" w:type="dxa"/>
          </w:tcPr>
          <w:p w14:paraId="0115112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60" w:type="dxa"/>
          </w:tcPr>
          <w:p w14:paraId="203EEB6B" w14:textId="77777777" w:rsidR="00BF18CF" w:rsidRDefault="00BF18CF">
            <w:pPr>
              <w:pBdr>
                <w:top w:val="nil"/>
                <w:left w:val="nil"/>
                <w:bottom w:val="nil"/>
                <w:right w:val="nil"/>
                <w:between w:val="nil"/>
              </w:pBdr>
              <w:spacing w:before="36" w:after="36"/>
              <w:rPr>
                <w:color w:val="000000"/>
              </w:rPr>
            </w:pPr>
          </w:p>
        </w:tc>
      </w:tr>
    </w:tbl>
    <w:p w14:paraId="53EA7066" w14:textId="77777777" w:rsidR="00BF18CF" w:rsidRDefault="00E51347">
      <w:pPr>
        <w:pStyle w:val="Heading3"/>
      </w:pPr>
      <w:bookmarkStart w:id="505" w:name="bookmark=id.32rsoto" w:colFirst="0" w:colLast="0"/>
      <w:bookmarkStart w:id="506" w:name="_Toc144360996"/>
      <w:bookmarkEnd w:id="505"/>
      <w:r>
        <w:t>P146 a dissocié de (a perdu le membre par)</w:t>
      </w:r>
      <w:bookmarkEnd w:id="506"/>
    </w:p>
    <w:tbl>
      <w:tblPr>
        <w:tblStyle w:val="afffffff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21"/>
        <w:gridCol w:w="8769"/>
      </w:tblGrid>
      <w:tr w:rsidR="00BF18CF" w14:paraId="053EC015" w14:textId="77777777" w:rsidTr="00BF18CF">
        <w:tc>
          <w:tcPr>
            <w:tcW w:w="1921" w:type="dxa"/>
          </w:tcPr>
          <w:p w14:paraId="63E6DF9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69" w:type="dxa"/>
          </w:tcPr>
          <w:p w14:paraId="2B1CA6FB" w14:textId="77777777" w:rsidR="00BF18CF" w:rsidRDefault="00E51347">
            <w:r>
              <w:rPr>
                <w:rFonts w:ascii="Consolas" w:eastAsia="Consolas" w:hAnsi="Consolas" w:cs="Consolas"/>
                <w:sz w:val="22"/>
                <w:szCs w:val="22"/>
                <w:shd w:val="clear" w:color="auto" w:fill="EAEEF3"/>
              </w:rPr>
              <w:t>E86_Départ</w:t>
            </w:r>
          </w:p>
        </w:tc>
      </w:tr>
      <w:tr w:rsidR="00BF18CF" w14:paraId="4C991756" w14:textId="77777777" w:rsidTr="00BF18CF">
        <w:tc>
          <w:tcPr>
            <w:tcW w:w="1921" w:type="dxa"/>
          </w:tcPr>
          <w:p w14:paraId="535B916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69" w:type="dxa"/>
          </w:tcPr>
          <w:p w14:paraId="7AE55FCC" w14:textId="77777777" w:rsidR="00BF18CF" w:rsidRDefault="00E51347">
            <w:r>
              <w:rPr>
                <w:rFonts w:ascii="Consolas" w:eastAsia="Consolas" w:hAnsi="Consolas" w:cs="Consolas"/>
                <w:sz w:val="22"/>
                <w:szCs w:val="22"/>
                <w:shd w:val="clear" w:color="auto" w:fill="EAEEF3"/>
              </w:rPr>
              <w:t>E74_Groupe</w:t>
            </w:r>
          </w:p>
        </w:tc>
      </w:tr>
      <w:tr w:rsidR="00BF18CF" w14:paraId="745A6F6A" w14:textId="77777777" w:rsidTr="00BF18CF">
        <w:tc>
          <w:tcPr>
            <w:tcW w:w="1921" w:type="dxa"/>
          </w:tcPr>
          <w:p w14:paraId="28210C6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69" w:type="dxa"/>
          </w:tcPr>
          <w:p w14:paraId="16E5437A"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P11_a_eu_pour_actant_participant (a_participé_à)</w:t>
            </w:r>
            <w:r>
              <w:t xml:space="preserve"> : </w:t>
            </w:r>
            <w:r>
              <w:rPr>
                <w:rFonts w:ascii="Consolas" w:eastAsia="Consolas" w:hAnsi="Consolas" w:cs="Consolas"/>
                <w:sz w:val="22"/>
                <w:szCs w:val="22"/>
                <w:shd w:val="clear" w:color="auto" w:fill="EAEEF3"/>
              </w:rPr>
              <w:t>E39_Actant</w:t>
            </w:r>
          </w:p>
        </w:tc>
      </w:tr>
      <w:tr w:rsidR="00BF18CF" w14:paraId="66A3E70A" w14:textId="77777777" w:rsidTr="00BF18CF">
        <w:tc>
          <w:tcPr>
            <w:tcW w:w="1921" w:type="dxa"/>
          </w:tcPr>
          <w:p w14:paraId="4C713C61"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69" w:type="dxa"/>
          </w:tcPr>
          <w:p w14:paraId="2F262D48" w14:textId="77777777" w:rsidR="00BF18CF" w:rsidRDefault="00BF18CF">
            <w:pPr>
              <w:pBdr>
                <w:top w:val="nil"/>
                <w:left w:val="nil"/>
                <w:bottom w:val="nil"/>
                <w:right w:val="nil"/>
                <w:between w:val="nil"/>
              </w:pBdr>
              <w:spacing w:before="36" w:after="36"/>
              <w:rPr>
                <w:color w:val="000000"/>
              </w:rPr>
            </w:pPr>
          </w:p>
        </w:tc>
      </w:tr>
      <w:tr w:rsidR="00BF18CF" w14:paraId="28DD992C" w14:textId="77777777" w:rsidTr="00BF18CF">
        <w:tc>
          <w:tcPr>
            <w:tcW w:w="1921" w:type="dxa"/>
          </w:tcPr>
          <w:p w14:paraId="38E35A34"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69" w:type="dxa"/>
          </w:tcPr>
          <w:p w14:paraId="05084221" w14:textId="77777777" w:rsidR="00BF18CF" w:rsidRDefault="00E51347">
            <w:proofErr w:type="gramStart"/>
            <w:r>
              <w:t>plusieurs</w:t>
            </w:r>
            <w:proofErr w:type="gramEnd"/>
            <w:r>
              <w:t xml:space="preserve"> à plusieurs, nécessaire (1,n:0,n)</w:t>
            </w:r>
          </w:p>
        </w:tc>
      </w:tr>
      <w:tr w:rsidR="00BF18CF" w14:paraId="4E05B4DB" w14:textId="77777777" w:rsidTr="00BF18CF">
        <w:tc>
          <w:tcPr>
            <w:tcW w:w="1921" w:type="dxa"/>
          </w:tcPr>
          <w:p w14:paraId="5849F4C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69" w:type="dxa"/>
          </w:tcPr>
          <w:p w14:paraId="283FDD7E" w14:textId="77777777" w:rsidR="00BF18CF" w:rsidRDefault="00E51347">
            <w:r>
              <w:t xml:space="preserve">Cette propriété identifie l'instance de </w:t>
            </w:r>
            <w:r>
              <w:rPr>
                <w:rFonts w:ascii="Consolas" w:eastAsia="Consolas" w:hAnsi="Consolas" w:cs="Consolas"/>
                <w:sz w:val="22"/>
                <w:szCs w:val="22"/>
                <w:shd w:val="clear" w:color="auto" w:fill="EAEEF3"/>
              </w:rPr>
              <w:t>E74_Groupe</w:t>
            </w:r>
            <w:r>
              <w:t xml:space="preserve"> qu’une instance de </w:t>
            </w:r>
            <w:r>
              <w:rPr>
                <w:rFonts w:ascii="Consolas" w:eastAsia="Consolas" w:hAnsi="Consolas" w:cs="Consolas"/>
                <w:sz w:val="22"/>
                <w:szCs w:val="22"/>
                <w:shd w:val="clear" w:color="auto" w:fill="EAEEF3"/>
              </w:rPr>
              <w:t>E39_Actant</w:t>
            </w:r>
            <w:r>
              <w:t xml:space="preserve"> quitte par l'intermédiaire d'une instance de </w:t>
            </w:r>
            <w:r>
              <w:rPr>
                <w:rFonts w:ascii="Consolas" w:eastAsia="Consolas" w:hAnsi="Consolas" w:cs="Consolas"/>
                <w:sz w:val="22"/>
                <w:szCs w:val="22"/>
                <w:shd w:val="clear" w:color="auto" w:fill="EAEEF3"/>
              </w:rPr>
              <w:t>E86_Départ</w:t>
            </w:r>
            <w:r>
              <w:t>.</w:t>
            </w:r>
          </w:p>
          <w:p w14:paraId="3520FFE5" w14:textId="77777777" w:rsidR="00BF18CF" w:rsidRDefault="00E51347">
            <w:r>
              <w:t xml:space="preserve">Bien qu'une activité de départ ne concerne normalement qu'une seule instance de </w:t>
            </w:r>
            <w:r>
              <w:rPr>
                <w:rFonts w:ascii="Consolas" w:eastAsia="Consolas" w:hAnsi="Consolas" w:cs="Consolas"/>
                <w:sz w:val="22"/>
                <w:szCs w:val="22"/>
                <w:shd w:val="clear" w:color="auto" w:fill="EAEEF3"/>
              </w:rPr>
              <w:t>E74_Groupe</w:t>
            </w:r>
            <w:r>
              <w:t xml:space="preserve">, il est possible d'imaginer des circonstances au cours desquelles quitter un </w:t>
            </w:r>
            <w:r>
              <w:rPr>
                <w:rFonts w:ascii="Consolas" w:eastAsia="Consolas" w:hAnsi="Consolas" w:cs="Consolas"/>
                <w:sz w:val="22"/>
                <w:szCs w:val="22"/>
                <w:shd w:val="clear" w:color="auto" w:fill="EAEEF3"/>
              </w:rPr>
              <w:t>E74_Groupe</w:t>
            </w:r>
            <w:r>
              <w:t xml:space="preserve"> implique également de quitter un autre </w:t>
            </w:r>
            <w:r>
              <w:rPr>
                <w:rFonts w:ascii="Consolas" w:eastAsia="Consolas" w:hAnsi="Consolas" w:cs="Consolas"/>
                <w:sz w:val="22"/>
                <w:szCs w:val="22"/>
                <w:shd w:val="clear" w:color="auto" w:fill="EAEEF3"/>
              </w:rPr>
              <w:t>E74_Groupe</w:t>
            </w:r>
            <w:r>
              <w:t>.</w:t>
            </w:r>
          </w:p>
        </w:tc>
      </w:tr>
      <w:tr w:rsidR="00BF18CF" w14:paraId="6741C1D8" w14:textId="77777777" w:rsidTr="00BF18CF">
        <w:tc>
          <w:tcPr>
            <w:tcW w:w="1921" w:type="dxa"/>
          </w:tcPr>
          <w:p w14:paraId="4BF8060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69" w:type="dxa"/>
          </w:tcPr>
          <w:p w14:paraId="050C3DE5" w14:textId="77777777" w:rsidR="00BF18CF" w:rsidRDefault="00E51347">
            <w:pPr>
              <w:numPr>
                <w:ilvl w:val="0"/>
                <w:numId w:val="19"/>
              </w:numPr>
            </w:pPr>
            <w:r>
              <w:t>La fin du mandat de Sir Isaac Newton en tant que membre du Parlement d’Angleterre pour l'Université de Cambridge à la convention du Parlement en 1702 l’a dissocié de (</w:t>
            </w:r>
            <w:r>
              <w:rPr>
                <w:rFonts w:ascii="Consolas" w:eastAsia="Consolas" w:hAnsi="Consolas" w:cs="Consolas"/>
                <w:sz w:val="22"/>
                <w:szCs w:val="22"/>
                <w:shd w:val="clear" w:color="auto" w:fill="EAEEF3"/>
              </w:rPr>
              <w:t>P146_a_dissocié_de</w:t>
            </w:r>
            <w:r>
              <w:t>) la convention du Parlement (Iliffe, 2013)</w:t>
            </w:r>
          </w:p>
          <w:p w14:paraId="41AF3DA1" w14:textId="77777777" w:rsidR="00BF18CF" w:rsidRDefault="00E51347">
            <w:pPr>
              <w:numPr>
                <w:ilvl w:val="0"/>
                <w:numId w:val="19"/>
              </w:numPr>
            </w:pPr>
            <w:r>
              <w:t>La fin du mandat de George Washington à la présidence des États-Unis en 1797 l’a dissocié du (</w:t>
            </w:r>
            <w:r>
              <w:rPr>
                <w:rFonts w:ascii="Consolas" w:eastAsia="Consolas" w:hAnsi="Consolas" w:cs="Consolas"/>
                <w:sz w:val="22"/>
                <w:szCs w:val="22"/>
                <w:shd w:val="clear" w:color="auto" w:fill="EAEEF3"/>
              </w:rPr>
              <w:t>P146_a_dissocié_de</w:t>
            </w:r>
            <w:r>
              <w:t>) Bureau exécutif du président des États-Unis (Unger, 2015)</w:t>
            </w:r>
          </w:p>
          <w:p w14:paraId="7ADC0F3E" w14:textId="77777777" w:rsidR="00BF18CF" w:rsidRDefault="00E51347">
            <w:pPr>
              <w:numPr>
                <w:ilvl w:val="0"/>
                <w:numId w:val="19"/>
              </w:numPr>
            </w:pPr>
            <w:r>
              <w:t>L’application du [n.d.t. « Traité du Groenland »] entre l'Union Européenne, le Danemark et le Groenland le 1</w:t>
            </w:r>
            <w:r>
              <w:rPr>
                <w:vertAlign w:val="superscript"/>
              </w:rPr>
              <w:t>er</w:t>
            </w:r>
            <w:r>
              <w:t xml:space="preserve"> février 1985 (</w:t>
            </w:r>
            <w:r>
              <w:rPr>
                <w:rFonts w:ascii="Consolas" w:eastAsia="Consolas" w:hAnsi="Consolas" w:cs="Consolas"/>
                <w:sz w:val="22"/>
                <w:szCs w:val="22"/>
                <w:shd w:val="clear" w:color="auto" w:fill="EAEEF3"/>
              </w:rPr>
              <w:t>E86_Départ</w:t>
            </w:r>
            <w:r>
              <w:t>) a dissocié de (</w:t>
            </w:r>
            <w:r>
              <w:rPr>
                <w:rFonts w:ascii="Consolas" w:eastAsia="Consolas" w:hAnsi="Consolas" w:cs="Consolas"/>
                <w:sz w:val="22"/>
                <w:szCs w:val="22"/>
                <w:shd w:val="clear" w:color="auto" w:fill="EAEEF3"/>
              </w:rPr>
              <w:t>P146_a_dissocié_de</w:t>
            </w:r>
            <w:r>
              <w:t>) l’Union Européenne (</w:t>
            </w:r>
            <w:r>
              <w:rPr>
                <w:rFonts w:ascii="Consolas" w:eastAsia="Consolas" w:hAnsi="Consolas" w:cs="Consolas"/>
                <w:sz w:val="22"/>
                <w:szCs w:val="22"/>
                <w:shd w:val="clear" w:color="auto" w:fill="EAEEF3"/>
              </w:rPr>
              <w:t>E74_Groupe</w:t>
            </w:r>
            <w:r>
              <w:t>) le Groenland</w:t>
            </w:r>
          </w:p>
        </w:tc>
      </w:tr>
      <w:tr w:rsidR="00BF18CF" w14:paraId="063340CC" w14:textId="77777777" w:rsidTr="00BF18CF">
        <w:tc>
          <w:tcPr>
            <w:tcW w:w="1921" w:type="dxa"/>
          </w:tcPr>
          <w:p w14:paraId="60B67347"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769" w:type="dxa"/>
          </w:tcPr>
          <w:p w14:paraId="527155A4" w14:textId="77777777" w:rsidR="00BF18CF" w:rsidRDefault="00E51347">
            <w:r>
              <w:t>P146(</w:t>
            </w:r>
            <w:proofErr w:type="gramStart"/>
            <w:r>
              <w:t>x,y</w:t>
            </w:r>
            <w:proofErr w:type="gramEnd"/>
            <w:r>
              <w:t>) ⇒ E86(x)</w:t>
            </w:r>
          </w:p>
          <w:p w14:paraId="60EF4F2A" w14:textId="77777777" w:rsidR="00BF18CF" w:rsidRDefault="00E51347">
            <w:r>
              <w:t>P146(</w:t>
            </w:r>
            <w:proofErr w:type="gramStart"/>
            <w:r>
              <w:t>x,y</w:t>
            </w:r>
            <w:proofErr w:type="gramEnd"/>
            <w:r>
              <w:t>) ⇒ E74(y)</w:t>
            </w:r>
          </w:p>
          <w:p w14:paraId="57BCEF40" w14:textId="77777777" w:rsidR="00BF18CF" w:rsidRDefault="00E51347">
            <w:r>
              <w:t>P146(</w:t>
            </w:r>
            <w:proofErr w:type="gramStart"/>
            <w:r>
              <w:t>x,y</w:t>
            </w:r>
            <w:proofErr w:type="gramEnd"/>
            <w:r>
              <w:t>) ⇒ P11(x,y)</w:t>
            </w:r>
          </w:p>
        </w:tc>
      </w:tr>
      <w:tr w:rsidR="00BF18CF" w14:paraId="2436BF34" w14:textId="77777777" w:rsidTr="00BF18CF">
        <w:tc>
          <w:tcPr>
            <w:tcW w:w="1921" w:type="dxa"/>
          </w:tcPr>
          <w:p w14:paraId="77497DB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69" w:type="dxa"/>
          </w:tcPr>
          <w:p w14:paraId="5968CABE" w14:textId="77777777" w:rsidR="00BF18CF" w:rsidRDefault="00BF18CF">
            <w:pPr>
              <w:pBdr>
                <w:top w:val="nil"/>
                <w:left w:val="nil"/>
                <w:bottom w:val="nil"/>
                <w:right w:val="nil"/>
                <w:between w:val="nil"/>
              </w:pBdr>
              <w:spacing w:before="36" w:after="36"/>
              <w:rPr>
                <w:color w:val="000000"/>
              </w:rPr>
            </w:pPr>
          </w:p>
        </w:tc>
      </w:tr>
      <w:tr w:rsidR="00BF18CF" w14:paraId="7DD5A7E5" w14:textId="77777777" w:rsidTr="00BF18CF">
        <w:tc>
          <w:tcPr>
            <w:tcW w:w="1921" w:type="dxa"/>
          </w:tcPr>
          <w:p w14:paraId="6352021C" w14:textId="79F1A38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69" w:type="dxa"/>
          </w:tcPr>
          <w:p w14:paraId="5C27CC4E" w14:textId="77777777" w:rsidR="00BF18CF" w:rsidRDefault="00BF18CF">
            <w:pPr>
              <w:pBdr>
                <w:top w:val="nil"/>
                <w:left w:val="nil"/>
                <w:bottom w:val="nil"/>
                <w:right w:val="nil"/>
                <w:between w:val="nil"/>
              </w:pBdr>
              <w:spacing w:before="36" w:after="36"/>
              <w:rPr>
                <w:color w:val="000000"/>
              </w:rPr>
            </w:pPr>
          </w:p>
        </w:tc>
      </w:tr>
      <w:tr w:rsidR="00BF18CF" w14:paraId="1421B704" w14:textId="77777777" w:rsidTr="00BF18CF">
        <w:tc>
          <w:tcPr>
            <w:tcW w:w="1921" w:type="dxa"/>
          </w:tcPr>
          <w:p w14:paraId="0896FB0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69" w:type="dxa"/>
          </w:tcPr>
          <w:p w14:paraId="2329C2C5" w14:textId="77777777" w:rsidR="00BF18CF" w:rsidRDefault="00BF18CF">
            <w:pPr>
              <w:pBdr>
                <w:top w:val="nil"/>
                <w:left w:val="nil"/>
                <w:bottom w:val="nil"/>
                <w:right w:val="nil"/>
                <w:between w:val="nil"/>
              </w:pBdr>
              <w:spacing w:before="36" w:after="36"/>
              <w:rPr>
                <w:color w:val="000000"/>
              </w:rPr>
            </w:pPr>
          </w:p>
        </w:tc>
      </w:tr>
    </w:tbl>
    <w:p w14:paraId="6C76D7D0" w14:textId="77777777" w:rsidR="00BF18CF" w:rsidRDefault="00E51347">
      <w:pPr>
        <w:pStyle w:val="Heading3"/>
      </w:pPr>
      <w:bookmarkStart w:id="507" w:name="bookmark=id.1hx2z1h" w:colFirst="0" w:colLast="0"/>
      <w:bookmarkStart w:id="508" w:name="_Toc144360997"/>
      <w:bookmarkEnd w:id="507"/>
      <w:r>
        <w:t>P147 a géré (a été géré par)</w:t>
      </w:r>
      <w:bookmarkEnd w:id="508"/>
    </w:p>
    <w:tbl>
      <w:tblPr>
        <w:tblStyle w:val="afffffff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8"/>
        <w:gridCol w:w="8592"/>
      </w:tblGrid>
      <w:tr w:rsidR="00BF18CF" w14:paraId="6D133DF9" w14:textId="77777777" w:rsidTr="00BF18CF">
        <w:tc>
          <w:tcPr>
            <w:tcW w:w="2098" w:type="dxa"/>
          </w:tcPr>
          <w:p w14:paraId="26422BB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2" w:type="dxa"/>
          </w:tcPr>
          <w:p w14:paraId="5393EDB6" w14:textId="77777777" w:rsidR="00BF18CF" w:rsidRDefault="00E51347">
            <w:r>
              <w:rPr>
                <w:rFonts w:ascii="Consolas" w:eastAsia="Consolas" w:hAnsi="Consolas" w:cs="Consolas"/>
                <w:sz w:val="22"/>
                <w:szCs w:val="22"/>
                <w:shd w:val="clear" w:color="auto" w:fill="EAEEF3"/>
              </w:rPr>
              <w:t>E87_Activité_curatoriale</w:t>
            </w:r>
          </w:p>
        </w:tc>
      </w:tr>
      <w:tr w:rsidR="00BF18CF" w14:paraId="46F79DD7" w14:textId="77777777" w:rsidTr="00BF18CF">
        <w:tc>
          <w:tcPr>
            <w:tcW w:w="2098" w:type="dxa"/>
          </w:tcPr>
          <w:p w14:paraId="163D780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2" w:type="dxa"/>
          </w:tcPr>
          <w:p w14:paraId="4F31DCFC" w14:textId="77777777" w:rsidR="00BF18CF" w:rsidRDefault="00E51347">
            <w:r>
              <w:rPr>
                <w:rFonts w:ascii="Consolas" w:eastAsia="Consolas" w:hAnsi="Consolas" w:cs="Consolas"/>
                <w:sz w:val="22"/>
                <w:szCs w:val="22"/>
                <w:shd w:val="clear" w:color="auto" w:fill="EAEEF3"/>
              </w:rPr>
              <w:t>E78_Collection</w:t>
            </w:r>
          </w:p>
        </w:tc>
      </w:tr>
      <w:tr w:rsidR="00BF18CF" w14:paraId="0152C9E5" w14:textId="77777777" w:rsidTr="00BF18CF">
        <w:tc>
          <w:tcPr>
            <w:tcW w:w="2098" w:type="dxa"/>
          </w:tcPr>
          <w:p w14:paraId="246F295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2" w:type="dxa"/>
          </w:tcPr>
          <w:p w14:paraId="57916EC1" w14:textId="77777777" w:rsidR="00BF18CF" w:rsidRDefault="00BF18CF">
            <w:pPr>
              <w:pBdr>
                <w:top w:val="nil"/>
                <w:left w:val="nil"/>
                <w:bottom w:val="nil"/>
                <w:right w:val="nil"/>
                <w:between w:val="nil"/>
              </w:pBdr>
              <w:spacing w:before="36" w:after="36"/>
              <w:rPr>
                <w:color w:val="000000"/>
              </w:rPr>
            </w:pPr>
          </w:p>
        </w:tc>
      </w:tr>
      <w:tr w:rsidR="00BF18CF" w14:paraId="3F2FD88B" w14:textId="77777777" w:rsidTr="00BF18CF">
        <w:tc>
          <w:tcPr>
            <w:tcW w:w="2098" w:type="dxa"/>
          </w:tcPr>
          <w:p w14:paraId="6017F94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2" w:type="dxa"/>
          </w:tcPr>
          <w:p w14:paraId="12C2331F" w14:textId="77777777" w:rsidR="00BF18CF" w:rsidRDefault="00BF18CF">
            <w:pPr>
              <w:pBdr>
                <w:top w:val="nil"/>
                <w:left w:val="nil"/>
                <w:bottom w:val="nil"/>
                <w:right w:val="nil"/>
                <w:between w:val="nil"/>
              </w:pBdr>
              <w:spacing w:before="36" w:after="36"/>
              <w:rPr>
                <w:color w:val="000000"/>
              </w:rPr>
            </w:pPr>
          </w:p>
        </w:tc>
      </w:tr>
      <w:tr w:rsidR="00BF18CF" w14:paraId="01112ED5" w14:textId="77777777" w:rsidTr="00BF18CF">
        <w:tc>
          <w:tcPr>
            <w:tcW w:w="2098" w:type="dxa"/>
          </w:tcPr>
          <w:p w14:paraId="299333C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2" w:type="dxa"/>
          </w:tcPr>
          <w:p w14:paraId="0F350BC5" w14:textId="77777777" w:rsidR="00BF18CF" w:rsidRDefault="00E51347">
            <w:proofErr w:type="gramStart"/>
            <w:r>
              <w:t>plusieurs</w:t>
            </w:r>
            <w:proofErr w:type="gramEnd"/>
            <w:r>
              <w:t xml:space="preserve"> à plusieurs, nécessaire (1,n:0,n)</w:t>
            </w:r>
          </w:p>
        </w:tc>
      </w:tr>
      <w:tr w:rsidR="00BF18CF" w14:paraId="6EB26E60" w14:textId="77777777" w:rsidTr="00BF18CF">
        <w:tc>
          <w:tcPr>
            <w:tcW w:w="2098" w:type="dxa"/>
          </w:tcPr>
          <w:p w14:paraId="0B3E3F9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2" w:type="dxa"/>
          </w:tcPr>
          <w:p w14:paraId="6E19CBF5" w14:textId="77777777" w:rsidR="00BF18CF" w:rsidRDefault="00E51347">
            <w:r>
              <w:t xml:space="preserve">Cette propriété associe une instance de </w:t>
            </w:r>
            <w:r>
              <w:rPr>
                <w:rFonts w:ascii="Consolas" w:eastAsia="Consolas" w:hAnsi="Consolas" w:cs="Consolas"/>
                <w:sz w:val="22"/>
                <w:szCs w:val="22"/>
                <w:shd w:val="clear" w:color="auto" w:fill="EAEEF3"/>
              </w:rPr>
              <w:t>E87_Activité_curatoriale</w:t>
            </w:r>
            <w:r>
              <w:t xml:space="preserve"> à l'instance de </w:t>
            </w:r>
            <w:r>
              <w:rPr>
                <w:rFonts w:ascii="Consolas" w:eastAsia="Consolas" w:hAnsi="Consolas" w:cs="Consolas"/>
                <w:sz w:val="22"/>
                <w:szCs w:val="22"/>
                <w:shd w:val="clear" w:color="auto" w:fill="EAEEF3"/>
              </w:rPr>
              <w:t>E78_Collection</w:t>
            </w:r>
            <w:r>
              <w:t xml:space="preserve"> qui fait l'objet de cette activité en suivant un plan de gestion d’activités curatoriales implicite ou explicite.</w:t>
            </w:r>
          </w:p>
        </w:tc>
      </w:tr>
      <w:tr w:rsidR="00BF18CF" w14:paraId="33E7939B" w14:textId="77777777" w:rsidTr="00BF18CF">
        <w:tc>
          <w:tcPr>
            <w:tcW w:w="2098" w:type="dxa"/>
          </w:tcPr>
          <w:p w14:paraId="4E413E8D"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2" w:type="dxa"/>
          </w:tcPr>
          <w:p w14:paraId="380993CB" w14:textId="77777777" w:rsidR="00BF18CF" w:rsidRDefault="00E51347">
            <w:pPr>
              <w:numPr>
                <w:ilvl w:val="0"/>
                <w:numId w:val="19"/>
              </w:numPr>
            </w:pPr>
            <w:r>
              <w:t>Les activités curatoriales du Musée Benaki (</w:t>
            </w:r>
            <w:r>
              <w:rPr>
                <w:rFonts w:ascii="Consolas" w:eastAsia="Consolas" w:hAnsi="Consolas" w:cs="Consolas"/>
                <w:sz w:val="22"/>
                <w:szCs w:val="22"/>
                <w:shd w:val="clear" w:color="auto" w:fill="EAEEF3"/>
              </w:rPr>
              <w:t>E87_Activité_curatoriale</w:t>
            </w:r>
            <w:r>
              <w:t>) ont géré (</w:t>
            </w:r>
            <w:r>
              <w:rPr>
                <w:rFonts w:ascii="Consolas" w:eastAsia="Consolas" w:hAnsi="Consolas" w:cs="Consolas"/>
                <w:sz w:val="22"/>
                <w:szCs w:val="22"/>
                <w:shd w:val="clear" w:color="auto" w:fill="EAEEF3"/>
              </w:rPr>
              <w:t>P147_a_géré</w:t>
            </w:r>
            <w:r>
              <w:t>) l'acquisition de poupées et de jeux de fabrication urbaine et populaire datant du XVII</w:t>
            </w:r>
            <w:r>
              <w:rPr>
                <w:vertAlign w:val="superscript"/>
              </w:rPr>
              <w:t>e</w:t>
            </w:r>
            <w:r>
              <w:t xml:space="preserve"> au XX</w:t>
            </w:r>
            <w:r>
              <w:rPr>
                <w:vertAlign w:val="superscript"/>
              </w:rPr>
              <w:t>e</w:t>
            </w:r>
            <w:r>
              <w:t xml:space="preserve"> siècle et provenant d'Angleterre, de France et d'Allemagne pour la collection du Département de l’enfance, des jouets et des </w:t>
            </w:r>
            <w:proofErr w:type="gramStart"/>
            <w:r>
              <w:t>jeux  (</w:t>
            </w:r>
            <w:proofErr w:type="gramEnd"/>
            <w:r>
              <w:rPr>
                <w:rFonts w:ascii="Consolas" w:eastAsia="Consolas" w:hAnsi="Consolas" w:cs="Consolas"/>
                <w:sz w:val="22"/>
                <w:szCs w:val="22"/>
                <w:shd w:val="clear" w:color="auto" w:fill="EAEEF3"/>
              </w:rPr>
              <w:t>E78_Collection</w:t>
            </w:r>
            <w:r>
              <w:t>) du musée (Musée Benaki, 2016)</w:t>
            </w:r>
          </w:p>
          <w:p w14:paraId="6277B427" w14:textId="77777777" w:rsidR="00BF18CF" w:rsidRDefault="00E51347">
            <w:pPr>
              <w:numPr>
                <w:ilvl w:val="0"/>
                <w:numId w:val="19"/>
              </w:numPr>
            </w:pPr>
            <w:r>
              <w:t>Les activités curatoriales du Musée historique de Crète à Héraklion (</w:t>
            </w:r>
            <w:r>
              <w:rPr>
                <w:rFonts w:ascii="Consolas" w:eastAsia="Consolas" w:hAnsi="Consolas" w:cs="Consolas"/>
                <w:sz w:val="22"/>
                <w:szCs w:val="22"/>
                <w:shd w:val="clear" w:color="auto" w:fill="EAEEF3"/>
              </w:rPr>
              <w:t>E87_Activité_curatoriale</w:t>
            </w:r>
            <w:r>
              <w:t>) ont géré (</w:t>
            </w:r>
            <w:r>
              <w:rPr>
                <w:rFonts w:ascii="Consolas" w:eastAsia="Consolas" w:hAnsi="Consolas" w:cs="Consolas"/>
                <w:sz w:val="22"/>
                <w:szCs w:val="22"/>
                <w:shd w:val="clear" w:color="auto" w:fill="EAEEF3"/>
              </w:rPr>
              <w:t>P147_a_géré</w:t>
            </w:r>
            <w:r>
              <w:t>) le développement de la collection permanente de numismatique (</w:t>
            </w:r>
            <w:r>
              <w:rPr>
                <w:rFonts w:ascii="Consolas" w:eastAsia="Consolas" w:hAnsi="Consolas" w:cs="Consolas"/>
                <w:sz w:val="22"/>
                <w:szCs w:val="22"/>
                <w:shd w:val="clear" w:color="auto" w:fill="EAEEF3"/>
              </w:rPr>
              <w:t>E78_Collection</w:t>
            </w:r>
            <w:r>
              <w:t>) (musée historique de Crète, 2005-2020)</w:t>
            </w:r>
          </w:p>
          <w:p w14:paraId="25471B1B" w14:textId="77777777" w:rsidR="00BF18CF" w:rsidRDefault="00E51347">
            <w:pPr>
              <w:numPr>
                <w:ilvl w:val="0"/>
                <w:numId w:val="19"/>
              </w:numPr>
            </w:pPr>
            <w:r>
              <w:t>Les activités curatoriales de Mikael Heggelund Foslie (</w:t>
            </w:r>
            <w:r>
              <w:rPr>
                <w:rFonts w:ascii="Consolas" w:eastAsia="Consolas" w:hAnsi="Consolas" w:cs="Consolas"/>
                <w:sz w:val="22"/>
                <w:szCs w:val="22"/>
                <w:shd w:val="clear" w:color="auto" w:fill="EAEEF3"/>
              </w:rPr>
              <w:t>E87_Activité_curatoriale</w:t>
            </w:r>
            <w:r>
              <w:t>) ont géré (</w:t>
            </w:r>
            <w:r>
              <w:rPr>
                <w:rFonts w:ascii="Consolas" w:eastAsia="Consolas" w:hAnsi="Consolas" w:cs="Consolas"/>
                <w:sz w:val="22"/>
                <w:szCs w:val="22"/>
                <w:shd w:val="clear" w:color="auto" w:fill="EAEEF3"/>
              </w:rPr>
              <w:t>P147_a_géré</w:t>
            </w:r>
            <w:r>
              <w:t>) l'herbier d'algues rouges coralliennes de Mikael Heggelund Foslie (Woelkerling, 2005)</w:t>
            </w:r>
          </w:p>
        </w:tc>
      </w:tr>
      <w:tr w:rsidR="00BF18CF" w14:paraId="46DA927E" w14:textId="77777777" w:rsidTr="00BF18CF">
        <w:tc>
          <w:tcPr>
            <w:tcW w:w="2098" w:type="dxa"/>
          </w:tcPr>
          <w:p w14:paraId="56166F02"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2" w:type="dxa"/>
          </w:tcPr>
          <w:p w14:paraId="35AD876E" w14:textId="77777777" w:rsidR="00BF18CF" w:rsidRDefault="00E51347">
            <w:r>
              <w:t>P147(</w:t>
            </w:r>
            <w:proofErr w:type="gramStart"/>
            <w:r>
              <w:t>x,y</w:t>
            </w:r>
            <w:proofErr w:type="gramEnd"/>
            <w:r>
              <w:t>) ⇒ E87(x)</w:t>
            </w:r>
          </w:p>
          <w:p w14:paraId="5D31496C" w14:textId="77777777" w:rsidR="00BF18CF" w:rsidRDefault="00E51347">
            <w:r>
              <w:t>P147(</w:t>
            </w:r>
            <w:proofErr w:type="gramStart"/>
            <w:r>
              <w:t>x,y</w:t>
            </w:r>
            <w:proofErr w:type="gramEnd"/>
            <w:r>
              <w:t>) ⇒ E78(y)</w:t>
            </w:r>
          </w:p>
        </w:tc>
      </w:tr>
      <w:tr w:rsidR="00BF18CF" w14:paraId="37B055EF" w14:textId="77777777" w:rsidTr="00BF18CF">
        <w:tc>
          <w:tcPr>
            <w:tcW w:w="2098" w:type="dxa"/>
          </w:tcPr>
          <w:p w14:paraId="4A32D8F2"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2" w:type="dxa"/>
          </w:tcPr>
          <w:p w14:paraId="1BB98858" w14:textId="77777777" w:rsidR="00BF18CF" w:rsidRDefault="00BF18CF">
            <w:pPr>
              <w:pBdr>
                <w:top w:val="nil"/>
                <w:left w:val="nil"/>
                <w:bottom w:val="nil"/>
                <w:right w:val="nil"/>
                <w:between w:val="nil"/>
              </w:pBdr>
              <w:spacing w:before="36" w:after="36"/>
              <w:rPr>
                <w:color w:val="000000"/>
              </w:rPr>
            </w:pPr>
          </w:p>
        </w:tc>
      </w:tr>
      <w:tr w:rsidR="00BF18CF" w14:paraId="7C41A137" w14:textId="77777777" w:rsidTr="00BF18CF">
        <w:tc>
          <w:tcPr>
            <w:tcW w:w="2098" w:type="dxa"/>
          </w:tcPr>
          <w:p w14:paraId="02DD93FC" w14:textId="0F6EB05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2" w:type="dxa"/>
          </w:tcPr>
          <w:p w14:paraId="0982DC14" w14:textId="77777777" w:rsidR="00BF18CF" w:rsidRDefault="00BF18CF">
            <w:pPr>
              <w:pBdr>
                <w:top w:val="nil"/>
                <w:left w:val="nil"/>
                <w:bottom w:val="nil"/>
                <w:right w:val="nil"/>
                <w:between w:val="nil"/>
              </w:pBdr>
              <w:spacing w:before="36" w:after="36"/>
              <w:rPr>
                <w:color w:val="000000"/>
              </w:rPr>
            </w:pPr>
          </w:p>
        </w:tc>
      </w:tr>
      <w:tr w:rsidR="00BF18CF" w14:paraId="31910D29" w14:textId="77777777" w:rsidTr="00BF18CF">
        <w:tc>
          <w:tcPr>
            <w:tcW w:w="2098" w:type="dxa"/>
          </w:tcPr>
          <w:p w14:paraId="7CD2A36B"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8592" w:type="dxa"/>
          </w:tcPr>
          <w:p w14:paraId="37D438E2" w14:textId="77777777" w:rsidR="00BF18CF" w:rsidRPr="00EE61A5" w:rsidRDefault="00E51347">
            <w:pPr>
              <w:rPr>
                <w:lang w:val="en-CA"/>
              </w:rPr>
            </w:pPr>
            <w:r w:rsidRPr="00EE61A5">
              <w:rPr>
                <w:lang w:val="en-CA"/>
              </w:rPr>
              <w:t xml:space="preserve">Benaki Museum. « Childhood, </w:t>
            </w:r>
            <w:proofErr w:type="gramStart"/>
            <w:r w:rsidRPr="00EE61A5">
              <w:rPr>
                <w:lang w:val="en-CA"/>
              </w:rPr>
              <w:t>Toys</w:t>
            </w:r>
            <w:proofErr w:type="gramEnd"/>
            <w:r w:rsidRPr="00EE61A5">
              <w:rPr>
                <w:lang w:val="en-CA"/>
              </w:rPr>
              <w:t xml:space="preserve"> and Games - </w:t>
            </w:r>
            <w:r>
              <w:t>Μουσείο</w:t>
            </w:r>
            <w:r w:rsidRPr="00EE61A5">
              <w:rPr>
                <w:lang w:val="en-CA"/>
              </w:rPr>
              <w:t xml:space="preserve"> </w:t>
            </w:r>
            <w:r>
              <w:t>Μπενάκη</w:t>
            </w:r>
            <w:r w:rsidRPr="00EE61A5">
              <w:rPr>
                <w:lang w:val="en-CA"/>
              </w:rPr>
              <w:t xml:space="preserve"> ». Benaki Museum, 2016.</w:t>
            </w:r>
            <w:hyperlink r:id="rId422">
              <w:r w:rsidRPr="00EE61A5">
                <w:rPr>
                  <w:color w:val="4F81BD"/>
                  <w:lang w:val="en-CA"/>
                </w:rPr>
                <w:t xml:space="preserve"> https://www.benaki.org//index.php?option=com_collections&amp;view=collection&amp;id=45&amp;Itemid=540&amp;lang=el</w:t>
              </w:r>
            </w:hyperlink>
            <w:r w:rsidRPr="00EE61A5">
              <w:rPr>
                <w:lang w:val="en-CA"/>
              </w:rPr>
              <w:t>.</w:t>
            </w:r>
          </w:p>
          <w:p w14:paraId="6396F710" w14:textId="77777777" w:rsidR="00BF18CF" w:rsidRDefault="00E51347">
            <w:r w:rsidRPr="00EE61A5">
              <w:rPr>
                <w:lang w:val="en-CA"/>
              </w:rPr>
              <w:t xml:space="preserve">Theodoropoulos, Alexandros. « Maria Argyriadi: The Researcher and Toys Collector That Changed the Benaki Museum ». </w:t>
            </w:r>
            <w:r>
              <w:rPr>
                <w:i/>
              </w:rPr>
              <w:t>ImpacTalk</w:t>
            </w:r>
            <w:r>
              <w:t xml:space="preserve"> (blog), 21 mai 2021.</w:t>
            </w:r>
            <w:hyperlink r:id="rId423">
              <w:r>
                <w:rPr>
                  <w:color w:val="4F81BD"/>
                </w:rPr>
                <w:t xml:space="preserve"> https://impactalk.gr/en/stories-talk/maria-argyriadi-researcher-and-toys-collector-changed-benaki-museum</w:t>
              </w:r>
            </w:hyperlink>
            <w:r>
              <w:t>.</w:t>
            </w:r>
          </w:p>
        </w:tc>
      </w:tr>
    </w:tbl>
    <w:p w14:paraId="24B2AA66" w14:textId="77777777" w:rsidR="00BF18CF" w:rsidRDefault="00E51347">
      <w:pPr>
        <w:pStyle w:val="Heading3"/>
      </w:pPr>
      <w:bookmarkStart w:id="509" w:name="bookmark=id.41wqhpa" w:colFirst="0" w:colLast="0"/>
      <w:bookmarkStart w:id="510" w:name="_Toc144360998"/>
      <w:bookmarkEnd w:id="509"/>
      <w:r>
        <w:t>P148 a pour composant (est le composant de)</w:t>
      </w:r>
      <w:bookmarkEnd w:id="510"/>
    </w:p>
    <w:tbl>
      <w:tblPr>
        <w:tblStyle w:val="affffffff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76"/>
        <w:gridCol w:w="8714"/>
      </w:tblGrid>
      <w:tr w:rsidR="00BF18CF" w14:paraId="2219EE42" w14:textId="77777777" w:rsidTr="00BF18CF">
        <w:tc>
          <w:tcPr>
            <w:tcW w:w="1976" w:type="dxa"/>
          </w:tcPr>
          <w:p w14:paraId="753FCFF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14" w:type="dxa"/>
          </w:tcPr>
          <w:p w14:paraId="2C1AFAF2" w14:textId="77777777" w:rsidR="00BF18CF" w:rsidRDefault="00E51347">
            <w:r>
              <w:rPr>
                <w:rFonts w:ascii="Consolas" w:eastAsia="Consolas" w:hAnsi="Consolas" w:cs="Consolas"/>
                <w:sz w:val="22"/>
                <w:szCs w:val="22"/>
                <w:shd w:val="clear" w:color="auto" w:fill="EAEEF3"/>
              </w:rPr>
              <w:t>E89_Objet_propositionnel</w:t>
            </w:r>
          </w:p>
        </w:tc>
      </w:tr>
      <w:tr w:rsidR="00BF18CF" w14:paraId="2A1A6E51" w14:textId="77777777" w:rsidTr="00BF18CF">
        <w:tc>
          <w:tcPr>
            <w:tcW w:w="1976" w:type="dxa"/>
          </w:tcPr>
          <w:p w14:paraId="57D6135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14" w:type="dxa"/>
          </w:tcPr>
          <w:p w14:paraId="4AB20298" w14:textId="77777777" w:rsidR="00BF18CF" w:rsidRDefault="00E51347">
            <w:r>
              <w:rPr>
                <w:rFonts w:ascii="Consolas" w:eastAsia="Consolas" w:hAnsi="Consolas" w:cs="Consolas"/>
                <w:sz w:val="22"/>
                <w:szCs w:val="22"/>
                <w:shd w:val="clear" w:color="auto" w:fill="EAEEF3"/>
              </w:rPr>
              <w:t>E89_Objet_propositionnel</w:t>
            </w:r>
          </w:p>
        </w:tc>
      </w:tr>
      <w:tr w:rsidR="00BF18CF" w14:paraId="50CE3F01" w14:textId="77777777" w:rsidTr="00BF18CF">
        <w:tc>
          <w:tcPr>
            <w:tcW w:w="1976" w:type="dxa"/>
          </w:tcPr>
          <w:p w14:paraId="5306DEE2"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14" w:type="dxa"/>
          </w:tcPr>
          <w:p w14:paraId="49A16C8D" w14:textId="77777777" w:rsidR="00BF18CF" w:rsidRDefault="00BF18CF">
            <w:pPr>
              <w:pBdr>
                <w:top w:val="nil"/>
                <w:left w:val="nil"/>
                <w:bottom w:val="nil"/>
                <w:right w:val="nil"/>
                <w:between w:val="nil"/>
              </w:pBdr>
              <w:spacing w:before="36" w:after="36"/>
              <w:rPr>
                <w:color w:val="000000"/>
              </w:rPr>
            </w:pPr>
          </w:p>
        </w:tc>
      </w:tr>
      <w:tr w:rsidR="00BF18CF" w14:paraId="05020469" w14:textId="77777777" w:rsidTr="00BF18CF">
        <w:tc>
          <w:tcPr>
            <w:tcW w:w="1976" w:type="dxa"/>
          </w:tcPr>
          <w:p w14:paraId="1353E4C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14" w:type="dxa"/>
          </w:tcPr>
          <w:p w14:paraId="147C70D9" w14:textId="77777777" w:rsidR="00BF18CF" w:rsidRDefault="00BF18CF">
            <w:pPr>
              <w:pBdr>
                <w:top w:val="nil"/>
                <w:left w:val="nil"/>
                <w:bottom w:val="nil"/>
                <w:right w:val="nil"/>
                <w:between w:val="nil"/>
              </w:pBdr>
              <w:spacing w:before="36" w:after="36"/>
              <w:rPr>
                <w:color w:val="000000"/>
              </w:rPr>
            </w:pPr>
          </w:p>
        </w:tc>
      </w:tr>
      <w:tr w:rsidR="00BF18CF" w14:paraId="6E9AF92E" w14:textId="77777777" w:rsidTr="00BF18CF">
        <w:tc>
          <w:tcPr>
            <w:tcW w:w="1976" w:type="dxa"/>
          </w:tcPr>
          <w:p w14:paraId="396FDFE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14" w:type="dxa"/>
          </w:tcPr>
          <w:p w14:paraId="13EC62E7" w14:textId="77777777" w:rsidR="00BF18CF" w:rsidRDefault="00E51347">
            <w:proofErr w:type="gramStart"/>
            <w:r>
              <w:t>plusieurs</w:t>
            </w:r>
            <w:proofErr w:type="gramEnd"/>
            <w:r>
              <w:t xml:space="preserve"> à plusieurs (0,n:0,n)</w:t>
            </w:r>
          </w:p>
        </w:tc>
      </w:tr>
      <w:tr w:rsidR="00BF18CF" w14:paraId="78CBBED4" w14:textId="77777777" w:rsidTr="00BF18CF">
        <w:tc>
          <w:tcPr>
            <w:tcW w:w="1976" w:type="dxa"/>
          </w:tcPr>
          <w:p w14:paraId="4A563B9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14" w:type="dxa"/>
          </w:tcPr>
          <w:p w14:paraId="69380C34" w14:textId="77777777" w:rsidR="00BF18CF" w:rsidRDefault="00E51347">
            <w:r>
              <w:t xml:space="preserve">Cette propriété associe une instance de </w:t>
            </w:r>
            <w:r>
              <w:rPr>
                <w:rFonts w:ascii="Consolas" w:eastAsia="Consolas" w:hAnsi="Consolas" w:cs="Consolas"/>
                <w:sz w:val="22"/>
                <w:szCs w:val="22"/>
                <w:shd w:val="clear" w:color="auto" w:fill="EAEEF3"/>
              </w:rPr>
              <w:t>E89_Objet_propositionnel</w:t>
            </w:r>
            <w:r>
              <w:t xml:space="preserve"> avec une de ses parties structurelles qui est elle-même une instance de </w:t>
            </w:r>
            <w:r>
              <w:rPr>
                <w:rFonts w:ascii="Consolas" w:eastAsia="Consolas" w:hAnsi="Consolas" w:cs="Consolas"/>
                <w:sz w:val="22"/>
                <w:szCs w:val="22"/>
                <w:shd w:val="clear" w:color="auto" w:fill="EAEEF3"/>
              </w:rPr>
              <w:t>E89_Objet_propositionnel</w:t>
            </w:r>
            <w:r>
              <w:t>.</w:t>
            </w:r>
          </w:p>
          <w:p w14:paraId="263921A0" w14:textId="77777777" w:rsidR="00BF18CF" w:rsidRDefault="00E51347">
            <w:r>
              <w:t>Cette propriété est transitive.</w:t>
            </w:r>
          </w:p>
        </w:tc>
      </w:tr>
      <w:tr w:rsidR="00BF18CF" w14:paraId="1EDA775B" w14:textId="77777777" w:rsidTr="00BF18CF">
        <w:tc>
          <w:tcPr>
            <w:tcW w:w="1976" w:type="dxa"/>
          </w:tcPr>
          <w:p w14:paraId="3B64C4B3"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14" w:type="dxa"/>
          </w:tcPr>
          <w:p w14:paraId="23DAE045" w14:textId="77777777" w:rsidR="00BF18CF" w:rsidRDefault="00E51347">
            <w:pPr>
              <w:numPr>
                <w:ilvl w:val="0"/>
                <w:numId w:val="19"/>
              </w:numPr>
            </w:pPr>
            <w:r>
              <w:t xml:space="preserve">La </w:t>
            </w:r>
            <w:r>
              <w:rPr>
                <w:i/>
              </w:rPr>
              <w:t>Divine comédie</w:t>
            </w:r>
            <w:r>
              <w:t xml:space="preserve"> de Dante (</w:t>
            </w:r>
            <w:r>
              <w:rPr>
                <w:rFonts w:ascii="Consolas" w:eastAsia="Consolas" w:hAnsi="Consolas" w:cs="Consolas"/>
                <w:sz w:val="22"/>
                <w:szCs w:val="22"/>
                <w:shd w:val="clear" w:color="auto" w:fill="EAEEF3"/>
              </w:rPr>
              <w:t>E89_Objet_propositionnel</w:t>
            </w:r>
            <w:r>
              <w:t>) a pour composant (</w:t>
            </w:r>
            <w:r>
              <w:rPr>
                <w:rFonts w:ascii="Consolas" w:eastAsia="Consolas" w:hAnsi="Consolas" w:cs="Consolas"/>
                <w:sz w:val="22"/>
                <w:szCs w:val="22"/>
                <w:shd w:val="clear" w:color="auto" w:fill="EAEEF3"/>
              </w:rPr>
              <w:t>P148_a_pour_composant</w:t>
            </w:r>
            <w:r>
              <w:t>) « L'Enfer » (</w:t>
            </w:r>
            <w:r>
              <w:rPr>
                <w:rFonts w:ascii="Consolas" w:eastAsia="Consolas" w:hAnsi="Consolas" w:cs="Consolas"/>
                <w:sz w:val="22"/>
                <w:szCs w:val="22"/>
                <w:shd w:val="clear" w:color="auto" w:fill="EAEEF3"/>
              </w:rPr>
              <w:t>E89_Objet_propositionnel</w:t>
            </w:r>
            <w:r>
              <w:t>) (Alighieri, 1956)</w:t>
            </w:r>
          </w:p>
        </w:tc>
      </w:tr>
      <w:tr w:rsidR="00BF18CF" w14:paraId="65975CB0" w14:textId="77777777" w:rsidTr="00BF18CF">
        <w:tc>
          <w:tcPr>
            <w:tcW w:w="1976" w:type="dxa"/>
          </w:tcPr>
          <w:p w14:paraId="3E21B20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14" w:type="dxa"/>
          </w:tcPr>
          <w:p w14:paraId="2DB88E51" w14:textId="77777777" w:rsidR="00BF18CF" w:rsidRDefault="00E51347">
            <w:r>
              <w:t>P148(</w:t>
            </w:r>
            <w:proofErr w:type="gramStart"/>
            <w:r>
              <w:t>x,y</w:t>
            </w:r>
            <w:proofErr w:type="gramEnd"/>
            <w:r>
              <w:t>) ⇒ E89(x)</w:t>
            </w:r>
          </w:p>
          <w:p w14:paraId="1C387AFE" w14:textId="77777777" w:rsidR="00BF18CF" w:rsidRDefault="00E51347">
            <w:r>
              <w:t>P148(</w:t>
            </w:r>
            <w:proofErr w:type="gramStart"/>
            <w:r>
              <w:t>x,y</w:t>
            </w:r>
            <w:proofErr w:type="gramEnd"/>
            <w:r>
              <w:t>) ⇒ E89(y)</w:t>
            </w:r>
          </w:p>
          <w:p w14:paraId="3DD31347" w14:textId="77777777" w:rsidR="00BF18CF" w:rsidRDefault="00E51347">
            <w:r>
              <w:t>[P148(</w:t>
            </w:r>
            <w:proofErr w:type="gramStart"/>
            <w:r>
              <w:t>x,y</w:t>
            </w:r>
            <w:proofErr w:type="gramEnd"/>
            <w:r>
              <w:t>) ∧ P148(y,z)] ⇒ P148(x,z)</w:t>
            </w:r>
          </w:p>
        </w:tc>
      </w:tr>
      <w:tr w:rsidR="00BF18CF" w14:paraId="44AD8D59" w14:textId="77777777" w:rsidTr="00BF18CF">
        <w:tc>
          <w:tcPr>
            <w:tcW w:w="1976" w:type="dxa"/>
          </w:tcPr>
          <w:p w14:paraId="7ACBBA3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14" w:type="dxa"/>
          </w:tcPr>
          <w:p w14:paraId="74B451A8" w14:textId="77777777" w:rsidR="00BF18CF" w:rsidRDefault="00BF18CF">
            <w:pPr>
              <w:pBdr>
                <w:top w:val="nil"/>
                <w:left w:val="nil"/>
                <w:bottom w:val="nil"/>
                <w:right w:val="nil"/>
                <w:between w:val="nil"/>
              </w:pBdr>
              <w:spacing w:before="36" w:after="36"/>
              <w:rPr>
                <w:color w:val="000000"/>
              </w:rPr>
            </w:pPr>
          </w:p>
        </w:tc>
      </w:tr>
      <w:tr w:rsidR="00BF18CF" w14:paraId="7484A5C9" w14:textId="77777777" w:rsidTr="00BF18CF">
        <w:tc>
          <w:tcPr>
            <w:tcW w:w="1976" w:type="dxa"/>
          </w:tcPr>
          <w:p w14:paraId="511457C9" w14:textId="5396019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14" w:type="dxa"/>
          </w:tcPr>
          <w:p w14:paraId="1478ACAA" w14:textId="77777777" w:rsidR="00BF18CF" w:rsidRDefault="00E51347">
            <w:r>
              <w:t>La traduction des titres de « Divine Comedy » est issue de la version française publiée par la Bibliothèque de la Pléiade en 2021.</w:t>
            </w:r>
          </w:p>
        </w:tc>
      </w:tr>
      <w:tr w:rsidR="00BF18CF" w14:paraId="75B90071" w14:textId="77777777" w:rsidTr="00BF18CF">
        <w:tc>
          <w:tcPr>
            <w:tcW w:w="1976" w:type="dxa"/>
          </w:tcPr>
          <w:p w14:paraId="1FD8FA6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14" w:type="dxa"/>
          </w:tcPr>
          <w:p w14:paraId="620BB203" w14:textId="77777777" w:rsidR="00BF18CF" w:rsidRDefault="00E51347">
            <w:r>
              <w:t xml:space="preserve">Alighieri, Dante. </w:t>
            </w:r>
            <w:r>
              <w:rPr>
                <w:i/>
              </w:rPr>
              <w:t>La divine comédie</w:t>
            </w:r>
            <w:r>
              <w:t xml:space="preserve">. Édité par Carlo Ossola. Traduit par Jacqueline Risset. Éd. </w:t>
            </w:r>
            <w:proofErr w:type="gramStart"/>
            <w:r>
              <w:t>bilingue</w:t>
            </w:r>
            <w:proofErr w:type="gramEnd"/>
            <w:r>
              <w:t>. Bibliothèque de la Pléiade 659. 1308–1321. Reprint, Paris: Gallimard, 2021.</w:t>
            </w:r>
          </w:p>
        </w:tc>
      </w:tr>
    </w:tbl>
    <w:p w14:paraId="5552E9B5" w14:textId="77777777" w:rsidR="00BF18CF" w:rsidRDefault="00E51347">
      <w:pPr>
        <w:pStyle w:val="Heading3"/>
      </w:pPr>
      <w:bookmarkStart w:id="511" w:name="bookmark=id.2h20rx3" w:colFirst="0" w:colLast="0"/>
      <w:bookmarkStart w:id="512" w:name="_Toc144360999"/>
      <w:bookmarkEnd w:id="511"/>
      <w:r>
        <w:t>P150 définit les éléments typiques de (définit l’ensemble typique pour)</w:t>
      </w:r>
      <w:bookmarkEnd w:id="512"/>
    </w:p>
    <w:tbl>
      <w:tblPr>
        <w:tblStyle w:val="afffffff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9"/>
        <w:gridCol w:w="8821"/>
      </w:tblGrid>
      <w:tr w:rsidR="00BF18CF" w14:paraId="0480EAC2" w14:textId="77777777" w:rsidTr="00BF18CF">
        <w:tc>
          <w:tcPr>
            <w:tcW w:w="1869" w:type="dxa"/>
          </w:tcPr>
          <w:p w14:paraId="68DCABEE"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1" w:type="dxa"/>
          </w:tcPr>
          <w:p w14:paraId="74BCA7DE" w14:textId="77777777" w:rsidR="00BF18CF" w:rsidRDefault="00E51347">
            <w:r>
              <w:rPr>
                <w:rFonts w:ascii="Consolas" w:eastAsia="Consolas" w:hAnsi="Consolas" w:cs="Consolas"/>
                <w:sz w:val="22"/>
                <w:szCs w:val="22"/>
                <w:shd w:val="clear" w:color="auto" w:fill="EAEEF3"/>
              </w:rPr>
              <w:t>E55_Type</w:t>
            </w:r>
          </w:p>
        </w:tc>
      </w:tr>
      <w:tr w:rsidR="00BF18CF" w14:paraId="1EC356F6" w14:textId="77777777" w:rsidTr="00BF18CF">
        <w:tc>
          <w:tcPr>
            <w:tcW w:w="1869" w:type="dxa"/>
          </w:tcPr>
          <w:p w14:paraId="60BAD8BC"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1" w:type="dxa"/>
          </w:tcPr>
          <w:p w14:paraId="7B199057" w14:textId="77777777" w:rsidR="00BF18CF" w:rsidRDefault="00E51347">
            <w:r>
              <w:rPr>
                <w:rFonts w:ascii="Consolas" w:eastAsia="Consolas" w:hAnsi="Consolas" w:cs="Consolas"/>
                <w:sz w:val="22"/>
                <w:szCs w:val="22"/>
                <w:shd w:val="clear" w:color="auto" w:fill="EAEEF3"/>
              </w:rPr>
              <w:t>E55_Type</w:t>
            </w:r>
          </w:p>
        </w:tc>
      </w:tr>
      <w:tr w:rsidR="00BF18CF" w14:paraId="38B736D4" w14:textId="77777777" w:rsidTr="00BF18CF">
        <w:tc>
          <w:tcPr>
            <w:tcW w:w="1869" w:type="dxa"/>
          </w:tcPr>
          <w:p w14:paraId="46EBF0DC" w14:textId="77777777" w:rsidR="00BF18CF" w:rsidRDefault="00E51347">
            <w:pPr>
              <w:pBdr>
                <w:top w:val="nil"/>
                <w:left w:val="nil"/>
                <w:bottom w:val="nil"/>
                <w:right w:val="nil"/>
                <w:between w:val="nil"/>
              </w:pBdr>
              <w:spacing w:before="36" w:after="36"/>
              <w:rPr>
                <w:color w:val="000000"/>
              </w:rPr>
            </w:pPr>
            <w:r>
              <w:rPr>
                <w:b/>
                <w:color w:val="000000"/>
              </w:rPr>
              <w:lastRenderedPageBreak/>
              <w:t>Sous-propriété de</w:t>
            </w:r>
          </w:p>
        </w:tc>
        <w:tc>
          <w:tcPr>
            <w:tcW w:w="8821" w:type="dxa"/>
          </w:tcPr>
          <w:p w14:paraId="64840B6D" w14:textId="77777777" w:rsidR="00BF18CF" w:rsidRDefault="00BF18CF">
            <w:pPr>
              <w:pBdr>
                <w:top w:val="nil"/>
                <w:left w:val="nil"/>
                <w:bottom w:val="nil"/>
                <w:right w:val="nil"/>
                <w:between w:val="nil"/>
              </w:pBdr>
              <w:spacing w:before="36" w:after="36"/>
              <w:rPr>
                <w:color w:val="000000"/>
              </w:rPr>
            </w:pPr>
          </w:p>
        </w:tc>
      </w:tr>
      <w:tr w:rsidR="00BF18CF" w14:paraId="05BBBA80" w14:textId="77777777" w:rsidTr="00BF18CF">
        <w:tc>
          <w:tcPr>
            <w:tcW w:w="1869" w:type="dxa"/>
          </w:tcPr>
          <w:p w14:paraId="67BF41D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1" w:type="dxa"/>
          </w:tcPr>
          <w:p w14:paraId="2F4F0691" w14:textId="77777777" w:rsidR="00BF18CF" w:rsidRDefault="00BF18CF">
            <w:pPr>
              <w:pBdr>
                <w:top w:val="nil"/>
                <w:left w:val="nil"/>
                <w:bottom w:val="nil"/>
                <w:right w:val="nil"/>
                <w:between w:val="nil"/>
              </w:pBdr>
              <w:spacing w:before="36" w:after="36"/>
              <w:rPr>
                <w:color w:val="000000"/>
              </w:rPr>
            </w:pPr>
          </w:p>
        </w:tc>
      </w:tr>
      <w:tr w:rsidR="00BF18CF" w14:paraId="44B5A27B" w14:textId="77777777" w:rsidTr="00BF18CF">
        <w:tc>
          <w:tcPr>
            <w:tcW w:w="1869" w:type="dxa"/>
          </w:tcPr>
          <w:p w14:paraId="0DEE8177"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1" w:type="dxa"/>
          </w:tcPr>
          <w:p w14:paraId="11E97837" w14:textId="77777777" w:rsidR="00BF18CF" w:rsidRDefault="00E51347">
            <w:proofErr w:type="gramStart"/>
            <w:r>
              <w:t>plusieurs</w:t>
            </w:r>
            <w:proofErr w:type="gramEnd"/>
            <w:r>
              <w:t xml:space="preserve"> à plusieurs (0,n:0,n)</w:t>
            </w:r>
          </w:p>
        </w:tc>
      </w:tr>
      <w:tr w:rsidR="00BF18CF" w14:paraId="49D09776" w14:textId="77777777" w:rsidTr="00BF18CF">
        <w:tc>
          <w:tcPr>
            <w:tcW w:w="1869" w:type="dxa"/>
          </w:tcPr>
          <w:p w14:paraId="072733F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21" w:type="dxa"/>
          </w:tcPr>
          <w:p w14:paraId="06020239" w14:textId="77777777" w:rsidR="00BF18CF" w:rsidRDefault="00E51347">
            <w:r>
              <w:t xml:space="preserve">Cette propriété associe une instance </w:t>
            </w:r>
            <w:r>
              <w:rPr>
                <w:rFonts w:ascii="Consolas" w:eastAsia="Consolas" w:hAnsi="Consolas" w:cs="Consolas"/>
                <w:sz w:val="22"/>
                <w:szCs w:val="22"/>
                <w:shd w:val="clear" w:color="auto" w:fill="EAEEF3"/>
              </w:rPr>
              <w:t>E55_Type</w:t>
            </w:r>
            <w:r>
              <w:t xml:space="preserve"> de type « A » avec une instance </w:t>
            </w:r>
            <w:r>
              <w:rPr>
                <w:rFonts w:ascii="Consolas" w:eastAsia="Consolas" w:hAnsi="Consolas" w:cs="Consolas"/>
                <w:sz w:val="22"/>
                <w:szCs w:val="22"/>
                <w:shd w:val="clear" w:color="auto" w:fill="EAEEF3"/>
              </w:rPr>
              <w:t>E55_Type</w:t>
            </w:r>
            <w:r>
              <w:t xml:space="preserve"> de type « B », lorsque des entités de type « A » forment typiquement des éléments d’entités de type « B », tels que les « moteurs de voiture » et les « voitures ». La propriété n’est pas transitive.</w:t>
            </w:r>
          </w:p>
          <w:p w14:paraId="161BF69D" w14:textId="77777777" w:rsidR="00BF18CF" w:rsidRDefault="00E51347">
            <w:r>
              <w:t xml:space="preserve">Cela permet aux types « A » et « B » d’être organisés en hiérarchies basées sur un type décrivant des éléments typiques d’un autre type. Cette propriété est équivalente au « terme générique partitif (TGP) » défini par la norme ISO 2788 et par la </w:t>
            </w:r>
            <w:proofErr w:type="gramStart"/>
            <w:r>
              <w:t>propriété«</w:t>
            </w:r>
            <w:proofErr w:type="gramEnd"/>
            <w:r>
              <w:t> broaderPartitive » dans la recommandation SKOS.</w:t>
            </w:r>
          </w:p>
        </w:tc>
      </w:tr>
      <w:tr w:rsidR="00BF18CF" w14:paraId="68332B51" w14:textId="77777777" w:rsidTr="00BF18CF">
        <w:tc>
          <w:tcPr>
            <w:tcW w:w="1869" w:type="dxa"/>
          </w:tcPr>
          <w:p w14:paraId="624F6D1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21" w:type="dxa"/>
          </w:tcPr>
          <w:p w14:paraId="1C183843" w14:textId="77777777" w:rsidR="00BF18CF" w:rsidRDefault="00E51347">
            <w:pPr>
              <w:numPr>
                <w:ilvl w:val="0"/>
                <w:numId w:val="19"/>
              </w:numPr>
            </w:pPr>
            <w:r>
              <w:t>Les moteurs de voiture (</w:t>
            </w:r>
            <w:r>
              <w:rPr>
                <w:rFonts w:ascii="Consolas" w:eastAsia="Consolas" w:hAnsi="Consolas" w:cs="Consolas"/>
                <w:sz w:val="22"/>
                <w:szCs w:val="22"/>
                <w:shd w:val="clear" w:color="auto" w:fill="EAEEF3"/>
              </w:rPr>
              <w:t>E55_Type</w:t>
            </w:r>
            <w:r>
              <w:t>) définissent les éléments typiques (</w:t>
            </w:r>
            <w:r>
              <w:rPr>
                <w:rFonts w:ascii="Consolas" w:eastAsia="Consolas" w:hAnsi="Consolas" w:cs="Consolas"/>
                <w:sz w:val="22"/>
                <w:szCs w:val="22"/>
                <w:shd w:val="clear" w:color="auto" w:fill="EAEEF3"/>
              </w:rPr>
              <w:t>P150_définit_les_éléments_typiques_de</w:t>
            </w:r>
            <w:r>
              <w:t>) des voitures (</w:t>
            </w:r>
            <w:r>
              <w:rPr>
                <w:rFonts w:ascii="Consolas" w:eastAsia="Consolas" w:hAnsi="Consolas" w:cs="Consolas"/>
                <w:sz w:val="22"/>
                <w:szCs w:val="22"/>
                <w:shd w:val="clear" w:color="auto" w:fill="EAEEF3"/>
              </w:rPr>
              <w:t>E55_Type</w:t>
            </w:r>
            <w:r>
              <w:t>) (fictif)</w:t>
            </w:r>
          </w:p>
        </w:tc>
      </w:tr>
      <w:tr w:rsidR="00BF18CF" w14:paraId="68C1A83A" w14:textId="77777777" w:rsidTr="00BF18CF">
        <w:tc>
          <w:tcPr>
            <w:tcW w:w="1869" w:type="dxa"/>
          </w:tcPr>
          <w:p w14:paraId="0E11BF7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1" w:type="dxa"/>
          </w:tcPr>
          <w:p w14:paraId="59EBB197" w14:textId="77777777" w:rsidR="00BF18CF" w:rsidRDefault="00E51347">
            <w:r>
              <w:t>P150(</w:t>
            </w:r>
            <w:proofErr w:type="gramStart"/>
            <w:r>
              <w:t>x,y</w:t>
            </w:r>
            <w:proofErr w:type="gramEnd"/>
            <w:r>
              <w:t>) ⇒ E55(x)</w:t>
            </w:r>
          </w:p>
          <w:p w14:paraId="4208DAE0" w14:textId="77777777" w:rsidR="00BF18CF" w:rsidRDefault="00E51347">
            <w:r>
              <w:t>P150(</w:t>
            </w:r>
            <w:proofErr w:type="gramStart"/>
            <w:r>
              <w:t>x,y</w:t>
            </w:r>
            <w:proofErr w:type="gramEnd"/>
            <w:r>
              <w:t>) ⇒ E55(y)</w:t>
            </w:r>
          </w:p>
        </w:tc>
      </w:tr>
      <w:tr w:rsidR="00BF18CF" w14:paraId="31EF537B" w14:textId="77777777" w:rsidTr="00BF18CF">
        <w:tc>
          <w:tcPr>
            <w:tcW w:w="1869" w:type="dxa"/>
          </w:tcPr>
          <w:p w14:paraId="685FA5A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21" w:type="dxa"/>
          </w:tcPr>
          <w:p w14:paraId="386265FC" w14:textId="77777777" w:rsidR="00BF18CF" w:rsidRDefault="00BF18CF">
            <w:pPr>
              <w:pBdr>
                <w:top w:val="nil"/>
                <w:left w:val="nil"/>
                <w:bottom w:val="nil"/>
                <w:right w:val="nil"/>
                <w:between w:val="nil"/>
              </w:pBdr>
              <w:spacing w:before="36" w:after="36"/>
              <w:rPr>
                <w:color w:val="000000"/>
              </w:rPr>
            </w:pPr>
          </w:p>
        </w:tc>
      </w:tr>
      <w:tr w:rsidR="00BF18CF" w14:paraId="64F56952" w14:textId="77777777" w:rsidTr="00BF18CF">
        <w:tc>
          <w:tcPr>
            <w:tcW w:w="1869" w:type="dxa"/>
          </w:tcPr>
          <w:p w14:paraId="456274D8" w14:textId="3701089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1" w:type="dxa"/>
          </w:tcPr>
          <w:p w14:paraId="6D29502B" w14:textId="77777777" w:rsidR="00BF18CF" w:rsidRDefault="00BF18CF">
            <w:pPr>
              <w:pBdr>
                <w:top w:val="nil"/>
                <w:left w:val="nil"/>
                <w:bottom w:val="nil"/>
                <w:right w:val="nil"/>
                <w:between w:val="nil"/>
              </w:pBdr>
              <w:spacing w:before="36" w:after="36"/>
              <w:rPr>
                <w:color w:val="000000"/>
              </w:rPr>
            </w:pPr>
          </w:p>
        </w:tc>
      </w:tr>
      <w:tr w:rsidR="00BF18CF" w14:paraId="4AD42A6B" w14:textId="77777777" w:rsidTr="00BF18CF">
        <w:tc>
          <w:tcPr>
            <w:tcW w:w="1869" w:type="dxa"/>
          </w:tcPr>
          <w:p w14:paraId="35D6579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1" w:type="dxa"/>
          </w:tcPr>
          <w:p w14:paraId="7AEC004B" w14:textId="77777777" w:rsidR="00BF18CF" w:rsidRDefault="00BF18CF">
            <w:pPr>
              <w:pBdr>
                <w:top w:val="nil"/>
                <w:left w:val="nil"/>
                <w:bottom w:val="nil"/>
                <w:right w:val="nil"/>
                <w:between w:val="nil"/>
              </w:pBdr>
              <w:spacing w:before="36" w:after="36"/>
              <w:rPr>
                <w:color w:val="000000"/>
              </w:rPr>
            </w:pPr>
          </w:p>
        </w:tc>
      </w:tr>
    </w:tbl>
    <w:p w14:paraId="486C175F" w14:textId="77777777" w:rsidR="00BF18CF" w:rsidRDefault="00E51347">
      <w:pPr>
        <w:pStyle w:val="Heading3"/>
      </w:pPr>
      <w:bookmarkStart w:id="513" w:name="bookmark=id.w7b24w" w:colFirst="0" w:colLast="0"/>
      <w:bookmarkStart w:id="514" w:name="_Toc144361000"/>
      <w:bookmarkEnd w:id="513"/>
      <w:r>
        <w:t>P151 a été formé à partir de (a participé à)</w:t>
      </w:r>
      <w:bookmarkEnd w:id="514"/>
    </w:p>
    <w:tbl>
      <w:tblPr>
        <w:tblStyle w:val="afffffff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19"/>
        <w:gridCol w:w="8771"/>
      </w:tblGrid>
      <w:tr w:rsidR="00BF18CF" w14:paraId="3BEA5F23" w14:textId="77777777" w:rsidTr="00BF18CF">
        <w:tc>
          <w:tcPr>
            <w:tcW w:w="1919" w:type="dxa"/>
          </w:tcPr>
          <w:p w14:paraId="75C982CE"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71" w:type="dxa"/>
          </w:tcPr>
          <w:p w14:paraId="4EAC1D3C" w14:textId="77777777" w:rsidR="00BF18CF" w:rsidRDefault="00E51347">
            <w:r>
              <w:rPr>
                <w:rFonts w:ascii="Consolas" w:eastAsia="Consolas" w:hAnsi="Consolas" w:cs="Consolas"/>
                <w:sz w:val="22"/>
                <w:szCs w:val="22"/>
                <w:shd w:val="clear" w:color="auto" w:fill="EAEEF3"/>
              </w:rPr>
              <w:t>E66_Formation</w:t>
            </w:r>
          </w:p>
        </w:tc>
      </w:tr>
      <w:tr w:rsidR="00BF18CF" w14:paraId="25A332BB" w14:textId="77777777" w:rsidTr="00BF18CF">
        <w:tc>
          <w:tcPr>
            <w:tcW w:w="1919" w:type="dxa"/>
          </w:tcPr>
          <w:p w14:paraId="2950A17A"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71" w:type="dxa"/>
          </w:tcPr>
          <w:p w14:paraId="154F7E0B" w14:textId="77777777" w:rsidR="00BF18CF" w:rsidRDefault="00E51347">
            <w:r>
              <w:rPr>
                <w:rFonts w:ascii="Consolas" w:eastAsia="Consolas" w:hAnsi="Consolas" w:cs="Consolas"/>
                <w:sz w:val="22"/>
                <w:szCs w:val="22"/>
                <w:shd w:val="clear" w:color="auto" w:fill="EAEEF3"/>
              </w:rPr>
              <w:t>E74_Groupe</w:t>
            </w:r>
          </w:p>
        </w:tc>
      </w:tr>
      <w:tr w:rsidR="00BF18CF" w14:paraId="6F4AE513" w14:textId="77777777" w:rsidTr="00BF18CF">
        <w:tc>
          <w:tcPr>
            <w:tcW w:w="1919" w:type="dxa"/>
          </w:tcPr>
          <w:p w14:paraId="00DDF56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71" w:type="dxa"/>
          </w:tcPr>
          <w:p w14:paraId="5E1BE5C7" w14:textId="77777777" w:rsidR="00BF18CF" w:rsidRDefault="00E51347">
            <w:r>
              <w:rPr>
                <w:rFonts w:ascii="Consolas" w:eastAsia="Consolas" w:hAnsi="Consolas" w:cs="Consolas"/>
                <w:sz w:val="22"/>
                <w:szCs w:val="22"/>
                <w:shd w:val="clear" w:color="auto" w:fill="EAEEF3"/>
              </w:rPr>
              <w:t>E5_Évènement</w:t>
            </w:r>
            <w:r>
              <w:t xml:space="preserve">. </w:t>
            </w:r>
            <w:r>
              <w:rPr>
                <w:rFonts w:ascii="Consolas" w:eastAsia="Consolas" w:hAnsi="Consolas" w:cs="Consolas"/>
                <w:sz w:val="22"/>
                <w:szCs w:val="22"/>
                <w:shd w:val="clear" w:color="auto" w:fill="EAEEF3"/>
              </w:rPr>
              <w:t>P11_a_eu_pour_actant_participant (a_participé_à)</w:t>
            </w:r>
            <w:r>
              <w:t xml:space="preserve"> : </w:t>
            </w:r>
            <w:r>
              <w:rPr>
                <w:rFonts w:ascii="Consolas" w:eastAsia="Consolas" w:hAnsi="Consolas" w:cs="Consolas"/>
                <w:sz w:val="22"/>
                <w:szCs w:val="22"/>
                <w:shd w:val="clear" w:color="auto" w:fill="EAEEF3"/>
              </w:rPr>
              <w:t>E39_Actant</w:t>
            </w:r>
          </w:p>
        </w:tc>
      </w:tr>
      <w:tr w:rsidR="00BF18CF" w14:paraId="201D7BE7" w14:textId="77777777" w:rsidTr="00BF18CF">
        <w:tc>
          <w:tcPr>
            <w:tcW w:w="1919" w:type="dxa"/>
          </w:tcPr>
          <w:p w14:paraId="2742F0C8"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71" w:type="dxa"/>
          </w:tcPr>
          <w:p w14:paraId="4E1BEB44" w14:textId="77777777" w:rsidR="00BF18CF" w:rsidRDefault="00BF18CF">
            <w:pPr>
              <w:pBdr>
                <w:top w:val="nil"/>
                <w:left w:val="nil"/>
                <w:bottom w:val="nil"/>
                <w:right w:val="nil"/>
                <w:between w:val="nil"/>
              </w:pBdr>
              <w:spacing w:before="36" w:after="36"/>
              <w:rPr>
                <w:color w:val="000000"/>
              </w:rPr>
            </w:pPr>
          </w:p>
        </w:tc>
      </w:tr>
      <w:tr w:rsidR="00BF18CF" w14:paraId="1ACEA4FF" w14:textId="77777777" w:rsidTr="00BF18CF">
        <w:tc>
          <w:tcPr>
            <w:tcW w:w="1919" w:type="dxa"/>
          </w:tcPr>
          <w:p w14:paraId="26270B7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71" w:type="dxa"/>
          </w:tcPr>
          <w:p w14:paraId="42F06139" w14:textId="77777777" w:rsidR="00BF18CF" w:rsidRDefault="00E51347">
            <w:proofErr w:type="gramStart"/>
            <w:r>
              <w:t>plusieurs</w:t>
            </w:r>
            <w:proofErr w:type="gramEnd"/>
            <w:r>
              <w:t xml:space="preserve"> à plusieurs (0,n:0,n)</w:t>
            </w:r>
          </w:p>
        </w:tc>
      </w:tr>
      <w:tr w:rsidR="00BF18CF" w14:paraId="18862CAA" w14:textId="77777777" w:rsidTr="00BF18CF">
        <w:tc>
          <w:tcPr>
            <w:tcW w:w="1919" w:type="dxa"/>
          </w:tcPr>
          <w:p w14:paraId="049C839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71" w:type="dxa"/>
          </w:tcPr>
          <w:p w14:paraId="0370C6C5" w14:textId="77777777" w:rsidR="00BF18CF" w:rsidRDefault="00E51347">
            <w:r>
              <w:t xml:space="preserve">Cette propriété associe une instance de </w:t>
            </w:r>
            <w:r>
              <w:rPr>
                <w:rFonts w:ascii="Consolas" w:eastAsia="Consolas" w:hAnsi="Consolas" w:cs="Consolas"/>
                <w:sz w:val="22"/>
                <w:szCs w:val="22"/>
                <w:shd w:val="clear" w:color="auto" w:fill="EAEEF3"/>
              </w:rPr>
              <w:t>E66_Formation</w:t>
            </w:r>
            <w:r>
              <w:t xml:space="preserve"> à l’instance de </w:t>
            </w:r>
            <w:r>
              <w:rPr>
                <w:rFonts w:ascii="Consolas" w:eastAsia="Consolas" w:hAnsi="Consolas" w:cs="Consolas"/>
                <w:sz w:val="22"/>
                <w:szCs w:val="22"/>
                <w:shd w:val="clear" w:color="auto" w:fill="EAEEF3"/>
              </w:rPr>
              <w:t>E74_Groupe</w:t>
            </w:r>
            <w:r>
              <w:t xml:space="preserve"> à partir de laquelle un nouveau groupe a été fondé tout en conservant une forme de continuité, tel que dans la mission, les membres ou la tradition.</w:t>
            </w:r>
          </w:p>
        </w:tc>
      </w:tr>
      <w:tr w:rsidR="00BF18CF" w14:paraId="48B91606" w14:textId="77777777" w:rsidTr="00BF18CF">
        <w:tc>
          <w:tcPr>
            <w:tcW w:w="1919" w:type="dxa"/>
          </w:tcPr>
          <w:p w14:paraId="6E6C38F7"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71" w:type="dxa"/>
          </w:tcPr>
          <w:p w14:paraId="48D2594F" w14:textId="77777777" w:rsidR="00BF18CF" w:rsidRDefault="00E51347">
            <w:pPr>
              <w:numPr>
                <w:ilvl w:val="0"/>
                <w:numId w:val="19"/>
              </w:numPr>
            </w:pPr>
            <w:r>
              <w:t>La formation de la Maison de Bourbon-Conti en 1581 (</w:t>
            </w:r>
            <w:r>
              <w:rPr>
                <w:rFonts w:ascii="Consolas" w:eastAsia="Consolas" w:hAnsi="Consolas" w:cs="Consolas"/>
                <w:sz w:val="22"/>
                <w:szCs w:val="22"/>
                <w:shd w:val="clear" w:color="auto" w:fill="EAEEF3"/>
              </w:rPr>
              <w:t>E66_Formation</w:t>
            </w:r>
            <w:r>
              <w:t>) a été formée à partir de (</w:t>
            </w:r>
            <w:r>
              <w:rPr>
                <w:rFonts w:ascii="Consolas" w:eastAsia="Consolas" w:hAnsi="Consolas" w:cs="Consolas"/>
                <w:sz w:val="22"/>
                <w:szCs w:val="22"/>
                <w:shd w:val="clear" w:color="auto" w:fill="EAEEF3"/>
              </w:rPr>
              <w:t>P151_a_été_formé_à_partir_de</w:t>
            </w:r>
            <w:r>
              <w:t>) la Maison de Condé (</w:t>
            </w:r>
            <w:r>
              <w:rPr>
                <w:rFonts w:ascii="Consolas" w:eastAsia="Consolas" w:hAnsi="Consolas" w:cs="Consolas"/>
                <w:sz w:val="22"/>
                <w:szCs w:val="22"/>
                <w:shd w:val="clear" w:color="auto" w:fill="EAEEF3"/>
              </w:rPr>
              <w:t>E74_Groupe</w:t>
            </w:r>
            <w:r>
              <w:t>) (Collectif et Musée d'art et d'histoire Louis-Senlecq, 1900)</w:t>
            </w:r>
          </w:p>
        </w:tc>
      </w:tr>
      <w:tr w:rsidR="00BF18CF" w14:paraId="04AB5713" w14:textId="77777777" w:rsidTr="00BF18CF">
        <w:tc>
          <w:tcPr>
            <w:tcW w:w="1919" w:type="dxa"/>
          </w:tcPr>
          <w:p w14:paraId="7F8EB45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71" w:type="dxa"/>
          </w:tcPr>
          <w:p w14:paraId="20A9C82C" w14:textId="77777777" w:rsidR="00BF18CF" w:rsidRDefault="00E51347">
            <w:r>
              <w:t>P151(</w:t>
            </w:r>
            <w:proofErr w:type="gramStart"/>
            <w:r>
              <w:t>x,y</w:t>
            </w:r>
            <w:proofErr w:type="gramEnd"/>
            <w:r>
              <w:t>) ⇒ E66(x)</w:t>
            </w:r>
          </w:p>
          <w:p w14:paraId="2C7113FB" w14:textId="77777777" w:rsidR="00BF18CF" w:rsidRDefault="00E51347">
            <w:r>
              <w:lastRenderedPageBreak/>
              <w:t>P151(</w:t>
            </w:r>
            <w:proofErr w:type="gramStart"/>
            <w:r>
              <w:t>x,y</w:t>
            </w:r>
            <w:proofErr w:type="gramEnd"/>
            <w:r>
              <w:t>) ⇒ E74(y)</w:t>
            </w:r>
          </w:p>
          <w:p w14:paraId="09184F6A" w14:textId="77777777" w:rsidR="00BF18CF" w:rsidRDefault="00E51347">
            <w:r>
              <w:t>P151(</w:t>
            </w:r>
            <w:proofErr w:type="gramStart"/>
            <w:r>
              <w:t>x,y</w:t>
            </w:r>
            <w:proofErr w:type="gramEnd"/>
            <w:r>
              <w:t>) ⇒ P11(x,y)</w:t>
            </w:r>
          </w:p>
        </w:tc>
      </w:tr>
      <w:tr w:rsidR="00BF18CF" w14:paraId="22496EA5" w14:textId="77777777" w:rsidTr="00BF18CF">
        <w:tc>
          <w:tcPr>
            <w:tcW w:w="1919" w:type="dxa"/>
          </w:tcPr>
          <w:p w14:paraId="3C3824E8"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771" w:type="dxa"/>
          </w:tcPr>
          <w:p w14:paraId="50ECAA2D" w14:textId="77777777" w:rsidR="00BF18CF" w:rsidRDefault="00BF18CF">
            <w:pPr>
              <w:pBdr>
                <w:top w:val="nil"/>
                <w:left w:val="nil"/>
                <w:bottom w:val="nil"/>
                <w:right w:val="nil"/>
                <w:between w:val="nil"/>
              </w:pBdr>
              <w:spacing w:before="36" w:after="36"/>
              <w:rPr>
                <w:color w:val="000000"/>
              </w:rPr>
            </w:pPr>
          </w:p>
        </w:tc>
      </w:tr>
      <w:tr w:rsidR="00BF18CF" w14:paraId="6A03060A" w14:textId="77777777" w:rsidTr="00BF18CF">
        <w:tc>
          <w:tcPr>
            <w:tcW w:w="1919" w:type="dxa"/>
          </w:tcPr>
          <w:p w14:paraId="762671CD" w14:textId="0112602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71" w:type="dxa"/>
          </w:tcPr>
          <w:p w14:paraId="3BE8B8B7" w14:textId="77777777" w:rsidR="00BF18CF" w:rsidRDefault="00BF18CF">
            <w:pPr>
              <w:pBdr>
                <w:top w:val="nil"/>
                <w:left w:val="nil"/>
                <w:bottom w:val="nil"/>
                <w:right w:val="nil"/>
                <w:between w:val="nil"/>
              </w:pBdr>
              <w:spacing w:before="36" w:after="36"/>
              <w:rPr>
                <w:color w:val="000000"/>
              </w:rPr>
            </w:pPr>
          </w:p>
        </w:tc>
      </w:tr>
      <w:tr w:rsidR="00BF18CF" w14:paraId="00ED6182" w14:textId="77777777" w:rsidTr="00BF18CF">
        <w:tc>
          <w:tcPr>
            <w:tcW w:w="1919" w:type="dxa"/>
          </w:tcPr>
          <w:p w14:paraId="110BAB5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71" w:type="dxa"/>
          </w:tcPr>
          <w:p w14:paraId="07B9E0AF" w14:textId="77777777" w:rsidR="00BF18CF" w:rsidRDefault="00BF18CF">
            <w:pPr>
              <w:pBdr>
                <w:top w:val="nil"/>
                <w:left w:val="nil"/>
                <w:bottom w:val="nil"/>
                <w:right w:val="nil"/>
                <w:between w:val="nil"/>
              </w:pBdr>
              <w:spacing w:before="36" w:after="36"/>
              <w:rPr>
                <w:color w:val="000000"/>
              </w:rPr>
            </w:pPr>
          </w:p>
        </w:tc>
      </w:tr>
    </w:tbl>
    <w:p w14:paraId="2DC27A17" w14:textId="77777777" w:rsidR="00BF18CF" w:rsidRDefault="00E51347">
      <w:pPr>
        <w:pStyle w:val="Heading3"/>
      </w:pPr>
      <w:bookmarkStart w:id="515" w:name="bookmark=id.3g6yksp" w:colFirst="0" w:colLast="0"/>
      <w:bookmarkStart w:id="516" w:name="_Toc144361001"/>
      <w:bookmarkEnd w:id="515"/>
      <w:r>
        <w:t>P152 a pour parent (est le parent de)</w:t>
      </w:r>
      <w:bookmarkEnd w:id="516"/>
    </w:p>
    <w:tbl>
      <w:tblPr>
        <w:tblStyle w:val="afffffff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04"/>
        <w:gridCol w:w="8786"/>
      </w:tblGrid>
      <w:tr w:rsidR="00BF18CF" w14:paraId="4F6F5932" w14:textId="77777777" w:rsidTr="00BF18CF">
        <w:tc>
          <w:tcPr>
            <w:tcW w:w="1904" w:type="dxa"/>
          </w:tcPr>
          <w:p w14:paraId="18D2913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86" w:type="dxa"/>
          </w:tcPr>
          <w:p w14:paraId="611A77B6" w14:textId="77777777" w:rsidR="00BF18CF" w:rsidRDefault="00E51347">
            <w:r>
              <w:rPr>
                <w:rFonts w:ascii="Consolas" w:eastAsia="Consolas" w:hAnsi="Consolas" w:cs="Consolas"/>
                <w:sz w:val="22"/>
                <w:szCs w:val="22"/>
                <w:shd w:val="clear" w:color="auto" w:fill="EAEEF3"/>
              </w:rPr>
              <w:t>E21_Personne</w:t>
            </w:r>
          </w:p>
        </w:tc>
      </w:tr>
      <w:tr w:rsidR="00BF18CF" w14:paraId="11B3D8C1" w14:textId="77777777" w:rsidTr="00BF18CF">
        <w:tc>
          <w:tcPr>
            <w:tcW w:w="1904" w:type="dxa"/>
          </w:tcPr>
          <w:p w14:paraId="7DBDADA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86" w:type="dxa"/>
          </w:tcPr>
          <w:p w14:paraId="70BCAFDE" w14:textId="77777777" w:rsidR="00BF18CF" w:rsidRDefault="00E51347">
            <w:r>
              <w:rPr>
                <w:rFonts w:ascii="Consolas" w:eastAsia="Consolas" w:hAnsi="Consolas" w:cs="Consolas"/>
                <w:sz w:val="22"/>
                <w:szCs w:val="22"/>
                <w:shd w:val="clear" w:color="auto" w:fill="EAEEF3"/>
              </w:rPr>
              <w:t>E21_Personne</w:t>
            </w:r>
          </w:p>
        </w:tc>
      </w:tr>
      <w:tr w:rsidR="00BF18CF" w14:paraId="65DAEF2E" w14:textId="77777777" w:rsidTr="00BF18CF">
        <w:tc>
          <w:tcPr>
            <w:tcW w:w="1904" w:type="dxa"/>
          </w:tcPr>
          <w:p w14:paraId="3B8F166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86" w:type="dxa"/>
          </w:tcPr>
          <w:p w14:paraId="7B5ACF98" w14:textId="77777777" w:rsidR="00BF18CF" w:rsidRDefault="00BF18CF">
            <w:pPr>
              <w:pBdr>
                <w:top w:val="nil"/>
                <w:left w:val="nil"/>
                <w:bottom w:val="nil"/>
                <w:right w:val="nil"/>
                <w:between w:val="nil"/>
              </w:pBdr>
              <w:spacing w:before="36" w:after="36"/>
              <w:rPr>
                <w:color w:val="000000"/>
              </w:rPr>
            </w:pPr>
          </w:p>
        </w:tc>
      </w:tr>
      <w:tr w:rsidR="00BF18CF" w14:paraId="5DABEB2F" w14:textId="77777777" w:rsidTr="00BF18CF">
        <w:tc>
          <w:tcPr>
            <w:tcW w:w="1904" w:type="dxa"/>
          </w:tcPr>
          <w:p w14:paraId="1B16A66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86" w:type="dxa"/>
          </w:tcPr>
          <w:p w14:paraId="4EF9BBF1" w14:textId="77777777" w:rsidR="00BF18CF" w:rsidRDefault="00BF18CF">
            <w:pPr>
              <w:pBdr>
                <w:top w:val="nil"/>
                <w:left w:val="nil"/>
                <w:bottom w:val="nil"/>
                <w:right w:val="nil"/>
                <w:between w:val="nil"/>
              </w:pBdr>
              <w:spacing w:before="36" w:after="36"/>
              <w:rPr>
                <w:color w:val="000000"/>
              </w:rPr>
            </w:pPr>
          </w:p>
        </w:tc>
      </w:tr>
      <w:tr w:rsidR="00BF18CF" w14:paraId="5E06E887" w14:textId="77777777" w:rsidTr="00BF18CF">
        <w:tc>
          <w:tcPr>
            <w:tcW w:w="1904" w:type="dxa"/>
          </w:tcPr>
          <w:p w14:paraId="276A53BA"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86" w:type="dxa"/>
          </w:tcPr>
          <w:p w14:paraId="351ABE65" w14:textId="77777777" w:rsidR="00BF18CF" w:rsidRDefault="00E51347">
            <w:proofErr w:type="gramStart"/>
            <w:r>
              <w:t>plusieurs</w:t>
            </w:r>
            <w:proofErr w:type="gramEnd"/>
            <w:r>
              <w:t xml:space="preserve"> à plusieurs, nécessaire (2,n:0,n)</w:t>
            </w:r>
          </w:p>
        </w:tc>
      </w:tr>
      <w:tr w:rsidR="00BF18CF" w14:paraId="080BF640" w14:textId="77777777" w:rsidTr="00BF18CF">
        <w:tc>
          <w:tcPr>
            <w:tcW w:w="1904" w:type="dxa"/>
          </w:tcPr>
          <w:p w14:paraId="4A1379F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86" w:type="dxa"/>
          </w:tcPr>
          <w:p w14:paraId="683A6998" w14:textId="77777777" w:rsidR="00BF18CF" w:rsidRDefault="00E51347">
            <w:r>
              <w:t xml:space="preserve">Cette propriété associe une instance de </w:t>
            </w:r>
            <w:r>
              <w:rPr>
                <w:rFonts w:ascii="Consolas" w:eastAsia="Consolas" w:hAnsi="Consolas" w:cs="Consolas"/>
                <w:sz w:val="22"/>
                <w:szCs w:val="22"/>
                <w:shd w:val="clear" w:color="auto" w:fill="EAEEF3"/>
              </w:rPr>
              <w:t>E21_Personne</w:t>
            </w:r>
            <w:r>
              <w:t xml:space="preserve"> avec une autre instance de </w:t>
            </w:r>
            <w:r>
              <w:rPr>
                <w:rFonts w:ascii="Consolas" w:eastAsia="Consolas" w:hAnsi="Consolas" w:cs="Consolas"/>
                <w:sz w:val="22"/>
                <w:szCs w:val="22"/>
                <w:shd w:val="clear" w:color="auto" w:fill="EAEEF3"/>
              </w:rPr>
              <w:t>E21_Personne</w:t>
            </w:r>
            <w:r>
              <w:t xml:space="preserve"> qui joue le rôle de parent de la première. Cette relation parentale peut être caractérisée par un lien biologique, qu’il soit supposé, prétendu ou attesté, ou par toute autre forme équivalente de statut légal impliquant des droits et devoirs obtenus par un acte social ou légal.</w:t>
            </w:r>
          </w:p>
          <w:p w14:paraId="23F1D1E6" w14:textId="77777777" w:rsidR="00BF18CF" w:rsidRDefault="00E51347">
            <w:r>
              <w:t>Cette propriété est, parmis d’autres, un raccourci des chemins sémantiques suivants :</w:t>
            </w:r>
          </w:p>
          <w:p w14:paraId="0F0E2AB1" w14:textId="77777777" w:rsidR="00BF18CF" w:rsidRDefault="00E51347">
            <w:r>
              <w:rPr>
                <w:rFonts w:ascii="Consolas" w:eastAsia="Consolas" w:hAnsi="Consolas" w:cs="Consolas"/>
                <w:sz w:val="22"/>
                <w:szCs w:val="22"/>
                <w:shd w:val="clear" w:color="auto" w:fill="EAEEF3"/>
              </w:rPr>
              <w:t>E21_Personne</w:t>
            </w:r>
            <w:r>
              <w:t xml:space="preserve">, </w:t>
            </w:r>
            <w:r>
              <w:rPr>
                <w:rFonts w:ascii="Consolas" w:eastAsia="Consolas" w:hAnsi="Consolas" w:cs="Consolas"/>
                <w:sz w:val="22"/>
                <w:szCs w:val="22"/>
                <w:shd w:val="clear" w:color="auto" w:fill="EAEEF3"/>
              </w:rPr>
              <w:t>P98i_est_né</w:t>
            </w:r>
            <w:r>
              <w:t xml:space="preserve">, </w:t>
            </w:r>
            <w:r>
              <w:rPr>
                <w:rFonts w:ascii="Consolas" w:eastAsia="Consolas" w:hAnsi="Consolas" w:cs="Consolas"/>
                <w:sz w:val="22"/>
                <w:szCs w:val="22"/>
                <w:shd w:val="clear" w:color="auto" w:fill="EAEEF3"/>
              </w:rPr>
              <w:t>E67_Naissance</w:t>
            </w:r>
            <w:r>
              <w:t xml:space="preserve">, </w:t>
            </w:r>
            <w:r>
              <w:rPr>
                <w:rFonts w:ascii="Consolas" w:eastAsia="Consolas" w:hAnsi="Consolas" w:cs="Consolas"/>
                <w:sz w:val="22"/>
                <w:szCs w:val="22"/>
                <w:shd w:val="clear" w:color="auto" w:fill="EAEEF3"/>
              </w:rPr>
              <w:t>P96_de_mère</w:t>
            </w:r>
            <w:r>
              <w:t xml:space="preserve">, </w:t>
            </w:r>
            <w:r>
              <w:rPr>
                <w:rFonts w:ascii="Consolas" w:eastAsia="Consolas" w:hAnsi="Consolas" w:cs="Consolas"/>
                <w:sz w:val="22"/>
                <w:szCs w:val="22"/>
                <w:shd w:val="clear" w:color="auto" w:fill="EAEEF3"/>
              </w:rPr>
              <w:t>E21_Personne</w:t>
            </w:r>
          </w:p>
          <w:p w14:paraId="2D887C61" w14:textId="77777777" w:rsidR="00BF18CF" w:rsidRDefault="00E51347">
            <w:r>
              <w:rPr>
                <w:rFonts w:ascii="Consolas" w:eastAsia="Consolas" w:hAnsi="Consolas" w:cs="Consolas"/>
                <w:sz w:val="22"/>
                <w:szCs w:val="22"/>
                <w:shd w:val="clear" w:color="auto" w:fill="EAEEF3"/>
              </w:rPr>
              <w:t>E21_Personne</w:t>
            </w:r>
            <w:r>
              <w:t xml:space="preserve">, </w:t>
            </w:r>
            <w:r>
              <w:rPr>
                <w:rFonts w:ascii="Consolas" w:eastAsia="Consolas" w:hAnsi="Consolas" w:cs="Consolas"/>
                <w:sz w:val="22"/>
                <w:szCs w:val="22"/>
                <w:shd w:val="clear" w:color="auto" w:fill="EAEEF3"/>
              </w:rPr>
              <w:t>P98i_est_né</w:t>
            </w:r>
            <w:r>
              <w:t xml:space="preserve">, </w:t>
            </w:r>
            <w:r>
              <w:rPr>
                <w:rFonts w:ascii="Consolas" w:eastAsia="Consolas" w:hAnsi="Consolas" w:cs="Consolas"/>
                <w:sz w:val="22"/>
                <w:szCs w:val="22"/>
                <w:shd w:val="clear" w:color="auto" w:fill="EAEEF3"/>
              </w:rPr>
              <w:t>E67_Naissance</w:t>
            </w:r>
            <w:r>
              <w:t xml:space="preserve">, </w:t>
            </w:r>
            <w:r>
              <w:rPr>
                <w:rFonts w:ascii="Consolas" w:eastAsia="Consolas" w:hAnsi="Consolas" w:cs="Consolas"/>
                <w:sz w:val="22"/>
                <w:szCs w:val="22"/>
                <w:shd w:val="clear" w:color="auto" w:fill="EAEEF3"/>
              </w:rPr>
              <w:t>P97_de_père</w:t>
            </w:r>
            <w:r>
              <w:t xml:space="preserve">, </w:t>
            </w:r>
            <w:r>
              <w:rPr>
                <w:rFonts w:ascii="Consolas" w:eastAsia="Consolas" w:hAnsi="Consolas" w:cs="Consolas"/>
                <w:sz w:val="22"/>
                <w:szCs w:val="22"/>
                <w:shd w:val="clear" w:color="auto" w:fill="EAEEF3"/>
              </w:rPr>
              <w:t>E21_Personne</w:t>
            </w:r>
            <w:r>
              <w:t>.</w:t>
            </w:r>
          </w:p>
          <w:p w14:paraId="681851EE" w14:textId="77777777" w:rsidR="00BF18CF" w:rsidRDefault="00E51347">
            <w:r>
              <w:t>Cette propriété est non transitive.</w:t>
            </w:r>
          </w:p>
        </w:tc>
      </w:tr>
      <w:tr w:rsidR="00BF18CF" w14:paraId="4F57E4DB" w14:textId="77777777" w:rsidTr="00BF18CF">
        <w:tc>
          <w:tcPr>
            <w:tcW w:w="1904" w:type="dxa"/>
          </w:tcPr>
          <w:p w14:paraId="4DF2A01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86" w:type="dxa"/>
          </w:tcPr>
          <w:p w14:paraId="6FF5281D" w14:textId="77777777" w:rsidR="00BF18CF" w:rsidRDefault="00E51347">
            <w:pPr>
              <w:numPr>
                <w:ilvl w:val="0"/>
                <w:numId w:val="19"/>
              </w:numPr>
            </w:pPr>
            <w:r>
              <w:t>Gaius Octavius (</w:t>
            </w:r>
            <w:r>
              <w:rPr>
                <w:rFonts w:ascii="Consolas" w:eastAsia="Consolas" w:hAnsi="Consolas" w:cs="Consolas"/>
                <w:sz w:val="22"/>
                <w:szCs w:val="22"/>
                <w:shd w:val="clear" w:color="auto" w:fill="EAEEF3"/>
              </w:rPr>
              <w:t>E21_Personne</w:t>
            </w:r>
            <w:r>
              <w:t>) a pour parent (</w:t>
            </w:r>
            <w:r>
              <w:rPr>
                <w:rFonts w:ascii="Consolas" w:eastAsia="Consolas" w:hAnsi="Consolas" w:cs="Consolas"/>
                <w:sz w:val="22"/>
                <w:szCs w:val="22"/>
                <w:shd w:val="clear" w:color="auto" w:fill="EAEEF3"/>
              </w:rPr>
              <w:t>P152_a_pour_parent</w:t>
            </w:r>
            <w:r>
              <w:t>) Jules César (</w:t>
            </w:r>
            <w:r>
              <w:rPr>
                <w:rFonts w:ascii="Consolas" w:eastAsia="Consolas" w:hAnsi="Consolas" w:cs="Consolas"/>
                <w:sz w:val="22"/>
                <w:szCs w:val="22"/>
                <w:shd w:val="clear" w:color="auto" w:fill="EAEEF3"/>
              </w:rPr>
              <w:t>E21_Personne</w:t>
            </w:r>
            <w:r>
              <w:t>) (Bleicken, 2015)</w:t>
            </w:r>
          </w:p>
          <w:p w14:paraId="2B10C77D" w14:textId="77777777" w:rsidR="00BF18CF" w:rsidRDefault="00E51347">
            <w:pPr>
              <w:numPr>
                <w:ilvl w:val="0"/>
                <w:numId w:val="19"/>
              </w:numPr>
            </w:pPr>
            <w:r>
              <w:t>Steve Jobs (</w:t>
            </w:r>
            <w:r>
              <w:rPr>
                <w:rFonts w:ascii="Consolas" w:eastAsia="Consolas" w:hAnsi="Consolas" w:cs="Consolas"/>
                <w:sz w:val="22"/>
                <w:szCs w:val="22"/>
                <w:shd w:val="clear" w:color="auto" w:fill="EAEEF3"/>
              </w:rPr>
              <w:t>E21_Personne</w:t>
            </w:r>
            <w:r>
              <w:t>) a pour parent (</w:t>
            </w:r>
            <w:r>
              <w:rPr>
                <w:rFonts w:ascii="Consolas" w:eastAsia="Consolas" w:hAnsi="Consolas" w:cs="Consolas"/>
                <w:sz w:val="22"/>
                <w:szCs w:val="22"/>
                <w:shd w:val="clear" w:color="auto" w:fill="EAEEF3"/>
              </w:rPr>
              <w:t>P152_a_pour_parent</w:t>
            </w:r>
            <w:r>
              <w:t>) Joanne Simpson [mère biologique] (</w:t>
            </w:r>
            <w:r>
              <w:rPr>
                <w:rFonts w:ascii="Consolas" w:eastAsia="Consolas" w:hAnsi="Consolas" w:cs="Consolas"/>
                <w:sz w:val="22"/>
                <w:szCs w:val="22"/>
                <w:shd w:val="clear" w:color="auto" w:fill="EAEEF3"/>
              </w:rPr>
              <w:t>E21_Personne</w:t>
            </w:r>
            <w:r>
              <w:t>) (Isaacson, 2011)</w:t>
            </w:r>
          </w:p>
          <w:p w14:paraId="3DC1D011" w14:textId="77777777" w:rsidR="00BF18CF" w:rsidRDefault="00E51347">
            <w:pPr>
              <w:numPr>
                <w:ilvl w:val="0"/>
                <w:numId w:val="19"/>
              </w:numPr>
            </w:pPr>
            <w:r>
              <w:t>Steve Jobs (</w:t>
            </w:r>
            <w:r>
              <w:rPr>
                <w:rFonts w:ascii="Consolas" w:eastAsia="Consolas" w:hAnsi="Consolas" w:cs="Consolas"/>
                <w:sz w:val="22"/>
                <w:szCs w:val="22"/>
                <w:shd w:val="clear" w:color="auto" w:fill="EAEEF3"/>
              </w:rPr>
              <w:t>E21_Personne</w:t>
            </w:r>
            <w:r>
              <w:t>) a pour parent (</w:t>
            </w:r>
            <w:r>
              <w:rPr>
                <w:rFonts w:ascii="Consolas" w:eastAsia="Consolas" w:hAnsi="Consolas" w:cs="Consolas"/>
                <w:sz w:val="22"/>
                <w:szCs w:val="22"/>
                <w:shd w:val="clear" w:color="auto" w:fill="EAEEF3"/>
              </w:rPr>
              <w:t>P152_a_pour_parent</w:t>
            </w:r>
            <w:r>
              <w:t>) Clara Jobs [mère adoptive] (</w:t>
            </w:r>
            <w:r>
              <w:rPr>
                <w:rFonts w:ascii="Consolas" w:eastAsia="Consolas" w:hAnsi="Consolas" w:cs="Consolas"/>
                <w:sz w:val="22"/>
                <w:szCs w:val="22"/>
                <w:shd w:val="clear" w:color="auto" w:fill="EAEEF3"/>
              </w:rPr>
              <w:t>E21_Personne</w:t>
            </w:r>
            <w:r>
              <w:t>) (Isaacson, 2011)</w:t>
            </w:r>
          </w:p>
        </w:tc>
      </w:tr>
      <w:tr w:rsidR="00BF18CF" w14:paraId="49D16B57" w14:textId="77777777" w:rsidTr="00BF18CF">
        <w:tc>
          <w:tcPr>
            <w:tcW w:w="1904" w:type="dxa"/>
          </w:tcPr>
          <w:p w14:paraId="79F386B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86" w:type="dxa"/>
          </w:tcPr>
          <w:p w14:paraId="0E84F10E" w14:textId="77777777" w:rsidR="00BF18CF" w:rsidRDefault="00E51347">
            <w:r>
              <w:t>P152(</w:t>
            </w:r>
            <w:proofErr w:type="gramStart"/>
            <w:r>
              <w:t>x,y</w:t>
            </w:r>
            <w:proofErr w:type="gramEnd"/>
            <w:r>
              <w:t>) ⇒ E21(x)</w:t>
            </w:r>
          </w:p>
          <w:p w14:paraId="1D206B3F" w14:textId="77777777" w:rsidR="00BF18CF" w:rsidRDefault="00E51347">
            <w:r>
              <w:t>P152(</w:t>
            </w:r>
            <w:proofErr w:type="gramStart"/>
            <w:r>
              <w:t>x,y</w:t>
            </w:r>
            <w:proofErr w:type="gramEnd"/>
            <w:r>
              <w:t>) ⇒ E21(y)</w:t>
            </w:r>
          </w:p>
          <w:p w14:paraId="7FBF1C76" w14:textId="77777777" w:rsidR="00BF18CF" w:rsidRDefault="00E51347">
            <w:r>
              <w:t>P152(</w:t>
            </w:r>
            <w:proofErr w:type="gramStart"/>
            <w:r>
              <w:t>x,y</w:t>
            </w:r>
            <w:proofErr w:type="gramEnd"/>
            <w:r>
              <w:t>) ⇐ (∃z) [E67(z) ˄ P98i(x,z) ˄ P96(z,y)]</w:t>
            </w:r>
          </w:p>
          <w:p w14:paraId="61B3CD22" w14:textId="77777777" w:rsidR="00BF18CF" w:rsidRDefault="00E51347">
            <w:r>
              <w:t>P152(</w:t>
            </w:r>
            <w:proofErr w:type="gramStart"/>
            <w:r>
              <w:t>x,y</w:t>
            </w:r>
            <w:proofErr w:type="gramEnd"/>
            <w:r>
              <w:t>) ⇐ (∃z) [E67(z) ˄ P98i(x,z) ˄ P97(z,y)]</w:t>
            </w:r>
          </w:p>
        </w:tc>
      </w:tr>
      <w:tr w:rsidR="00BF18CF" w14:paraId="0EFE3BF8" w14:textId="77777777" w:rsidTr="00BF18CF">
        <w:tc>
          <w:tcPr>
            <w:tcW w:w="1904" w:type="dxa"/>
          </w:tcPr>
          <w:p w14:paraId="020FC838"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786" w:type="dxa"/>
          </w:tcPr>
          <w:p w14:paraId="3280B721" w14:textId="77777777" w:rsidR="00BF18CF" w:rsidRDefault="00BF18CF">
            <w:pPr>
              <w:pBdr>
                <w:top w:val="nil"/>
                <w:left w:val="nil"/>
                <w:bottom w:val="nil"/>
                <w:right w:val="nil"/>
                <w:between w:val="nil"/>
              </w:pBdr>
              <w:spacing w:before="36" w:after="36"/>
              <w:rPr>
                <w:color w:val="000000"/>
              </w:rPr>
            </w:pPr>
          </w:p>
        </w:tc>
      </w:tr>
      <w:tr w:rsidR="00BF18CF" w14:paraId="796DCCC5" w14:textId="77777777" w:rsidTr="00BF18CF">
        <w:tc>
          <w:tcPr>
            <w:tcW w:w="1904" w:type="dxa"/>
          </w:tcPr>
          <w:p w14:paraId="4A4F4E71" w14:textId="28A0909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86" w:type="dxa"/>
          </w:tcPr>
          <w:p w14:paraId="5F812B7A" w14:textId="77777777" w:rsidR="00BF18CF" w:rsidRDefault="00BF18CF">
            <w:pPr>
              <w:pBdr>
                <w:top w:val="nil"/>
                <w:left w:val="nil"/>
                <w:bottom w:val="nil"/>
                <w:right w:val="nil"/>
                <w:between w:val="nil"/>
              </w:pBdr>
              <w:spacing w:before="36" w:after="36"/>
              <w:rPr>
                <w:color w:val="000000"/>
              </w:rPr>
            </w:pPr>
          </w:p>
        </w:tc>
      </w:tr>
      <w:tr w:rsidR="00BF18CF" w14:paraId="143C78B4" w14:textId="77777777" w:rsidTr="00BF18CF">
        <w:tc>
          <w:tcPr>
            <w:tcW w:w="1904" w:type="dxa"/>
          </w:tcPr>
          <w:p w14:paraId="04559F8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86" w:type="dxa"/>
          </w:tcPr>
          <w:p w14:paraId="63D59831" w14:textId="77777777" w:rsidR="00BF18CF" w:rsidRDefault="00BF18CF">
            <w:pPr>
              <w:pBdr>
                <w:top w:val="nil"/>
                <w:left w:val="nil"/>
                <w:bottom w:val="nil"/>
                <w:right w:val="nil"/>
                <w:between w:val="nil"/>
              </w:pBdr>
              <w:spacing w:before="36" w:after="36"/>
              <w:rPr>
                <w:color w:val="000000"/>
              </w:rPr>
            </w:pPr>
          </w:p>
        </w:tc>
      </w:tr>
    </w:tbl>
    <w:p w14:paraId="6EEF5041" w14:textId="77777777" w:rsidR="00BF18CF" w:rsidRDefault="00E51347">
      <w:pPr>
        <w:pStyle w:val="Heading3"/>
      </w:pPr>
      <w:bookmarkStart w:id="517" w:name="bookmark=id.1vc8v0i" w:colFirst="0" w:colLast="0"/>
      <w:bookmarkStart w:id="518" w:name="_Toc144361002"/>
      <w:bookmarkEnd w:id="517"/>
      <w:r>
        <w:t>P156 occupe (est occupé par)</w:t>
      </w:r>
      <w:bookmarkEnd w:id="518"/>
    </w:p>
    <w:tbl>
      <w:tblPr>
        <w:tblStyle w:val="afffffff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2"/>
        <w:gridCol w:w="8828"/>
      </w:tblGrid>
      <w:tr w:rsidR="00BF18CF" w14:paraId="0EF66293" w14:textId="77777777" w:rsidTr="00BF18CF">
        <w:tc>
          <w:tcPr>
            <w:tcW w:w="1862" w:type="dxa"/>
          </w:tcPr>
          <w:p w14:paraId="6DE6B6A9"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8" w:type="dxa"/>
          </w:tcPr>
          <w:p w14:paraId="46FA64B6" w14:textId="77777777" w:rsidR="00BF18CF" w:rsidRDefault="00E51347">
            <w:r>
              <w:rPr>
                <w:rFonts w:ascii="Consolas" w:eastAsia="Consolas" w:hAnsi="Consolas" w:cs="Consolas"/>
                <w:sz w:val="22"/>
                <w:szCs w:val="22"/>
                <w:shd w:val="clear" w:color="auto" w:fill="EAEEF3"/>
              </w:rPr>
              <w:t>E18_Chose_matérielle</w:t>
            </w:r>
          </w:p>
        </w:tc>
      </w:tr>
      <w:tr w:rsidR="00BF18CF" w14:paraId="3D5B3858" w14:textId="77777777" w:rsidTr="00BF18CF">
        <w:tc>
          <w:tcPr>
            <w:tcW w:w="1862" w:type="dxa"/>
          </w:tcPr>
          <w:p w14:paraId="1D306DAF"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8" w:type="dxa"/>
          </w:tcPr>
          <w:p w14:paraId="65EC829A" w14:textId="77777777" w:rsidR="00BF18CF" w:rsidRDefault="00E51347">
            <w:r>
              <w:rPr>
                <w:rFonts w:ascii="Consolas" w:eastAsia="Consolas" w:hAnsi="Consolas" w:cs="Consolas"/>
                <w:sz w:val="22"/>
                <w:szCs w:val="22"/>
                <w:shd w:val="clear" w:color="auto" w:fill="EAEEF3"/>
              </w:rPr>
              <w:t>E53_Lieu</w:t>
            </w:r>
          </w:p>
        </w:tc>
      </w:tr>
      <w:tr w:rsidR="00BF18CF" w14:paraId="53415516" w14:textId="77777777" w:rsidTr="00BF18CF">
        <w:tc>
          <w:tcPr>
            <w:tcW w:w="1862" w:type="dxa"/>
          </w:tcPr>
          <w:p w14:paraId="6F8D5F1C"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28" w:type="dxa"/>
          </w:tcPr>
          <w:p w14:paraId="1D869887"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P53_a_pour_localisation_actuelle_ou_antérieure (est_la_localisation_actuelle_ou_antérieure_de)</w:t>
            </w:r>
            <w:r>
              <w:t xml:space="preserve"> : </w:t>
            </w:r>
            <w:r>
              <w:rPr>
                <w:rFonts w:ascii="Consolas" w:eastAsia="Consolas" w:hAnsi="Consolas" w:cs="Consolas"/>
                <w:sz w:val="22"/>
                <w:szCs w:val="22"/>
                <w:shd w:val="clear" w:color="auto" w:fill="EAEEF3"/>
              </w:rPr>
              <w:t>E53_Lieu</w:t>
            </w:r>
          </w:p>
          <w:p w14:paraId="4F96477D" w14:textId="77777777" w:rsidR="00BF18CF" w:rsidRDefault="00E51347">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P157i_procure_l’espace_de_référence_pour</w:t>
            </w:r>
            <w:r>
              <w:t xml:space="preserve"> : </w:t>
            </w:r>
            <w:r>
              <w:rPr>
                <w:rFonts w:ascii="Consolas" w:eastAsia="Consolas" w:hAnsi="Consolas" w:cs="Consolas"/>
                <w:sz w:val="22"/>
                <w:szCs w:val="22"/>
                <w:shd w:val="clear" w:color="auto" w:fill="EAEEF3"/>
              </w:rPr>
              <w:t>E53_Lieu</w:t>
            </w:r>
          </w:p>
        </w:tc>
      </w:tr>
      <w:tr w:rsidR="00BF18CF" w14:paraId="72FB6EA3" w14:textId="77777777" w:rsidTr="00BF18CF">
        <w:tc>
          <w:tcPr>
            <w:tcW w:w="1862" w:type="dxa"/>
          </w:tcPr>
          <w:p w14:paraId="0C69FC3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8" w:type="dxa"/>
          </w:tcPr>
          <w:p w14:paraId="58FCBD6A" w14:textId="77777777" w:rsidR="00BF18CF" w:rsidRDefault="00BF18CF">
            <w:pPr>
              <w:pBdr>
                <w:top w:val="nil"/>
                <w:left w:val="nil"/>
                <w:bottom w:val="nil"/>
                <w:right w:val="nil"/>
                <w:between w:val="nil"/>
              </w:pBdr>
              <w:spacing w:before="36" w:after="36"/>
              <w:rPr>
                <w:color w:val="000000"/>
              </w:rPr>
            </w:pPr>
          </w:p>
        </w:tc>
      </w:tr>
      <w:tr w:rsidR="00BF18CF" w14:paraId="499B5739" w14:textId="77777777" w:rsidTr="00BF18CF">
        <w:tc>
          <w:tcPr>
            <w:tcW w:w="1862" w:type="dxa"/>
          </w:tcPr>
          <w:p w14:paraId="32D048F8"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8" w:type="dxa"/>
          </w:tcPr>
          <w:p w14:paraId="7B8C1F57" w14:textId="77777777" w:rsidR="00BF18CF" w:rsidRDefault="00E51347">
            <w:proofErr w:type="gramStart"/>
            <w:r>
              <w:t>plusieurs</w:t>
            </w:r>
            <w:proofErr w:type="gramEnd"/>
            <w:r>
              <w:t xml:space="preserve"> à un (0,1:0,n)</w:t>
            </w:r>
          </w:p>
        </w:tc>
      </w:tr>
      <w:tr w:rsidR="00BF18CF" w14:paraId="78D60044" w14:textId="77777777" w:rsidTr="00BF18CF">
        <w:tc>
          <w:tcPr>
            <w:tcW w:w="1862" w:type="dxa"/>
          </w:tcPr>
          <w:p w14:paraId="676E010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28" w:type="dxa"/>
          </w:tcPr>
          <w:p w14:paraId="022AECF3" w14:textId="77777777" w:rsidR="00BF18CF" w:rsidRDefault="00E51347">
            <w:r>
              <w:t xml:space="preserve">Cette propriété décrit l'espace le plus volumineux (une instance de </w:t>
            </w:r>
            <w:r>
              <w:rPr>
                <w:rFonts w:ascii="Consolas" w:eastAsia="Consolas" w:hAnsi="Consolas" w:cs="Consolas"/>
                <w:sz w:val="22"/>
                <w:szCs w:val="22"/>
                <w:shd w:val="clear" w:color="auto" w:fill="EAEEF3"/>
              </w:rPr>
              <w:t>E53_Lieu</w:t>
            </w:r>
            <w:r>
              <w:t xml:space="preserve">) qu'une instance de </w:t>
            </w:r>
            <w:r>
              <w:rPr>
                <w:rFonts w:ascii="Consolas" w:eastAsia="Consolas" w:hAnsi="Consolas" w:cs="Consolas"/>
                <w:sz w:val="22"/>
                <w:szCs w:val="22"/>
                <w:shd w:val="clear" w:color="auto" w:fill="EAEEF3"/>
              </w:rPr>
              <w:t>E18_Chose_matérielle</w:t>
            </w:r>
            <w:r>
              <w:t xml:space="preserve"> a occupé durant son existence, ce volume étant déterminé par rapport à l'espace relatif de la chose elle-même. Cette manière de faire permet de décrire la chose comme un lieu pouvant lui-même contenir d'autres choses, par exemple une boîte contenant des pièces de monnaie. En d'autres termes, cette propriété décrit le volume que forment tous les points qu'une chose a recouvert durant son existence.</w:t>
            </w:r>
          </w:p>
          <w:p w14:paraId="43D0D39C" w14:textId="77777777" w:rsidR="00BF18CF" w:rsidRDefault="00E51347">
            <w:r>
              <w:t>L'espace de référence du lieu associé à une chose physique doit être à l'arrêt par rapport à celle-ci (</w:t>
            </w:r>
            <w:r>
              <w:rPr>
                <w:rFonts w:ascii="Consolas" w:eastAsia="Consolas" w:hAnsi="Consolas" w:cs="Consolas"/>
                <w:sz w:val="22"/>
                <w:szCs w:val="22"/>
                <w:shd w:val="clear" w:color="auto" w:fill="EAEEF3"/>
              </w:rPr>
              <w:t>P157_est_à_l’arrêt_par_rapport_à</w:t>
            </w:r>
            <w:r>
              <w:t>).</w:t>
            </w:r>
          </w:p>
          <w:p w14:paraId="3D52DD65" w14:textId="77777777" w:rsidR="00BF18CF" w:rsidRDefault="00E51347">
            <w:pPr>
              <w:numPr>
                <w:ilvl w:val="0"/>
                <w:numId w:val="19"/>
              </w:numPr>
            </w:pPr>
            <w:r>
              <w:t xml:space="preserve">Dans le cas des instances de </w:t>
            </w:r>
            <w:r>
              <w:rPr>
                <w:rFonts w:ascii="Consolas" w:eastAsia="Consolas" w:hAnsi="Consolas" w:cs="Consolas"/>
                <w:sz w:val="22"/>
                <w:szCs w:val="22"/>
                <w:shd w:val="clear" w:color="auto" w:fill="EAEEF3"/>
              </w:rPr>
              <w:t>E19_Objet_matériel</w:t>
            </w:r>
            <w:r>
              <w:t>, cet espace de référence est celui qui est à l'arrêt par rapport à l'objet lui-même, c.-à-d. l'espace qui se déplace de concert avec l'objet.</w:t>
            </w:r>
          </w:p>
          <w:p w14:paraId="2F042E61" w14:textId="77777777" w:rsidR="00BF18CF" w:rsidRDefault="00E51347">
            <w:pPr>
              <w:numPr>
                <w:ilvl w:val="0"/>
                <w:numId w:val="19"/>
              </w:numPr>
            </w:pPr>
            <w:r>
              <w:t xml:space="preserve">Dans le cas des instances de </w:t>
            </w:r>
            <w:r>
              <w:rPr>
                <w:rFonts w:ascii="Consolas" w:eastAsia="Consolas" w:hAnsi="Consolas" w:cs="Consolas"/>
                <w:sz w:val="22"/>
                <w:szCs w:val="22"/>
                <w:shd w:val="clear" w:color="auto" w:fill="EAEEF3"/>
              </w:rPr>
              <w:t>E26_Caractéristique_physique</w:t>
            </w:r>
            <w:r>
              <w:t>, cet espace de référence est celui qui est à l'arrêt par rapport à la caractéristique physique elle-même ainsi qu'à la matière qui y est immédiatement connectée.</w:t>
            </w:r>
          </w:p>
          <w:p w14:paraId="4E740C0A" w14:textId="77777777" w:rsidR="00BF18CF" w:rsidRDefault="00E51347">
            <w:r>
              <w:t xml:space="preserve">Il y a donc une relation 1:1 entre une instance de </w:t>
            </w:r>
            <w:r>
              <w:rPr>
                <w:rFonts w:ascii="Consolas" w:eastAsia="Consolas" w:hAnsi="Consolas" w:cs="Consolas"/>
                <w:sz w:val="22"/>
                <w:szCs w:val="22"/>
                <w:shd w:val="clear" w:color="auto" w:fill="EAEEF3"/>
              </w:rPr>
              <w:t>E18_Chose_matérielle</w:t>
            </w:r>
            <w:r>
              <w:t xml:space="preserve"> et l'instance de </w:t>
            </w:r>
            <w:r>
              <w:rPr>
                <w:rFonts w:ascii="Consolas" w:eastAsia="Consolas" w:hAnsi="Consolas" w:cs="Consolas"/>
                <w:sz w:val="22"/>
                <w:szCs w:val="22"/>
                <w:shd w:val="clear" w:color="auto" w:fill="EAEEF3"/>
              </w:rPr>
              <w:t>E53_Lieu</w:t>
            </w:r>
            <w:r>
              <w:t xml:space="preserve"> qu'elle occupe, lequel comprend à la fois l'espace compris par la matière de la chose ainsi que ses interstices internes.</w:t>
            </w:r>
          </w:p>
          <w:p w14:paraId="54FEBC70"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P196_définit</w:t>
            </w:r>
            <w:r>
              <w:t xml:space="preserve">, </w:t>
            </w:r>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P161_a_pour_projection_spatiale</w:t>
            </w:r>
            <w:r>
              <w:t xml:space="preserve">, </w:t>
            </w:r>
            <w:r>
              <w:rPr>
                <w:rFonts w:ascii="Consolas" w:eastAsia="Consolas" w:hAnsi="Consolas" w:cs="Consolas"/>
                <w:sz w:val="22"/>
                <w:szCs w:val="22"/>
                <w:shd w:val="clear" w:color="auto" w:fill="EAEEF3"/>
              </w:rPr>
              <w:t>E53_Lieu</w:t>
            </w:r>
            <w:r>
              <w:t xml:space="preserve">. Contrairement à la propriété </w:t>
            </w:r>
            <w:r>
              <w:rPr>
                <w:rFonts w:ascii="Consolas" w:eastAsia="Consolas" w:hAnsi="Consolas" w:cs="Consolas"/>
                <w:sz w:val="22"/>
                <w:szCs w:val="22"/>
                <w:shd w:val="clear" w:color="auto" w:fill="EAEEF3"/>
              </w:rPr>
              <w:t>P156_occupe</w:t>
            </w:r>
            <w:r>
              <w:t xml:space="preserve">, la propriété </w:t>
            </w:r>
            <w:r>
              <w:rPr>
                <w:rFonts w:ascii="Consolas" w:eastAsia="Consolas" w:hAnsi="Consolas" w:cs="Consolas"/>
                <w:sz w:val="22"/>
                <w:szCs w:val="22"/>
                <w:shd w:val="clear" w:color="auto" w:fill="EAEEF3"/>
              </w:rPr>
              <w:t>P161_a_pour_projection_spatiale</w:t>
            </w:r>
            <w:r>
              <w:t xml:space="preserve"> n'impose pas de contraintes quant à l'espace par rapport auquel est établie l'instance de </w:t>
            </w:r>
            <w:r>
              <w:rPr>
                <w:rFonts w:ascii="Consolas" w:eastAsia="Consolas" w:hAnsi="Consolas" w:cs="Consolas"/>
                <w:sz w:val="22"/>
                <w:szCs w:val="22"/>
                <w:shd w:val="clear" w:color="auto" w:fill="EAEEF3"/>
              </w:rPr>
              <w:t>E53_Lieu</w:t>
            </w:r>
            <w:r>
              <w:t>.</w:t>
            </w:r>
          </w:p>
          <w:p w14:paraId="4B90089A" w14:textId="77777777" w:rsidR="00BF18CF" w:rsidRDefault="00E51347">
            <w:r>
              <w:t xml:space="preserve">Contrairement à la propriété </w:t>
            </w:r>
            <w:r>
              <w:rPr>
                <w:rFonts w:ascii="Consolas" w:eastAsia="Consolas" w:hAnsi="Consolas" w:cs="Consolas"/>
                <w:sz w:val="22"/>
                <w:szCs w:val="22"/>
                <w:shd w:val="clear" w:color="auto" w:fill="EAEEF3"/>
              </w:rPr>
              <w:t>P156_occupe</w:t>
            </w:r>
            <w:r>
              <w:t xml:space="preserve">, la propriété </w:t>
            </w:r>
            <w:r>
              <w:rPr>
                <w:rFonts w:ascii="Consolas" w:eastAsia="Consolas" w:hAnsi="Consolas" w:cs="Consolas"/>
                <w:sz w:val="22"/>
                <w:szCs w:val="22"/>
                <w:shd w:val="clear" w:color="auto" w:fill="EAEEF3"/>
              </w:rPr>
              <w:t>P53_a_pour_localisation_actuelle_ou_</w:t>
            </w:r>
            <w:proofErr w:type="gramStart"/>
            <w:r>
              <w:rPr>
                <w:rFonts w:ascii="Consolas" w:eastAsia="Consolas" w:hAnsi="Consolas" w:cs="Consolas"/>
                <w:sz w:val="22"/>
                <w:szCs w:val="22"/>
                <w:shd w:val="clear" w:color="auto" w:fill="EAEEF3"/>
              </w:rPr>
              <w:t xml:space="preserve">antérieure </w:t>
            </w:r>
            <w:r>
              <w:t xml:space="preserve"> :</w:t>
            </w:r>
            <w:proofErr w:type="gramEnd"/>
          </w:p>
          <w:p w14:paraId="6FA6D5B5" w14:textId="77777777" w:rsidR="00BF18CF" w:rsidRDefault="00E51347">
            <w:pPr>
              <w:numPr>
                <w:ilvl w:val="0"/>
                <w:numId w:val="19"/>
              </w:numPr>
            </w:pPr>
            <w:proofErr w:type="gramStart"/>
            <w:r>
              <w:lastRenderedPageBreak/>
              <w:t>n'impose</w:t>
            </w:r>
            <w:proofErr w:type="gramEnd"/>
            <w:r>
              <w:t xml:space="preserve"> pas de contraintes quant à l'espace par rapport auquel est établie l'instance de </w:t>
            </w:r>
            <w:r>
              <w:rPr>
                <w:rFonts w:ascii="Consolas" w:eastAsia="Consolas" w:hAnsi="Consolas" w:cs="Consolas"/>
                <w:sz w:val="22"/>
                <w:szCs w:val="22"/>
                <w:shd w:val="clear" w:color="auto" w:fill="EAEEF3"/>
              </w:rPr>
              <w:t>E53_Lieu</w:t>
            </w:r>
            <w:r>
              <w:t>;</w:t>
            </w:r>
          </w:p>
          <w:p w14:paraId="6E6171D1" w14:textId="77777777" w:rsidR="00BF18CF" w:rsidRDefault="00E51347">
            <w:pPr>
              <w:numPr>
                <w:ilvl w:val="0"/>
                <w:numId w:val="19"/>
              </w:numPr>
            </w:pPr>
            <w:proofErr w:type="gramStart"/>
            <w:r>
              <w:t>identifie</w:t>
            </w:r>
            <w:proofErr w:type="gramEnd"/>
            <w:r>
              <w:t xml:space="preserve"> une instance possiblement plus large de </w:t>
            </w:r>
            <w:r>
              <w:rPr>
                <w:rFonts w:ascii="Consolas" w:eastAsia="Consolas" w:hAnsi="Consolas" w:cs="Consolas"/>
                <w:sz w:val="22"/>
                <w:szCs w:val="22"/>
                <w:shd w:val="clear" w:color="auto" w:fill="EAEEF3"/>
              </w:rPr>
              <w:t>E53_Lieu</w:t>
            </w:r>
            <w:r>
              <w:t xml:space="preserve"> à laquelle est ou s'est trouvée la chose pour une période indéterminée.</w:t>
            </w:r>
          </w:p>
          <w:p w14:paraId="2B5862E0" w14:textId="77777777" w:rsidR="00BF18CF" w:rsidRDefault="00E51347">
            <w:r>
              <w:t xml:space="preserve">Si l'espace par rapport auquel est établie l'instance de </w:t>
            </w:r>
            <w:r>
              <w:rPr>
                <w:rFonts w:ascii="Consolas" w:eastAsia="Consolas" w:hAnsi="Consolas" w:cs="Consolas"/>
                <w:sz w:val="22"/>
                <w:szCs w:val="22"/>
                <w:shd w:val="clear" w:color="auto" w:fill="EAEEF3"/>
              </w:rPr>
              <w:t>E53_Lieu</w:t>
            </w:r>
            <w:r>
              <w:t xml:space="preserve"> n'est pas à l'arrêt au regard de la chose physique qui s'y trouve, il est possible que cette chose physique s'éloigne vers un autre lieu après un moment (ou qu'elle se soit trouvée dans un autre lieu auparavant). Ceci s'applique en outre pour le chemin sémantique complet mentionné ci-haut :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P196_définit</w:t>
            </w:r>
            <w:r>
              <w:t xml:space="preserve">, </w:t>
            </w:r>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P161_a_pour_projection_spatiale</w:t>
            </w:r>
            <w:r>
              <w:t xml:space="preserve">, </w:t>
            </w:r>
            <w:r>
              <w:rPr>
                <w:rFonts w:ascii="Consolas" w:eastAsia="Consolas" w:hAnsi="Consolas" w:cs="Consolas"/>
                <w:sz w:val="22"/>
                <w:szCs w:val="22"/>
                <w:shd w:val="clear" w:color="auto" w:fill="EAEEF3"/>
              </w:rPr>
              <w:t>E53_Lieu</w:t>
            </w:r>
            <w:r>
              <w:t>.</w:t>
            </w:r>
          </w:p>
        </w:tc>
      </w:tr>
      <w:tr w:rsidR="00BF18CF" w14:paraId="18102B40" w14:textId="77777777" w:rsidTr="00BF18CF">
        <w:tc>
          <w:tcPr>
            <w:tcW w:w="1862" w:type="dxa"/>
          </w:tcPr>
          <w:p w14:paraId="44D52930"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28" w:type="dxa"/>
          </w:tcPr>
          <w:p w14:paraId="4099F346" w14:textId="77777777" w:rsidR="00BF18CF" w:rsidRDefault="00E51347">
            <w:pPr>
              <w:numPr>
                <w:ilvl w:val="0"/>
                <w:numId w:val="19"/>
              </w:numPr>
            </w:pPr>
            <w:r>
              <w:t>Le reliquaire de Saint-Tite (</w:t>
            </w:r>
            <w:r>
              <w:rPr>
                <w:rFonts w:ascii="Consolas" w:eastAsia="Consolas" w:hAnsi="Consolas" w:cs="Consolas"/>
                <w:sz w:val="22"/>
                <w:szCs w:val="22"/>
                <w:shd w:val="clear" w:color="auto" w:fill="EAEEF3"/>
              </w:rPr>
              <w:t>E18_Chose_matérielle</w:t>
            </w:r>
            <w:r>
              <w:t>) occupe (</w:t>
            </w:r>
            <w:r>
              <w:rPr>
                <w:rFonts w:ascii="Consolas" w:eastAsia="Consolas" w:hAnsi="Consolas" w:cs="Consolas"/>
                <w:sz w:val="22"/>
                <w:szCs w:val="22"/>
                <w:shd w:val="clear" w:color="auto" w:fill="EAEEF3"/>
              </w:rPr>
              <w:t>P156_occupe</w:t>
            </w:r>
            <w:r>
              <w:t>) l'espace du reliquaire de Saint-Tite (</w:t>
            </w:r>
            <w:r>
              <w:rPr>
                <w:rFonts w:ascii="Consolas" w:eastAsia="Consolas" w:hAnsi="Consolas" w:cs="Consolas"/>
                <w:sz w:val="22"/>
                <w:szCs w:val="22"/>
                <w:shd w:val="clear" w:color="auto" w:fill="EAEEF3"/>
              </w:rPr>
              <w:t>E53_Lieu</w:t>
            </w:r>
            <w:r>
              <w:t>) [le reliquaire se trouve dans l'église Saint-Tite d'Héraklion, en Crète, depuis 1966 et il contient la relique de saint Tite] (Fisher et Garvey, 2010)</w:t>
            </w:r>
          </w:p>
          <w:p w14:paraId="6D16A04A" w14:textId="77777777" w:rsidR="00BF18CF" w:rsidRDefault="00E51347">
            <w:pPr>
              <w:numPr>
                <w:ilvl w:val="0"/>
                <w:numId w:val="19"/>
              </w:numPr>
            </w:pPr>
            <w:r>
              <w:t>Le château d'Eltz (</w:t>
            </w:r>
            <w:r>
              <w:rPr>
                <w:rFonts w:ascii="Consolas" w:eastAsia="Consolas" w:hAnsi="Consolas" w:cs="Consolas"/>
                <w:sz w:val="22"/>
                <w:szCs w:val="22"/>
                <w:shd w:val="clear" w:color="auto" w:fill="EAEEF3"/>
              </w:rPr>
              <w:t>E18_Chose_matérielle</w:t>
            </w:r>
            <w:r>
              <w:t>) près de Coblence, en Allemagne, occupe (</w:t>
            </w:r>
            <w:r>
              <w:rPr>
                <w:rFonts w:ascii="Consolas" w:eastAsia="Consolas" w:hAnsi="Consolas" w:cs="Consolas"/>
                <w:sz w:val="22"/>
                <w:szCs w:val="22"/>
                <w:shd w:val="clear" w:color="auto" w:fill="EAEEF3"/>
              </w:rPr>
              <w:t>P156_occupe</w:t>
            </w:r>
            <w:r>
              <w:t>) l'espace se trouvant à l'intérieur des remparts du château d'Eltz (</w:t>
            </w:r>
            <w:r>
              <w:rPr>
                <w:rFonts w:ascii="Consolas" w:eastAsia="Consolas" w:hAnsi="Consolas" w:cs="Consolas"/>
                <w:sz w:val="22"/>
                <w:szCs w:val="22"/>
                <w:shd w:val="clear" w:color="auto" w:fill="EAEEF3"/>
              </w:rPr>
              <w:t>E53_Lieu</w:t>
            </w:r>
            <w:r>
              <w:t>) datant de 1661 EC [une série de travaux d'expansion du château ayant débuté au XII</w:t>
            </w:r>
            <w:r>
              <w:rPr>
                <w:vertAlign w:val="superscript"/>
              </w:rPr>
              <w:t>e</w:t>
            </w:r>
            <w:r>
              <w:t xml:space="preserve"> siècle et culminé en 1661 EC a eu pour résultat le château actuel qui comprend des bâtiments de diverses périodes]</w:t>
            </w:r>
          </w:p>
        </w:tc>
      </w:tr>
      <w:tr w:rsidR="00BF18CF" w14:paraId="6B4AA885" w14:textId="77777777" w:rsidTr="00BF18CF">
        <w:tc>
          <w:tcPr>
            <w:tcW w:w="1862" w:type="dxa"/>
          </w:tcPr>
          <w:p w14:paraId="3F57ED2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8" w:type="dxa"/>
          </w:tcPr>
          <w:p w14:paraId="2B32904B" w14:textId="77777777" w:rsidR="00BF18CF" w:rsidRDefault="00E51347">
            <w:r>
              <w:t>P156(</w:t>
            </w:r>
            <w:proofErr w:type="gramStart"/>
            <w:r>
              <w:t>x,y</w:t>
            </w:r>
            <w:proofErr w:type="gramEnd"/>
            <w:r>
              <w:t>) ⇒ E53(y)</w:t>
            </w:r>
          </w:p>
          <w:p w14:paraId="4DD668E2" w14:textId="77777777" w:rsidR="00BF18CF" w:rsidRDefault="00E51347">
            <w:r>
              <w:t>P156(</w:t>
            </w:r>
            <w:proofErr w:type="gramStart"/>
            <w:r>
              <w:t>x,y</w:t>
            </w:r>
            <w:proofErr w:type="gramEnd"/>
            <w:r>
              <w:t>) ⇒ E18(x)</w:t>
            </w:r>
          </w:p>
          <w:p w14:paraId="35828590" w14:textId="77777777" w:rsidR="00BF18CF" w:rsidRDefault="00E51347">
            <w:r>
              <w:t>P156(</w:t>
            </w:r>
            <w:proofErr w:type="gramStart"/>
            <w:r>
              <w:t>x,y</w:t>
            </w:r>
            <w:proofErr w:type="gramEnd"/>
            <w:r>
              <w:t>) ⇔ (∃z) [E18(x) ∧ E53(y) ∧ P196(x,z) ∧ P161(z,y) ∧ P157(y,x)]</w:t>
            </w:r>
          </w:p>
        </w:tc>
      </w:tr>
      <w:tr w:rsidR="00BF18CF" w14:paraId="5117D220" w14:textId="77777777" w:rsidTr="00BF18CF">
        <w:tc>
          <w:tcPr>
            <w:tcW w:w="1862" w:type="dxa"/>
          </w:tcPr>
          <w:p w14:paraId="2A2FF3E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28" w:type="dxa"/>
          </w:tcPr>
          <w:p w14:paraId="0CAC8285" w14:textId="77777777" w:rsidR="00BF18CF" w:rsidRDefault="00BF18CF">
            <w:pPr>
              <w:pBdr>
                <w:top w:val="nil"/>
                <w:left w:val="nil"/>
                <w:bottom w:val="nil"/>
                <w:right w:val="nil"/>
                <w:between w:val="nil"/>
              </w:pBdr>
              <w:spacing w:before="36" w:after="36"/>
              <w:rPr>
                <w:color w:val="000000"/>
              </w:rPr>
            </w:pPr>
          </w:p>
        </w:tc>
      </w:tr>
      <w:tr w:rsidR="00BF18CF" w14:paraId="1237B469" w14:textId="77777777" w:rsidTr="00BF18CF">
        <w:tc>
          <w:tcPr>
            <w:tcW w:w="1862" w:type="dxa"/>
          </w:tcPr>
          <w:p w14:paraId="19E4FD1B" w14:textId="3C96639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8" w:type="dxa"/>
          </w:tcPr>
          <w:p w14:paraId="00CEA25F" w14:textId="77777777" w:rsidR="00BF18CF" w:rsidRDefault="00BF18CF">
            <w:pPr>
              <w:pBdr>
                <w:top w:val="nil"/>
                <w:left w:val="nil"/>
                <w:bottom w:val="nil"/>
                <w:right w:val="nil"/>
                <w:between w:val="nil"/>
              </w:pBdr>
              <w:spacing w:before="36" w:after="36"/>
              <w:rPr>
                <w:color w:val="000000"/>
              </w:rPr>
            </w:pPr>
          </w:p>
        </w:tc>
      </w:tr>
      <w:tr w:rsidR="00BF18CF" w14:paraId="6A77D767" w14:textId="77777777" w:rsidTr="00BF18CF">
        <w:tc>
          <w:tcPr>
            <w:tcW w:w="1862" w:type="dxa"/>
          </w:tcPr>
          <w:p w14:paraId="7E10E5D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8" w:type="dxa"/>
          </w:tcPr>
          <w:p w14:paraId="694DD882" w14:textId="77777777" w:rsidR="00BF18CF" w:rsidRDefault="00BF18CF">
            <w:pPr>
              <w:pBdr>
                <w:top w:val="nil"/>
                <w:left w:val="nil"/>
                <w:bottom w:val="nil"/>
                <w:right w:val="nil"/>
                <w:between w:val="nil"/>
              </w:pBdr>
              <w:spacing w:before="36" w:after="36"/>
              <w:rPr>
                <w:color w:val="000000"/>
              </w:rPr>
            </w:pPr>
          </w:p>
        </w:tc>
      </w:tr>
    </w:tbl>
    <w:p w14:paraId="128F8501" w14:textId="77777777" w:rsidR="00BF18CF" w:rsidRDefault="00E51347">
      <w:pPr>
        <w:pStyle w:val="Heading3"/>
      </w:pPr>
      <w:bookmarkStart w:id="519" w:name="bookmark=id.4fbwdob" w:colFirst="0" w:colLast="0"/>
      <w:bookmarkStart w:id="520" w:name="_Toc144361003"/>
      <w:bookmarkEnd w:id="519"/>
      <w:r>
        <w:t>P157 est à l’arrêt par rapport à (procure l’espace de référence pour)</w:t>
      </w:r>
      <w:bookmarkEnd w:id="520"/>
    </w:p>
    <w:tbl>
      <w:tblPr>
        <w:tblStyle w:val="afffffffffffffffff5"/>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59"/>
        <w:gridCol w:w="8831"/>
      </w:tblGrid>
      <w:tr w:rsidR="00BF18CF" w14:paraId="14F8A980" w14:textId="77777777" w:rsidTr="00BF18CF">
        <w:tc>
          <w:tcPr>
            <w:tcW w:w="1859" w:type="dxa"/>
          </w:tcPr>
          <w:p w14:paraId="26EE312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31" w:type="dxa"/>
          </w:tcPr>
          <w:p w14:paraId="1ADFC0EB" w14:textId="77777777" w:rsidR="00BF18CF" w:rsidRDefault="00E51347">
            <w:r>
              <w:rPr>
                <w:rFonts w:ascii="Consolas" w:eastAsia="Consolas" w:hAnsi="Consolas" w:cs="Consolas"/>
                <w:sz w:val="22"/>
                <w:szCs w:val="22"/>
                <w:shd w:val="clear" w:color="auto" w:fill="EAEEF3"/>
              </w:rPr>
              <w:t>E53_Lieu</w:t>
            </w:r>
          </w:p>
        </w:tc>
      </w:tr>
      <w:tr w:rsidR="00BF18CF" w14:paraId="45FF7630" w14:textId="77777777" w:rsidTr="00BF18CF">
        <w:tc>
          <w:tcPr>
            <w:tcW w:w="1859" w:type="dxa"/>
          </w:tcPr>
          <w:p w14:paraId="228B5AD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31" w:type="dxa"/>
          </w:tcPr>
          <w:p w14:paraId="57287438" w14:textId="77777777" w:rsidR="00BF18CF" w:rsidRDefault="00E51347">
            <w:r>
              <w:rPr>
                <w:rFonts w:ascii="Consolas" w:eastAsia="Consolas" w:hAnsi="Consolas" w:cs="Consolas"/>
                <w:sz w:val="22"/>
                <w:szCs w:val="22"/>
                <w:shd w:val="clear" w:color="auto" w:fill="EAEEF3"/>
              </w:rPr>
              <w:t>E18_Chose_matérielle</w:t>
            </w:r>
          </w:p>
        </w:tc>
      </w:tr>
      <w:tr w:rsidR="00BF18CF" w14:paraId="4A3384A8" w14:textId="77777777" w:rsidTr="00BF18CF">
        <w:tc>
          <w:tcPr>
            <w:tcW w:w="1859" w:type="dxa"/>
          </w:tcPr>
          <w:p w14:paraId="7465F437"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31" w:type="dxa"/>
          </w:tcPr>
          <w:p w14:paraId="0656C796" w14:textId="77777777" w:rsidR="00BF18CF" w:rsidRDefault="00BF18CF">
            <w:pPr>
              <w:pBdr>
                <w:top w:val="nil"/>
                <w:left w:val="nil"/>
                <w:bottom w:val="nil"/>
                <w:right w:val="nil"/>
                <w:between w:val="nil"/>
              </w:pBdr>
              <w:spacing w:before="36" w:after="36"/>
              <w:rPr>
                <w:color w:val="000000"/>
              </w:rPr>
            </w:pPr>
          </w:p>
        </w:tc>
      </w:tr>
      <w:tr w:rsidR="00BF18CF" w14:paraId="4F0916BB" w14:textId="77777777" w:rsidTr="00BF18CF">
        <w:tc>
          <w:tcPr>
            <w:tcW w:w="1859" w:type="dxa"/>
          </w:tcPr>
          <w:p w14:paraId="3574FF9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31" w:type="dxa"/>
          </w:tcPr>
          <w:p w14:paraId="647E2689" w14:textId="77777777" w:rsidR="00BF18CF" w:rsidRDefault="00E51347">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P59i_se_situe_sur_ou_dans</w:t>
            </w:r>
            <w:r>
              <w:t> : </w:t>
            </w:r>
            <w:r>
              <w:rPr>
                <w:rFonts w:ascii="Consolas" w:eastAsia="Consolas" w:hAnsi="Consolas" w:cs="Consolas"/>
                <w:sz w:val="22"/>
                <w:szCs w:val="22"/>
                <w:shd w:val="clear" w:color="auto" w:fill="EAEEF3"/>
              </w:rPr>
              <w:t>E18_Chose_matérielle</w:t>
            </w:r>
          </w:p>
          <w:p w14:paraId="56993813" w14:textId="77777777" w:rsidR="00BF18CF" w:rsidRDefault="00E51347">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P156i_est_occupé_par</w:t>
            </w:r>
            <w:r>
              <w:t xml:space="preserve"> :  </w:t>
            </w:r>
            <w:r>
              <w:rPr>
                <w:rFonts w:ascii="Consolas" w:eastAsia="Consolas" w:hAnsi="Consolas" w:cs="Consolas"/>
                <w:sz w:val="22"/>
                <w:szCs w:val="22"/>
                <w:shd w:val="clear" w:color="auto" w:fill="EAEEF3"/>
              </w:rPr>
              <w:t>E18_Chose_matérielle</w:t>
            </w:r>
          </w:p>
        </w:tc>
      </w:tr>
      <w:tr w:rsidR="00BF18CF" w14:paraId="440B01C1" w14:textId="77777777" w:rsidTr="00BF18CF">
        <w:tc>
          <w:tcPr>
            <w:tcW w:w="1859" w:type="dxa"/>
          </w:tcPr>
          <w:p w14:paraId="2AB9D801"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31" w:type="dxa"/>
          </w:tcPr>
          <w:p w14:paraId="36A0708F" w14:textId="77777777" w:rsidR="00BF18CF" w:rsidRDefault="00E51347">
            <w:proofErr w:type="gramStart"/>
            <w:r>
              <w:t>plusieurs</w:t>
            </w:r>
            <w:proofErr w:type="gramEnd"/>
            <w:r>
              <w:t xml:space="preserve"> à plusieurs, nécessaire (1,n:0,n)</w:t>
            </w:r>
          </w:p>
        </w:tc>
      </w:tr>
      <w:tr w:rsidR="00BF18CF" w14:paraId="261D8DAA" w14:textId="77777777" w:rsidTr="00BF18CF">
        <w:tc>
          <w:tcPr>
            <w:tcW w:w="1859" w:type="dxa"/>
          </w:tcPr>
          <w:p w14:paraId="754F20D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31" w:type="dxa"/>
          </w:tcPr>
          <w:p w14:paraId="77AC3FEE" w14:textId="77777777" w:rsidR="00BF18CF" w:rsidRDefault="00E51347">
            <w:r>
              <w:t xml:space="preserve">Cette propriété associe une instance de </w:t>
            </w:r>
            <w:r>
              <w:rPr>
                <w:rFonts w:ascii="Consolas" w:eastAsia="Consolas" w:hAnsi="Consolas" w:cs="Consolas"/>
                <w:sz w:val="22"/>
                <w:szCs w:val="22"/>
                <w:shd w:val="clear" w:color="auto" w:fill="EAEEF3"/>
              </w:rPr>
              <w:t>E53_Lieu</w:t>
            </w:r>
            <w:r>
              <w:t xml:space="preserve"> à l’instance de </w:t>
            </w:r>
            <w:r>
              <w:rPr>
                <w:rFonts w:ascii="Consolas" w:eastAsia="Consolas" w:hAnsi="Consolas" w:cs="Consolas"/>
                <w:sz w:val="22"/>
                <w:szCs w:val="22"/>
                <w:shd w:val="clear" w:color="auto" w:fill="EAEEF3"/>
              </w:rPr>
              <w:t>E18_Chose_matérielle</w:t>
            </w:r>
            <w:r>
              <w:t xml:space="preserve"> qui détermine un espace de référence pour cette instance de </w:t>
            </w:r>
            <w:r>
              <w:rPr>
                <w:rFonts w:ascii="Consolas" w:eastAsia="Consolas" w:hAnsi="Consolas" w:cs="Consolas"/>
                <w:sz w:val="22"/>
                <w:szCs w:val="22"/>
                <w:shd w:val="clear" w:color="auto" w:fill="EAEEF3"/>
              </w:rPr>
              <w:t>E53_Lieu</w:t>
            </w:r>
            <w:r>
              <w:t xml:space="preserve"> en étant en arrêt par rapport à ce même espace de référence. La </w:t>
            </w:r>
            <w:r>
              <w:lastRenderedPageBreak/>
              <w:t xml:space="preserve">stabilité relative de la forme d’une instance de </w:t>
            </w:r>
            <w:r>
              <w:rPr>
                <w:rFonts w:ascii="Consolas" w:eastAsia="Consolas" w:hAnsi="Consolas" w:cs="Consolas"/>
                <w:sz w:val="22"/>
                <w:szCs w:val="22"/>
                <w:shd w:val="clear" w:color="auto" w:fill="EAEEF3"/>
              </w:rPr>
              <w:t>E18_Chose_matérielle</w:t>
            </w:r>
            <w:r>
              <w:t xml:space="preserve"> définit son espace de référence par défaut. L’espace de référence n’est pas limité dans l’espace par la chose référencée. Par exemple, un navire détermine un espace de référence en fonction duquel des navires avoisinants peuvent être décrits. De grands regroupements de matière, tels que les plaques tectoniques, peuvent comprendre plusieurs caractéristiques physiques qui sont à l’arrêt par rapport à ceux-ci et qui définissent le même espace de référence.</w:t>
            </w:r>
          </w:p>
        </w:tc>
      </w:tr>
      <w:tr w:rsidR="00BF18CF" w14:paraId="2000ACB1" w14:textId="77777777" w:rsidTr="00BF18CF">
        <w:tc>
          <w:tcPr>
            <w:tcW w:w="1859" w:type="dxa"/>
          </w:tcPr>
          <w:p w14:paraId="56D08481"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31" w:type="dxa"/>
          </w:tcPr>
          <w:p w14:paraId="18782939" w14:textId="77777777" w:rsidR="00BF18CF" w:rsidRDefault="00E51347">
            <w:pPr>
              <w:numPr>
                <w:ilvl w:val="0"/>
                <w:numId w:val="19"/>
              </w:numPr>
            </w:pPr>
            <w:r>
              <w:t>L’étendue spatiale de la ville d’Athènes en 2014 (</w:t>
            </w:r>
            <w:r>
              <w:rPr>
                <w:rFonts w:ascii="Consolas" w:eastAsia="Consolas" w:hAnsi="Consolas" w:cs="Consolas"/>
                <w:sz w:val="22"/>
                <w:szCs w:val="22"/>
                <w:shd w:val="clear" w:color="auto" w:fill="EAEEF3"/>
              </w:rPr>
              <w:t>E53_Lieu</w:t>
            </w:r>
            <w:r>
              <w:t>) est à l’arrêt par rapport à (</w:t>
            </w:r>
            <w:r>
              <w:rPr>
                <w:rFonts w:ascii="Consolas" w:eastAsia="Consolas" w:hAnsi="Consolas" w:cs="Consolas"/>
                <w:sz w:val="22"/>
                <w:szCs w:val="22"/>
                <w:shd w:val="clear" w:color="auto" w:fill="EAEEF3"/>
              </w:rPr>
              <w:t>P157_est_à_l’arrêt_par_rapport_à</w:t>
            </w:r>
            <w:r>
              <w:t>) l’Observatoire royal de Greenwich (</w:t>
            </w:r>
            <w:r>
              <w:rPr>
                <w:rFonts w:ascii="Consolas" w:eastAsia="Consolas" w:hAnsi="Consolas" w:cs="Consolas"/>
                <w:sz w:val="22"/>
                <w:szCs w:val="22"/>
                <w:shd w:val="clear" w:color="auto" w:fill="EAEEF3"/>
              </w:rPr>
              <w:t>E25_Caractéristique_élaborée_par_l’humain</w:t>
            </w:r>
            <w:r>
              <w:t>) (Maunder, 2015)</w:t>
            </w:r>
          </w:p>
          <w:p w14:paraId="54D239CF" w14:textId="77777777" w:rsidR="00BF18CF" w:rsidRDefault="00E51347">
            <w:pPr>
              <w:numPr>
                <w:ilvl w:val="0"/>
                <w:numId w:val="19"/>
              </w:numPr>
            </w:pPr>
            <w:r>
              <w:t>Le lieu où est décédé Lord Nelson sur le HMS Victory (</w:t>
            </w:r>
            <w:r>
              <w:rPr>
                <w:rFonts w:ascii="Consolas" w:eastAsia="Consolas" w:hAnsi="Consolas" w:cs="Consolas"/>
                <w:sz w:val="22"/>
                <w:szCs w:val="22"/>
                <w:shd w:val="clear" w:color="auto" w:fill="EAEEF3"/>
              </w:rPr>
              <w:t>E53_Lieu</w:t>
            </w:r>
            <w:r>
              <w:t>) est à l’arrêt par rapport au (</w:t>
            </w:r>
            <w:r>
              <w:rPr>
                <w:rFonts w:ascii="Consolas" w:eastAsia="Consolas" w:hAnsi="Consolas" w:cs="Consolas"/>
                <w:sz w:val="22"/>
                <w:szCs w:val="22"/>
                <w:shd w:val="clear" w:color="auto" w:fill="EAEEF3"/>
              </w:rPr>
              <w:t>P157_est_à_l’arrêt_par_rapport_à</w:t>
            </w:r>
            <w:r>
              <w:t>) HMS Victory (</w:t>
            </w:r>
            <w:r>
              <w:rPr>
                <w:rFonts w:ascii="Consolas" w:eastAsia="Consolas" w:hAnsi="Consolas" w:cs="Consolas"/>
                <w:sz w:val="22"/>
                <w:szCs w:val="22"/>
                <w:shd w:val="clear" w:color="auto" w:fill="EAEEF3"/>
              </w:rPr>
              <w:t>E22_Objet_élaboré_par_l’humain</w:t>
            </w:r>
            <w:r>
              <w:t>) (Adkin, 2005)</w:t>
            </w:r>
          </w:p>
        </w:tc>
      </w:tr>
      <w:tr w:rsidR="00BF18CF" w14:paraId="7751F942" w14:textId="77777777" w:rsidTr="00BF18CF">
        <w:tc>
          <w:tcPr>
            <w:tcW w:w="1859" w:type="dxa"/>
          </w:tcPr>
          <w:p w14:paraId="54EDCAC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31" w:type="dxa"/>
          </w:tcPr>
          <w:p w14:paraId="418840C1" w14:textId="77777777" w:rsidR="00BF18CF" w:rsidRDefault="00E51347">
            <w:r>
              <w:t>P157(</w:t>
            </w:r>
            <w:proofErr w:type="gramStart"/>
            <w:r>
              <w:t>x,y</w:t>
            </w:r>
            <w:proofErr w:type="gramEnd"/>
            <w:r>
              <w:t>) ⇒ E53(x)</w:t>
            </w:r>
          </w:p>
          <w:p w14:paraId="23290282" w14:textId="77777777" w:rsidR="00BF18CF" w:rsidRDefault="00E51347">
            <w:r>
              <w:t>P157(</w:t>
            </w:r>
            <w:proofErr w:type="gramStart"/>
            <w:r>
              <w:t>x,y</w:t>
            </w:r>
            <w:proofErr w:type="gramEnd"/>
            <w:r>
              <w:t>) ⇒ E18(y)</w:t>
            </w:r>
          </w:p>
        </w:tc>
      </w:tr>
      <w:tr w:rsidR="00BF18CF" w14:paraId="3DD383CC" w14:textId="77777777" w:rsidTr="00BF18CF">
        <w:tc>
          <w:tcPr>
            <w:tcW w:w="1859" w:type="dxa"/>
          </w:tcPr>
          <w:p w14:paraId="1ED4567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31" w:type="dxa"/>
          </w:tcPr>
          <w:p w14:paraId="5306901D" w14:textId="77777777" w:rsidR="00BF18CF" w:rsidRDefault="00BF18CF">
            <w:pPr>
              <w:pBdr>
                <w:top w:val="nil"/>
                <w:left w:val="nil"/>
                <w:bottom w:val="nil"/>
                <w:right w:val="nil"/>
                <w:between w:val="nil"/>
              </w:pBdr>
              <w:spacing w:before="36" w:after="36"/>
              <w:rPr>
                <w:color w:val="000000"/>
              </w:rPr>
            </w:pPr>
          </w:p>
        </w:tc>
      </w:tr>
      <w:tr w:rsidR="00BF18CF" w14:paraId="7CF3BB53" w14:textId="77777777" w:rsidTr="00BF18CF">
        <w:tc>
          <w:tcPr>
            <w:tcW w:w="1859" w:type="dxa"/>
          </w:tcPr>
          <w:p w14:paraId="76740C16" w14:textId="410F960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31" w:type="dxa"/>
          </w:tcPr>
          <w:p w14:paraId="5D00A62C" w14:textId="77777777" w:rsidR="00BF18CF" w:rsidRDefault="00BF18CF">
            <w:pPr>
              <w:pBdr>
                <w:top w:val="nil"/>
                <w:left w:val="nil"/>
                <w:bottom w:val="nil"/>
                <w:right w:val="nil"/>
                <w:between w:val="nil"/>
              </w:pBdr>
              <w:spacing w:before="36" w:after="36"/>
              <w:rPr>
                <w:color w:val="000000"/>
              </w:rPr>
            </w:pPr>
          </w:p>
        </w:tc>
      </w:tr>
      <w:tr w:rsidR="00BF18CF" w14:paraId="6DD8C64B" w14:textId="77777777" w:rsidTr="00BF18CF">
        <w:tc>
          <w:tcPr>
            <w:tcW w:w="1859" w:type="dxa"/>
          </w:tcPr>
          <w:p w14:paraId="2D665B1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31" w:type="dxa"/>
          </w:tcPr>
          <w:p w14:paraId="4AC11F40" w14:textId="77777777" w:rsidR="00BF18CF" w:rsidRDefault="00BF18CF">
            <w:pPr>
              <w:pBdr>
                <w:top w:val="nil"/>
                <w:left w:val="nil"/>
                <w:bottom w:val="nil"/>
                <w:right w:val="nil"/>
                <w:between w:val="nil"/>
              </w:pBdr>
              <w:spacing w:before="36" w:after="36"/>
              <w:rPr>
                <w:color w:val="000000"/>
              </w:rPr>
            </w:pPr>
          </w:p>
        </w:tc>
      </w:tr>
    </w:tbl>
    <w:p w14:paraId="303C289A" w14:textId="77777777" w:rsidR="00BF18CF" w:rsidRDefault="00E51347">
      <w:pPr>
        <w:pStyle w:val="Heading3"/>
      </w:pPr>
      <w:bookmarkStart w:id="521" w:name="bookmark=id.2uh6nw4" w:colFirst="0" w:colLast="0"/>
      <w:bookmarkStart w:id="522" w:name="_Toc144361004"/>
      <w:bookmarkEnd w:id="521"/>
      <w:r>
        <w:t>P160 a pour projection temporelle (est la projection temporelle de)</w:t>
      </w:r>
      <w:bookmarkEnd w:id="522"/>
    </w:p>
    <w:tbl>
      <w:tblPr>
        <w:tblStyle w:val="affffffff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6"/>
        <w:gridCol w:w="8814"/>
      </w:tblGrid>
      <w:tr w:rsidR="00BF18CF" w14:paraId="6E076F07" w14:textId="77777777" w:rsidTr="00BF18CF">
        <w:tc>
          <w:tcPr>
            <w:tcW w:w="1876" w:type="dxa"/>
          </w:tcPr>
          <w:p w14:paraId="0EEE717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4" w:type="dxa"/>
          </w:tcPr>
          <w:p w14:paraId="6C82B931" w14:textId="77777777" w:rsidR="00BF18CF" w:rsidRDefault="00E51347">
            <w:r>
              <w:rPr>
                <w:rFonts w:ascii="Consolas" w:eastAsia="Consolas" w:hAnsi="Consolas" w:cs="Consolas"/>
                <w:sz w:val="22"/>
                <w:szCs w:val="22"/>
                <w:shd w:val="clear" w:color="auto" w:fill="EAEEF3"/>
              </w:rPr>
              <w:t>E92_Volume_spatio-temporel</w:t>
            </w:r>
          </w:p>
        </w:tc>
      </w:tr>
      <w:tr w:rsidR="00BF18CF" w14:paraId="6D5ABD46" w14:textId="77777777" w:rsidTr="00BF18CF">
        <w:tc>
          <w:tcPr>
            <w:tcW w:w="1876" w:type="dxa"/>
          </w:tcPr>
          <w:p w14:paraId="2E3B64D8"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4" w:type="dxa"/>
          </w:tcPr>
          <w:p w14:paraId="37986B57" w14:textId="77777777" w:rsidR="00BF18CF" w:rsidRDefault="00E51347">
            <w:r>
              <w:rPr>
                <w:rFonts w:ascii="Consolas" w:eastAsia="Consolas" w:hAnsi="Consolas" w:cs="Consolas"/>
                <w:sz w:val="22"/>
                <w:szCs w:val="22"/>
                <w:shd w:val="clear" w:color="auto" w:fill="EAEEF3"/>
              </w:rPr>
              <w:t>E52_Intervalle_temporel</w:t>
            </w:r>
          </w:p>
        </w:tc>
      </w:tr>
      <w:tr w:rsidR="00BF18CF" w14:paraId="194359B6" w14:textId="77777777" w:rsidTr="00BF18CF">
        <w:tc>
          <w:tcPr>
            <w:tcW w:w="1876" w:type="dxa"/>
          </w:tcPr>
          <w:p w14:paraId="4D1C0A02"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4" w:type="dxa"/>
          </w:tcPr>
          <w:p w14:paraId="47B8D800" w14:textId="77777777" w:rsidR="00BF18CF" w:rsidRDefault="00E51347">
            <w:r>
              <w:rPr>
                <w:rFonts w:ascii="Consolas" w:eastAsia="Consolas" w:hAnsi="Consolas" w:cs="Consolas"/>
                <w:sz w:val="22"/>
                <w:szCs w:val="22"/>
                <w:shd w:val="clear" w:color="auto" w:fill="EAEEF3"/>
              </w:rPr>
              <w:t>E93_Présence</w:t>
            </w:r>
            <w:r>
              <w:t xml:space="preserve">. </w:t>
            </w:r>
            <w:r>
              <w:rPr>
                <w:rFonts w:ascii="Consolas" w:eastAsia="Consolas" w:hAnsi="Consolas" w:cs="Consolas"/>
                <w:sz w:val="22"/>
                <w:szCs w:val="22"/>
                <w:shd w:val="clear" w:color="auto" w:fill="EAEEF3"/>
              </w:rPr>
              <w:t>P164_est_temporellement_spécifié_par (spécifie_temporellement)</w:t>
            </w:r>
            <w:r>
              <w:t xml:space="preserve"> : </w:t>
            </w:r>
            <w:r>
              <w:rPr>
                <w:rFonts w:ascii="Consolas" w:eastAsia="Consolas" w:hAnsi="Consolas" w:cs="Consolas"/>
                <w:sz w:val="22"/>
                <w:szCs w:val="22"/>
                <w:shd w:val="clear" w:color="auto" w:fill="EAEEF3"/>
              </w:rPr>
              <w:t>E52_Intervalle_temporel</w:t>
            </w:r>
          </w:p>
        </w:tc>
      </w:tr>
      <w:tr w:rsidR="00BF18CF" w14:paraId="4EEFB217" w14:textId="77777777" w:rsidTr="00BF18CF">
        <w:tc>
          <w:tcPr>
            <w:tcW w:w="1876" w:type="dxa"/>
          </w:tcPr>
          <w:p w14:paraId="47D54933"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4" w:type="dxa"/>
          </w:tcPr>
          <w:p w14:paraId="5C65F833" w14:textId="77777777" w:rsidR="00BF18CF" w:rsidRDefault="00BF18CF">
            <w:pPr>
              <w:pBdr>
                <w:top w:val="nil"/>
                <w:left w:val="nil"/>
                <w:bottom w:val="nil"/>
                <w:right w:val="nil"/>
                <w:between w:val="nil"/>
              </w:pBdr>
              <w:spacing w:before="36" w:after="36"/>
              <w:rPr>
                <w:color w:val="000000"/>
              </w:rPr>
            </w:pPr>
          </w:p>
        </w:tc>
      </w:tr>
      <w:tr w:rsidR="00BF18CF" w14:paraId="2A1A8676" w14:textId="77777777" w:rsidTr="00BF18CF">
        <w:tc>
          <w:tcPr>
            <w:tcW w:w="1876" w:type="dxa"/>
          </w:tcPr>
          <w:p w14:paraId="5C8FF5F8"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4" w:type="dxa"/>
          </w:tcPr>
          <w:p w14:paraId="19DC0E3A" w14:textId="77777777" w:rsidR="00BF18CF" w:rsidRDefault="00E51347">
            <w:proofErr w:type="gramStart"/>
            <w:r>
              <w:t>plusieurs</w:t>
            </w:r>
            <w:proofErr w:type="gramEnd"/>
            <w:r>
              <w:t xml:space="preserve"> à un, nécessaire (1,1:0,n)</w:t>
            </w:r>
          </w:p>
        </w:tc>
      </w:tr>
      <w:tr w:rsidR="00BF18CF" w14:paraId="7638D092" w14:textId="77777777" w:rsidTr="00BF18CF">
        <w:tc>
          <w:tcPr>
            <w:tcW w:w="1876" w:type="dxa"/>
          </w:tcPr>
          <w:p w14:paraId="56A529F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4" w:type="dxa"/>
          </w:tcPr>
          <w:p w14:paraId="1947E56A" w14:textId="77777777" w:rsidR="00BF18CF" w:rsidRDefault="00E51347">
            <w:r>
              <w:t xml:space="preserve">Cette propriété décrit la projection temporelle d’une instance de </w:t>
            </w:r>
            <w:r>
              <w:rPr>
                <w:rFonts w:ascii="Consolas" w:eastAsia="Consolas" w:hAnsi="Consolas" w:cs="Consolas"/>
                <w:sz w:val="22"/>
                <w:szCs w:val="22"/>
                <w:shd w:val="clear" w:color="auto" w:fill="EAEEF3"/>
              </w:rPr>
              <w:t>E92_Volume_spatio-temporel</w:t>
            </w:r>
            <w:r>
              <w:t xml:space="preserve">. La propriété </w:t>
            </w:r>
            <w:r>
              <w:rPr>
                <w:rFonts w:ascii="Consolas" w:eastAsia="Consolas" w:hAnsi="Consolas" w:cs="Consolas"/>
                <w:sz w:val="22"/>
                <w:szCs w:val="22"/>
                <w:shd w:val="clear" w:color="auto" w:fill="EAEEF3"/>
              </w:rPr>
              <w:t>P4_a_pour_intervalle_temporel (est_l’intervalle_temporel_de)</w:t>
            </w:r>
            <w:r>
              <w:t xml:space="preserve"> est la même que </w:t>
            </w:r>
            <w:r>
              <w:rPr>
                <w:rFonts w:ascii="Consolas" w:eastAsia="Consolas" w:hAnsi="Consolas" w:cs="Consolas"/>
                <w:sz w:val="22"/>
                <w:szCs w:val="22"/>
                <w:shd w:val="clear" w:color="auto" w:fill="EAEEF3"/>
              </w:rPr>
              <w:t>P160_a_pour_projection_temporelle (est_la_projection_temporelle_de)</w:t>
            </w:r>
            <w:r>
              <w:t xml:space="preserve"> lorsqu’elle est utilisée pour documenter une instance de </w:t>
            </w:r>
            <w:r>
              <w:rPr>
                <w:rFonts w:ascii="Consolas" w:eastAsia="Consolas" w:hAnsi="Consolas" w:cs="Consolas"/>
                <w:sz w:val="22"/>
                <w:szCs w:val="22"/>
                <w:shd w:val="clear" w:color="auto" w:fill="EAEEF3"/>
              </w:rPr>
              <w:t>E4_Période</w:t>
            </w:r>
            <w:r>
              <w:t xml:space="preserve"> ou l’une de ses sous-classes.</w:t>
            </w:r>
          </w:p>
        </w:tc>
      </w:tr>
      <w:tr w:rsidR="00BF18CF" w14:paraId="27398951" w14:textId="77777777" w:rsidTr="00BF18CF">
        <w:tc>
          <w:tcPr>
            <w:tcW w:w="1876" w:type="dxa"/>
          </w:tcPr>
          <w:p w14:paraId="7CA672A9"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4" w:type="dxa"/>
          </w:tcPr>
          <w:p w14:paraId="1889C6E4" w14:textId="77777777" w:rsidR="00BF18CF" w:rsidRDefault="00E51347">
            <w:pPr>
              <w:numPr>
                <w:ilvl w:val="0"/>
                <w:numId w:val="19"/>
              </w:numPr>
            </w:pPr>
            <w:r>
              <w:t>La trajectoire spatio-temporelle du HMS Temeraire, de sa construction en 1798 à sa destruction en 1838 (</w:t>
            </w:r>
            <w:r>
              <w:rPr>
                <w:rFonts w:ascii="Consolas" w:eastAsia="Consolas" w:hAnsi="Consolas" w:cs="Consolas"/>
                <w:sz w:val="22"/>
                <w:szCs w:val="22"/>
                <w:shd w:val="clear" w:color="auto" w:fill="EAEEF3"/>
              </w:rPr>
              <w:t>E5_Évènement</w:t>
            </w:r>
            <w:r>
              <w:t>), a pour projection temporelle (</w:t>
            </w:r>
            <w:r>
              <w:rPr>
                <w:rFonts w:ascii="Consolas" w:eastAsia="Consolas" w:hAnsi="Consolas" w:cs="Consolas"/>
                <w:sz w:val="22"/>
                <w:szCs w:val="22"/>
                <w:shd w:val="clear" w:color="auto" w:fill="EAEEF3"/>
              </w:rPr>
              <w:t>P160_a_pour_projection_temporelle</w:t>
            </w:r>
            <w:r>
              <w:t>) l'intervalle temporel de l’existence du HMS Temeraire [a eu lieu durant (</w:t>
            </w:r>
            <w:r>
              <w:rPr>
                <w:rFonts w:ascii="Consolas" w:eastAsia="Consolas" w:hAnsi="Consolas" w:cs="Consolas"/>
                <w:sz w:val="22"/>
                <w:szCs w:val="22"/>
                <w:shd w:val="clear" w:color="auto" w:fill="EAEEF3"/>
              </w:rPr>
              <w:t>P82_a_eu_lieu_durant</w:t>
            </w:r>
            <w:r>
              <w:t>) 1798-1838 (</w:t>
            </w:r>
            <w:r>
              <w:rPr>
                <w:rFonts w:ascii="Consolas" w:eastAsia="Consolas" w:hAnsi="Consolas" w:cs="Consolas"/>
                <w:sz w:val="22"/>
                <w:szCs w:val="22"/>
                <w:shd w:val="clear" w:color="auto" w:fill="EAEEF3"/>
              </w:rPr>
              <w:t>E61_Primitive_temporelle</w:t>
            </w:r>
            <w:r>
              <w:t>)] (Willis, 2010)</w:t>
            </w:r>
          </w:p>
          <w:p w14:paraId="789FD84A" w14:textId="77777777" w:rsidR="00BF18CF" w:rsidRDefault="00E51347">
            <w:pPr>
              <w:numPr>
                <w:ilvl w:val="0"/>
                <w:numId w:val="19"/>
              </w:numPr>
            </w:pPr>
            <w:r>
              <w:lastRenderedPageBreak/>
              <w:t>La Bataille de Waterloo de 1815 (</w:t>
            </w:r>
            <w:r>
              <w:rPr>
                <w:rFonts w:ascii="Consolas" w:eastAsia="Consolas" w:hAnsi="Consolas" w:cs="Consolas"/>
                <w:sz w:val="22"/>
                <w:szCs w:val="22"/>
                <w:shd w:val="clear" w:color="auto" w:fill="EAEEF3"/>
              </w:rPr>
              <w:t>E7_Activité</w:t>
            </w:r>
            <w:r>
              <w:t>) a pour projection temporelle (</w:t>
            </w:r>
            <w:r>
              <w:rPr>
                <w:rFonts w:ascii="Consolas" w:eastAsia="Consolas" w:hAnsi="Consolas" w:cs="Consolas"/>
                <w:sz w:val="22"/>
                <w:szCs w:val="22"/>
                <w:shd w:val="clear" w:color="auto" w:fill="EAEEF3"/>
              </w:rPr>
              <w:t>P160_a_pour_projection_temporelle</w:t>
            </w:r>
            <w:r>
              <w:t>) l’intervalle temporelle de la Bataille de Waterloo [a eu lieu durant (</w:t>
            </w:r>
            <w:r>
              <w:rPr>
                <w:rFonts w:ascii="Consolas" w:eastAsia="Consolas" w:hAnsi="Consolas" w:cs="Consolas"/>
                <w:sz w:val="22"/>
                <w:szCs w:val="22"/>
                <w:shd w:val="clear" w:color="auto" w:fill="EAEEF3"/>
              </w:rPr>
              <w:t>P82_a_eu_lieu_durant</w:t>
            </w:r>
            <w:r>
              <w:t>) le dimanche 18 juin 1815 (</w:t>
            </w:r>
            <w:r>
              <w:rPr>
                <w:rFonts w:ascii="Consolas" w:eastAsia="Consolas" w:hAnsi="Consolas" w:cs="Consolas"/>
                <w:sz w:val="22"/>
                <w:szCs w:val="22"/>
                <w:shd w:val="clear" w:color="auto" w:fill="EAEEF3"/>
              </w:rPr>
              <w:t>E61_Primitive_temporelle</w:t>
            </w:r>
            <w:r>
              <w:t>)] (Black, 2010)</w:t>
            </w:r>
          </w:p>
        </w:tc>
      </w:tr>
      <w:tr w:rsidR="00BF18CF" w14:paraId="54DBD2A7" w14:textId="77777777" w:rsidTr="00BF18CF">
        <w:tc>
          <w:tcPr>
            <w:tcW w:w="1876" w:type="dxa"/>
          </w:tcPr>
          <w:p w14:paraId="6555BAC5"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14" w:type="dxa"/>
          </w:tcPr>
          <w:p w14:paraId="24EB094F" w14:textId="77777777" w:rsidR="00BF18CF" w:rsidRDefault="00E51347">
            <w:r>
              <w:t>P160(</w:t>
            </w:r>
            <w:proofErr w:type="gramStart"/>
            <w:r>
              <w:t>x,y</w:t>
            </w:r>
            <w:proofErr w:type="gramEnd"/>
            <w:r>
              <w:t>) ⇒ E92(x)</w:t>
            </w:r>
          </w:p>
          <w:p w14:paraId="67D0EB32" w14:textId="77777777" w:rsidR="00BF18CF" w:rsidRDefault="00E51347">
            <w:r>
              <w:t>P160(</w:t>
            </w:r>
            <w:proofErr w:type="gramStart"/>
            <w:r>
              <w:t>x,y</w:t>
            </w:r>
            <w:proofErr w:type="gramEnd"/>
            <w:r>
              <w:t>) ⇒ E52(y)</w:t>
            </w:r>
          </w:p>
        </w:tc>
      </w:tr>
      <w:tr w:rsidR="00BF18CF" w14:paraId="48433171" w14:textId="77777777" w:rsidTr="00BF18CF">
        <w:tc>
          <w:tcPr>
            <w:tcW w:w="1876" w:type="dxa"/>
          </w:tcPr>
          <w:p w14:paraId="102D235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4" w:type="dxa"/>
          </w:tcPr>
          <w:p w14:paraId="2EB09B51" w14:textId="77777777" w:rsidR="00BF18CF" w:rsidRDefault="00BF18CF">
            <w:pPr>
              <w:pBdr>
                <w:top w:val="nil"/>
                <w:left w:val="nil"/>
                <w:bottom w:val="nil"/>
                <w:right w:val="nil"/>
                <w:between w:val="nil"/>
              </w:pBdr>
              <w:spacing w:before="36" w:after="36"/>
              <w:rPr>
                <w:color w:val="000000"/>
              </w:rPr>
            </w:pPr>
          </w:p>
        </w:tc>
      </w:tr>
      <w:tr w:rsidR="00BF18CF" w14:paraId="4266B057" w14:textId="77777777" w:rsidTr="00BF18CF">
        <w:tc>
          <w:tcPr>
            <w:tcW w:w="1876" w:type="dxa"/>
          </w:tcPr>
          <w:p w14:paraId="54CC8CAC" w14:textId="76FAC05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4" w:type="dxa"/>
          </w:tcPr>
          <w:p w14:paraId="463D8D68" w14:textId="77777777" w:rsidR="00BF18CF" w:rsidRDefault="00BF18CF">
            <w:pPr>
              <w:pBdr>
                <w:top w:val="nil"/>
                <w:left w:val="nil"/>
                <w:bottom w:val="nil"/>
                <w:right w:val="nil"/>
                <w:between w:val="nil"/>
              </w:pBdr>
              <w:spacing w:before="36" w:after="36"/>
              <w:rPr>
                <w:color w:val="000000"/>
              </w:rPr>
            </w:pPr>
          </w:p>
        </w:tc>
      </w:tr>
      <w:tr w:rsidR="00BF18CF" w14:paraId="18AC0398" w14:textId="77777777" w:rsidTr="00BF18CF">
        <w:tc>
          <w:tcPr>
            <w:tcW w:w="1876" w:type="dxa"/>
          </w:tcPr>
          <w:p w14:paraId="7887C01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4" w:type="dxa"/>
          </w:tcPr>
          <w:p w14:paraId="0AE1EF75" w14:textId="77777777" w:rsidR="00BF18CF" w:rsidRDefault="00BF18CF">
            <w:pPr>
              <w:pBdr>
                <w:top w:val="nil"/>
                <w:left w:val="nil"/>
                <w:bottom w:val="nil"/>
                <w:right w:val="nil"/>
                <w:between w:val="nil"/>
              </w:pBdr>
              <w:spacing w:before="36" w:after="36"/>
              <w:rPr>
                <w:color w:val="000000"/>
              </w:rPr>
            </w:pPr>
          </w:p>
        </w:tc>
      </w:tr>
    </w:tbl>
    <w:p w14:paraId="1A129884" w14:textId="77777777" w:rsidR="00BF18CF" w:rsidRDefault="00E51347">
      <w:pPr>
        <w:pStyle w:val="Heading3"/>
      </w:pPr>
      <w:bookmarkStart w:id="523" w:name="bookmark=id.19mgy3x" w:colFirst="0" w:colLast="0"/>
      <w:bookmarkStart w:id="524" w:name="_Toc144361005"/>
      <w:bookmarkEnd w:id="523"/>
      <w:r>
        <w:t>P161 a pour projection spatiale (est la projection spatiale de)</w:t>
      </w:r>
      <w:bookmarkEnd w:id="524"/>
    </w:p>
    <w:tbl>
      <w:tblPr>
        <w:tblStyle w:val="afffffff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0"/>
        <w:gridCol w:w="8810"/>
      </w:tblGrid>
      <w:tr w:rsidR="00BF18CF" w14:paraId="7433A687" w14:textId="77777777" w:rsidTr="00BF18CF">
        <w:tc>
          <w:tcPr>
            <w:tcW w:w="1880" w:type="dxa"/>
          </w:tcPr>
          <w:p w14:paraId="5671BF91"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0" w:type="dxa"/>
          </w:tcPr>
          <w:p w14:paraId="64CEFFAE" w14:textId="77777777" w:rsidR="00BF18CF" w:rsidRDefault="00E51347">
            <w:r>
              <w:rPr>
                <w:rFonts w:ascii="Consolas" w:eastAsia="Consolas" w:hAnsi="Consolas" w:cs="Consolas"/>
                <w:sz w:val="22"/>
                <w:szCs w:val="22"/>
                <w:shd w:val="clear" w:color="auto" w:fill="EAEEF3"/>
              </w:rPr>
              <w:t>E92_Volume_spatio-temporel</w:t>
            </w:r>
          </w:p>
        </w:tc>
      </w:tr>
      <w:tr w:rsidR="00BF18CF" w14:paraId="17E3F081" w14:textId="77777777" w:rsidTr="00BF18CF">
        <w:tc>
          <w:tcPr>
            <w:tcW w:w="1880" w:type="dxa"/>
          </w:tcPr>
          <w:p w14:paraId="7C886D98"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0" w:type="dxa"/>
          </w:tcPr>
          <w:p w14:paraId="18E1576F" w14:textId="77777777" w:rsidR="00BF18CF" w:rsidRDefault="00E51347">
            <w:r>
              <w:rPr>
                <w:rFonts w:ascii="Consolas" w:eastAsia="Consolas" w:hAnsi="Consolas" w:cs="Consolas"/>
                <w:sz w:val="22"/>
                <w:szCs w:val="22"/>
                <w:shd w:val="clear" w:color="auto" w:fill="EAEEF3"/>
              </w:rPr>
              <w:t>E53_Lieu</w:t>
            </w:r>
          </w:p>
        </w:tc>
      </w:tr>
      <w:tr w:rsidR="00BF18CF" w14:paraId="6986D6CA" w14:textId="77777777" w:rsidTr="00BF18CF">
        <w:tc>
          <w:tcPr>
            <w:tcW w:w="1880" w:type="dxa"/>
          </w:tcPr>
          <w:p w14:paraId="1E8E3AA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0" w:type="dxa"/>
          </w:tcPr>
          <w:p w14:paraId="516D4F44" w14:textId="77777777" w:rsidR="00BF18CF" w:rsidRDefault="00E51347">
            <w:r>
              <w:rPr>
                <w:rFonts w:ascii="Consolas" w:eastAsia="Consolas" w:hAnsi="Consolas" w:cs="Consolas"/>
                <w:sz w:val="22"/>
                <w:szCs w:val="22"/>
                <w:shd w:val="clear" w:color="auto" w:fill="EAEEF3"/>
              </w:rPr>
              <w:t>E4_Période</w:t>
            </w:r>
            <w:r>
              <w:t xml:space="preserve">. </w:t>
            </w:r>
            <w:r>
              <w:rPr>
                <w:rFonts w:ascii="Consolas" w:eastAsia="Consolas" w:hAnsi="Consolas" w:cs="Consolas"/>
                <w:sz w:val="22"/>
                <w:szCs w:val="22"/>
                <w:shd w:val="clear" w:color="auto" w:fill="EAEEF3"/>
              </w:rPr>
              <w:t>P7_a_eu_lieu_dans (a_été_témoin_de)</w:t>
            </w:r>
            <w:r>
              <w:t xml:space="preserve"> : </w:t>
            </w:r>
            <w:r>
              <w:rPr>
                <w:rFonts w:ascii="Consolas" w:eastAsia="Consolas" w:hAnsi="Consolas" w:cs="Consolas"/>
                <w:sz w:val="22"/>
                <w:szCs w:val="22"/>
                <w:shd w:val="clear" w:color="auto" w:fill="EAEEF3"/>
              </w:rPr>
              <w:t>E53_Lieu</w:t>
            </w:r>
          </w:p>
        </w:tc>
      </w:tr>
      <w:tr w:rsidR="00BF18CF" w14:paraId="3EEA1BCC" w14:textId="77777777" w:rsidTr="00BF18CF">
        <w:tc>
          <w:tcPr>
            <w:tcW w:w="1880" w:type="dxa"/>
          </w:tcPr>
          <w:p w14:paraId="74EB039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0" w:type="dxa"/>
          </w:tcPr>
          <w:p w14:paraId="76F56329" w14:textId="77777777" w:rsidR="00BF18CF" w:rsidRDefault="00BF18CF">
            <w:pPr>
              <w:pBdr>
                <w:top w:val="nil"/>
                <w:left w:val="nil"/>
                <w:bottom w:val="nil"/>
                <w:right w:val="nil"/>
                <w:between w:val="nil"/>
              </w:pBdr>
              <w:spacing w:before="36" w:after="36"/>
              <w:rPr>
                <w:color w:val="000000"/>
              </w:rPr>
            </w:pPr>
          </w:p>
        </w:tc>
      </w:tr>
      <w:tr w:rsidR="00BF18CF" w14:paraId="2C63792B" w14:textId="77777777" w:rsidTr="00BF18CF">
        <w:tc>
          <w:tcPr>
            <w:tcW w:w="1880" w:type="dxa"/>
          </w:tcPr>
          <w:p w14:paraId="36393D59"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0" w:type="dxa"/>
          </w:tcPr>
          <w:p w14:paraId="4CF349CF" w14:textId="77777777" w:rsidR="00BF18CF" w:rsidRDefault="00E51347">
            <w:proofErr w:type="gramStart"/>
            <w:r>
              <w:t>un</w:t>
            </w:r>
            <w:proofErr w:type="gramEnd"/>
            <w:r>
              <w:t xml:space="preserve"> à plusieurs, nécessaire, dépendant (1,n:1,1)</w:t>
            </w:r>
          </w:p>
        </w:tc>
      </w:tr>
      <w:tr w:rsidR="00BF18CF" w14:paraId="512A849B" w14:textId="77777777" w:rsidTr="00BF18CF">
        <w:tc>
          <w:tcPr>
            <w:tcW w:w="1880" w:type="dxa"/>
          </w:tcPr>
          <w:p w14:paraId="7F2C40D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0" w:type="dxa"/>
          </w:tcPr>
          <w:p w14:paraId="5FC01FE4" w14:textId="77777777" w:rsidR="00BF18CF" w:rsidRDefault="00E51347">
            <w:r>
              <w:t xml:space="preserve">Cette propriété associe une instance de </w:t>
            </w:r>
            <w:r>
              <w:rPr>
                <w:rFonts w:ascii="Consolas" w:eastAsia="Consolas" w:hAnsi="Consolas" w:cs="Consolas"/>
                <w:sz w:val="22"/>
                <w:szCs w:val="22"/>
                <w:shd w:val="clear" w:color="auto" w:fill="EAEEF3"/>
              </w:rPr>
              <w:t>E92_Volume_spatio-temporel</w:t>
            </w:r>
            <w:r>
              <w:t xml:space="preserve"> à une instance de </w:t>
            </w:r>
            <w:r>
              <w:rPr>
                <w:rFonts w:ascii="Consolas" w:eastAsia="Consolas" w:hAnsi="Consolas" w:cs="Consolas"/>
                <w:sz w:val="22"/>
                <w:szCs w:val="22"/>
                <w:shd w:val="clear" w:color="auto" w:fill="EAEEF3"/>
              </w:rPr>
              <w:t>E53_Lieu</w:t>
            </w:r>
            <w:r>
              <w:t xml:space="preserve"> qui est le résultat de la projection spatiale de l'instance de </w:t>
            </w:r>
            <w:r>
              <w:rPr>
                <w:rFonts w:ascii="Consolas" w:eastAsia="Consolas" w:hAnsi="Consolas" w:cs="Consolas"/>
                <w:sz w:val="22"/>
                <w:szCs w:val="22"/>
                <w:shd w:val="clear" w:color="auto" w:fill="EAEEF3"/>
              </w:rPr>
              <w:t>E92_Volume_spatio-temporel</w:t>
            </w:r>
            <w:r>
              <w:t xml:space="preserve"> dans un espace de référence.</w:t>
            </w:r>
          </w:p>
          <w:p w14:paraId="6894590C" w14:textId="77777777" w:rsidR="00BF18CF" w:rsidRDefault="00E51347">
            <w:r>
              <w:t xml:space="preserve">En général, il peut y avoir plus d'un espace de référence utile (pour l'espace de référence voir </w:t>
            </w:r>
            <w:r>
              <w:rPr>
                <w:rFonts w:ascii="Consolas" w:eastAsia="Consolas" w:hAnsi="Consolas" w:cs="Consolas"/>
                <w:sz w:val="22"/>
                <w:szCs w:val="22"/>
                <w:shd w:val="clear" w:color="auto" w:fill="EAEEF3"/>
              </w:rPr>
              <w:t>P156_occupe</w:t>
            </w:r>
            <w:r>
              <w:t xml:space="preserve"> et </w:t>
            </w:r>
            <w:r>
              <w:rPr>
                <w:rFonts w:ascii="Consolas" w:eastAsia="Consolas" w:hAnsi="Consolas" w:cs="Consolas"/>
                <w:sz w:val="22"/>
                <w:szCs w:val="22"/>
                <w:shd w:val="clear" w:color="auto" w:fill="EAEEF3"/>
              </w:rPr>
              <w:t>P157_est_à_l’arrêt_par_rapport_à</w:t>
            </w:r>
            <w:r>
              <w:t>) pour décrire la projection spatiale d'un volume spatio-temporel. Par exemple, pour décrire une bataille navale, il est possible de distinguer le navire du fond marin comme espaces de référence qui permettent de constater que la projection n'est pas unique.</w:t>
            </w:r>
          </w:p>
          <w:p w14:paraId="1E291ECB" w14:textId="77777777" w:rsidR="00BF18CF" w:rsidRDefault="00E51347">
            <w:r>
              <w:t xml:space="preserve">La projection spatiale est la couverture spatiale réelle d'un volume spatio-temporel qui est normalement constitué de limites floues, sauf pour les instances de </w:t>
            </w:r>
            <w:r>
              <w:rPr>
                <w:rFonts w:ascii="Consolas" w:eastAsia="Consolas" w:hAnsi="Consolas" w:cs="Consolas"/>
                <w:sz w:val="22"/>
                <w:szCs w:val="22"/>
                <w:shd w:val="clear" w:color="auto" w:fill="EAEEF3"/>
              </w:rPr>
              <w:t>E92_Volume_spatio-temporel</w:t>
            </w:r>
            <w:r>
              <w:t xml:space="preserve"> qui sont définies géométriquement dans le même système de référence que la portée de cette propriété. Ces dernières sont une exception à la règle et n'ont donc pas de limites floues. La modélisation de projections spatiales explicitement floues sert donc de référence topologique commune de différentes approximations spatiales plutôt qu'une détermination géométrique absolue. Par exemple, cela permet d'associer les limites spatiales externes ou internes à leurs volumes spatio-temporels respectifs.</w:t>
            </w:r>
          </w:p>
          <w:p w14:paraId="2A8F07C5" w14:textId="77777777" w:rsidR="00BF18CF" w:rsidRDefault="00E51347">
            <w:r>
              <w:t xml:space="preserve">Dans le cas où le domaine de </w:t>
            </w:r>
            <w:r>
              <w:rPr>
                <w:rFonts w:ascii="Consolas" w:eastAsia="Consolas" w:hAnsi="Consolas" w:cs="Consolas"/>
                <w:sz w:val="22"/>
                <w:szCs w:val="22"/>
                <w:shd w:val="clear" w:color="auto" w:fill="EAEEF3"/>
              </w:rPr>
              <w:t>P161_a_pour_projection_spatiale</w:t>
            </w:r>
            <w:r>
              <w:t xml:space="preserve"> est une instance de </w:t>
            </w:r>
            <w:r>
              <w:rPr>
                <w:rFonts w:ascii="Consolas" w:eastAsia="Consolas" w:hAnsi="Consolas" w:cs="Consolas"/>
                <w:sz w:val="22"/>
                <w:szCs w:val="22"/>
                <w:shd w:val="clear" w:color="auto" w:fill="EAEEF3"/>
              </w:rPr>
              <w:t>E4_Période</w:t>
            </w:r>
            <w:r>
              <w:t>, la projection spatiale décrit toutes les régions associées à cette période tout au long de son déroulement, par exemple l'Empire romain.</w:t>
            </w:r>
          </w:p>
          <w:p w14:paraId="4C29E8FB" w14:textId="77777777" w:rsidR="00BF18CF" w:rsidRDefault="00E51347">
            <w:r>
              <w:t xml:space="preserve">Cette propriété fait partie du chemin sémantique complètement développé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P196_définit (est_défini_par)</w:t>
            </w:r>
            <w:r>
              <w:t xml:space="preserve">, </w:t>
            </w:r>
            <w:r>
              <w:rPr>
                <w:rFonts w:ascii="Consolas" w:eastAsia="Consolas" w:hAnsi="Consolas" w:cs="Consolas"/>
                <w:sz w:val="22"/>
                <w:szCs w:val="22"/>
                <w:shd w:val="clear" w:color="auto" w:fill="EAEEF3"/>
              </w:rPr>
              <w:t>E92_Volume_spatio-</w:t>
            </w:r>
            <w:r>
              <w:rPr>
                <w:rFonts w:ascii="Consolas" w:eastAsia="Consolas" w:hAnsi="Consolas" w:cs="Consolas"/>
                <w:sz w:val="22"/>
                <w:szCs w:val="22"/>
                <w:shd w:val="clear" w:color="auto" w:fill="EAEEF3"/>
              </w:rPr>
              <w:lastRenderedPageBreak/>
              <w:t>temporel</w:t>
            </w:r>
            <w:r>
              <w:t xml:space="preserve">, </w:t>
            </w:r>
            <w:r>
              <w:rPr>
                <w:rFonts w:ascii="Consolas" w:eastAsia="Consolas" w:hAnsi="Consolas" w:cs="Consolas"/>
                <w:sz w:val="22"/>
                <w:szCs w:val="22"/>
                <w:shd w:val="clear" w:color="auto" w:fill="EAEEF3"/>
              </w:rPr>
              <w:t>P161_a_pour_projection_spatiale (est_la_projection_spatiale_de)</w:t>
            </w:r>
            <w:r>
              <w:t xml:space="preserve">, qui peut être raccourci par l'utilisation de </w:t>
            </w:r>
            <w:r>
              <w:rPr>
                <w:rFonts w:ascii="Consolas" w:eastAsia="Consolas" w:hAnsi="Consolas" w:cs="Consolas"/>
                <w:sz w:val="22"/>
                <w:szCs w:val="22"/>
                <w:shd w:val="clear" w:color="auto" w:fill="EAEEF3"/>
              </w:rPr>
              <w:t>P156_occupe (est_occupé_par)</w:t>
            </w:r>
            <w:r>
              <w:t>.</w:t>
            </w:r>
          </w:p>
          <w:p w14:paraId="7EDBCBE8" w14:textId="77777777" w:rsidR="00BF18CF" w:rsidRDefault="00E51347">
            <w:r>
              <w:t xml:space="preserve">Cette propriété fait partie du chemin sémantique complètement développé </w:t>
            </w:r>
            <w:r>
              <w:rPr>
                <w:rFonts w:ascii="Consolas" w:eastAsia="Consolas" w:hAnsi="Consolas" w:cs="Consolas"/>
                <w:sz w:val="22"/>
                <w:szCs w:val="22"/>
                <w:shd w:val="clear" w:color="auto" w:fill="EAEEF3"/>
              </w:rPr>
              <w:t>E4_Période</w:t>
            </w:r>
            <w:r>
              <w:t xml:space="preserve">, </w:t>
            </w:r>
            <w:r>
              <w:rPr>
                <w:rFonts w:ascii="Consolas" w:eastAsia="Consolas" w:hAnsi="Consolas" w:cs="Consolas"/>
                <w:sz w:val="22"/>
                <w:szCs w:val="22"/>
                <w:shd w:val="clear" w:color="auto" w:fill="EAEEF3"/>
              </w:rPr>
              <w:t>P161_a_pour_projection_spatiale (est_la_projection_spatiale_de)</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P89_s’insère_dans (contient)</w:t>
            </w:r>
            <w:r>
              <w:t xml:space="preserve">, </w:t>
            </w:r>
            <w:r>
              <w:rPr>
                <w:rFonts w:ascii="Consolas" w:eastAsia="Consolas" w:hAnsi="Consolas" w:cs="Consolas"/>
                <w:sz w:val="22"/>
                <w:szCs w:val="22"/>
                <w:shd w:val="clear" w:color="auto" w:fill="EAEEF3"/>
              </w:rPr>
              <w:t>E53_Lieu</w:t>
            </w:r>
            <w:r>
              <w:t xml:space="preserve">, qui peut être raccourci par l'utilisation de </w:t>
            </w:r>
            <w:r>
              <w:rPr>
                <w:rFonts w:ascii="Consolas" w:eastAsia="Consolas" w:hAnsi="Consolas" w:cs="Consolas"/>
                <w:sz w:val="22"/>
                <w:szCs w:val="22"/>
                <w:shd w:val="clear" w:color="auto" w:fill="EAEEF3"/>
              </w:rPr>
              <w:t>P7_a_eu_lieu_dans (a_été_témoin_de)</w:t>
            </w:r>
            <w:r>
              <w:t>.</w:t>
            </w:r>
          </w:p>
        </w:tc>
      </w:tr>
      <w:tr w:rsidR="00BF18CF" w14:paraId="5FF433D8" w14:textId="77777777" w:rsidTr="00BF18CF">
        <w:tc>
          <w:tcPr>
            <w:tcW w:w="1880" w:type="dxa"/>
          </w:tcPr>
          <w:p w14:paraId="672E1BED"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10" w:type="dxa"/>
          </w:tcPr>
          <w:p w14:paraId="6EF24955" w14:textId="77777777" w:rsidR="00BF18CF" w:rsidRDefault="00E51347">
            <w:pPr>
              <w:numPr>
                <w:ilvl w:val="0"/>
                <w:numId w:val="19"/>
              </w:numPr>
            </w:pPr>
            <w:r>
              <w:t>L'Empire romain a pour projection spatiale (</w:t>
            </w:r>
            <w:r>
              <w:rPr>
                <w:rFonts w:ascii="Consolas" w:eastAsia="Consolas" w:hAnsi="Consolas" w:cs="Consolas"/>
                <w:sz w:val="22"/>
                <w:szCs w:val="22"/>
                <w:shd w:val="clear" w:color="auto" w:fill="EAEEF3"/>
              </w:rPr>
              <w:t>P161_a_pour_projection_spatiale</w:t>
            </w:r>
            <w:r>
              <w:t>) toutes les régions revendiquées par Rome (Clare, 1992)</w:t>
            </w:r>
          </w:p>
        </w:tc>
      </w:tr>
      <w:tr w:rsidR="00BF18CF" w14:paraId="1A612CF0" w14:textId="77777777" w:rsidTr="00BF18CF">
        <w:tc>
          <w:tcPr>
            <w:tcW w:w="1880" w:type="dxa"/>
          </w:tcPr>
          <w:p w14:paraId="3675C9F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0" w:type="dxa"/>
          </w:tcPr>
          <w:p w14:paraId="5FD13901" w14:textId="77777777" w:rsidR="00BF18CF" w:rsidRDefault="00E51347">
            <w:r>
              <w:t>P161(</w:t>
            </w:r>
            <w:proofErr w:type="gramStart"/>
            <w:r>
              <w:t>x,y</w:t>
            </w:r>
            <w:proofErr w:type="gramEnd"/>
            <w:r>
              <w:t>) ⇒ E92(x)</w:t>
            </w:r>
          </w:p>
          <w:p w14:paraId="7884D15F" w14:textId="77777777" w:rsidR="00BF18CF" w:rsidRDefault="00E51347">
            <w:r>
              <w:t>P161(</w:t>
            </w:r>
            <w:proofErr w:type="gramStart"/>
            <w:r>
              <w:t>x,y</w:t>
            </w:r>
            <w:proofErr w:type="gramEnd"/>
            <w:r>
              <w:t>) ⇒ E53(y)</w:t>
            </w:r>
          </w:p>
        </w:tc>
      </w:tr>
      <w:tr w:rsidR="00BF18CF" w14:paraId="22DD50AD" w14:textId="77777777" w:rsidTr="00BF18CF">
        <w:tc>
          <w:tcPr>
            <w:tcW w:w="1880" w:type="dxa"/>
          </w:tcPr>
          <w:p w14:paraId="1D05BDBE"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0" w:type="dxa"/>
          </w:tcPr>
          <w:p w14:paraId="004CF19A" w14:textId="77777777" w:rsidR="00BF18CF" w:rsidRDefault="00BF18CF">
            <w:pPr>
              <w:pBdr>
                <w:top w:val="nil"/>
                <w:left w:val="nil"/>
                <w:bottom w:val="nil"/>
                <w:right w:val="nil"/>
                <w:between w:val="nil"/>
              </w:pBdr>
              <w:spacing w:before="36" w:after="36"/>
              <w:rPr>
                <w:color w:val="000000"/>
              </w:rPr>
            </w:pPr>
          </w:p>
        </w:tc>
      </w:tr>
      <w:tr w:rsidR="00BF18CF" w14:paraId="70B87EBD" w14:textId="77777777" w:rsidTr="00BF18CF">
        <w:tc>
          <w:tcPr>
            <w:tcW w:w="1880" w:type="dxa"/>
          </w:tcPr>
          <w:p w14:paraId="1F6CCB60" w14:textId="2C7559B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0" w:type="dxa"/>
          </w:tcPr>
          <w:p w14:paraId="2BC2F186" w14:textId="77777777" w:rsidR="00BF18CF" w:rsidRDefault="00BF18CF">
            <w:pPr>
              <w:pBdr>
                <w:top w:val="nil"/>
                <w:left w:val="nil"/>
                <w:bottom w:val="nil"/>
                <w:right w:val="nil"/>
                <w:between w:val="nil"/>
              </w:pBdr>
              <w:spacing w:before="36" w:after="36"/>
              <w:rPr>
                <w:color w:val="000000"/>
              </w:rPr>
            </w:pPr>
          </w:p>
        </w:tc>
      </w:tr>
      <w:tr w:rsidR="00BF18CF" w14:paraId="42BAE5DD" w14:textId="77777777" w:rsidTr="00BF18CF">
        <w:tc>
          <w:tcPr>
            <w:tcW w:w="1880" w:type="dxa"/>
          </w:tcPr>
          <w:p w14:paraId="70E3096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0" w:type="dxa"/>
          </w:tcPr>
          <w:p w14:paraId="50ED82AC" w14:textId="77777777" w:rsidR="00BF18CF" w:rsidRDefault="00BF18CF">
            <w:pPr>
              <w:pBdr>
                <w:top w:val="nil"/>
                <w:left w:val="nil"/>
                <w:bottom w:val="nil"/>
                <w:right w:val="nil"/>
                <w:between w:val="nil"/>
              </w:pBdr>
              <w:spacing w:before="36" w:after="36"/>
              <w:rPr>
                <w:color w:val="000000"/>
              </w:rPr>
            </w:pPr>
          </w:p>
        </w:tc>
      </w:tr>
    </w:tbl>
    <w:p w14:paraId="17111FE9" w14:textId="77777777" w:rsidR="00BF18CF" w:rsidRDefault="00E51347">
      <w:pPr>
        <w:pStyle w:val="Heading3"/>
      </w:pPr>
      <w:bookmarkStart w:id="525" w:name="bookmark=id.3tm4grq" w:colFirst="0" w:colLast="0"/>
      <w:bookmarkStart w:id="526" w:name="_Toc144361006"/>
      <w:bookmarkEnd w:id="525"/>
      <w:r>
        <w:t>P164 est temporellement spécifié par (spécifie temporellement)</w:t>
      </w:r>
      <w:bookmarkEnd w:id="526"/>
    </w:p>
    <w:tbl>
      <w:tblPr>
        <w:tblStyle w:val="afffffffffffffffff8"/>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0"/>
        <w:gridCol w:w="8820"/>
      </w:tblGrid>
      <w:tr w:rsidR="00BF18CF" w14:paraId="0159804A" w14:textId="77777777" w:rsidTr="00BF18CF">
        <w:tc>
          <w:tcPr>
            <w:tcW w:w="1870" w:type="dxa"/>
          </w:tcPr>
          <w:p w14:paraId="0701F235"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0" w:type="dxa"/>
          </w:tcPr>
          <w:p w14:paraId="70B59672" w14:textId="77777777" w:rsidR="00BF18CF" w:rsidRDefault="00E51347">
            <w:r>
              <w:rPr>
                <w:rFonts w:ascii="Consolas" w:eastAsia="Consolas" w:hAnsi="Consolas" w:cs="Consolas"/>
                <w:sz w:val="22"/>
                <w:szCs w:val="22"/>
                <w:shd w:val="clear" w:color="auto" w:fill="EAEEF3"/>
              </w:rPr>
              <w:t>E93_Présence</w:t>
            </w:r>
          </w:p>
        </w:tc>
      </w:tr>
      <w:tr w:rsidR="00BF18CF" w14:paraId="06D82EBB" w14:textId="77777777" w:rsidTr="00BF18CF">
        <w:tc>
          <w:tcPr>
            <w:tcW w:w="1870" w:type="dxa"/>
          </w:tcPr>
          <w:p w14:paraId="619B478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0" w:type="dxa"/>
          </w:tcPr>
          <w:p w14:paraId="1D134203" w14:textId="77777777" w:rsidR="00BF18CF" w:rsidRDefault="00E51347">
            <w:r>
              <w:rPr>
                <w:rFonts w:ascii="Consolas" w:eastAsia="Consolas" w:hAnsi="Consolas" w:cs="Consolas"/>
                <w:sz w:val="22"/>
                <w:szCs w:val="22"/>
                <w:shd w:val="clear" w:color="auto" w:fill="EAEEF3"/>
              </w:rPr>
              <w:t>E52_Intervalle_temporel</w:t>
            </w:r>
          </w:p>
        </w:tc>
      </w:tr>
      <w:tr w:rsidR="00BF18CF" w14:paraId="64B15CC1" w14:textId="77777777" w:rsidTr="00BF18CF">
        <w:tc>
          <w:tcPr>
            <w:tcW w:w="1870" w:type="dxa"/>
          </w:tcPr>
          <w:p w14:paraId="2E8573E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20" w:type="dxa"/>
          </w:tcPr>
          <w:p w14:paraId="50BC590E" w14:textId="77777777" w:rsidR="00BF18CF" w:rsidRDefault="00E51347">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P160_a_pour_projection_temporelle (est_la_projection_temporelle_de)</w:t>
            </w:r>
            <w:r>
              <w:t xml:space="preserve">: </w:t>
            </w:r>
            <w:r>
              <w:rPr>
                <w:rFonts w:ascii="Consolas" w:eastAsia="Consolas" w:hAnsi="Consolas" w:cs="Consolas"/>
                <w:sz w:val="22"/>
                <w:szCs w:val="22"/>
                <w:shd w:val="clear" w:color="auto" w:fill="EAEEF3"/>
              </w:rPr>
              <w:t>E52_Intervalle_temporel</w:t>
            </w:r>
          </w:p>
        </w:tc>
      </w:tr>
      <w:tr w:rsidR="00BF18CF" w14:paraId="470AE39A" w14:textId="77777777" w:rsidTr="00BF18CF">
        <w:tc>
          <w:tcPr>
            <w:tcW w:w="1870" w:type="dxa"/>
          </w:tcPr>
          <w:p w14:paraId="03403CD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0" w:type="dxa"/>
          </w:tcPr>
          <w:p w14:paraId="5269FC8F" w14:textId="77777777" w:rsidR="00BF18CF" w:rsidRDefault="00BF18CF">
            <w:pPr>
              <w:pBdr>
                <w:top w:val="nil"/>
                <w:left w:val="nil"/>
                <w:bottom w:val="nil"/>
                <w:right w:val="nil"/>
                <w:between w:val="nil"/>
              </w:pBdr>
              <w:spacing w:before="36" w:after="36"/>
              <w:rPr>
                <w:color w:val="000000"/>
              </w:rPr>
            </w:pPr>
          </w:p>
        </w:tc>
      </w:tr>
      <w:tr w:rsidR="00BF18CF" w14:paraId="2CAE45C4" w14:textId="77777777" w:rsidTr="00BF18CF">
        <w:tc>
          <w:tcPr>
            <w:tcW w:w="1870" w:type="dxa"/>
          </w:tcPr>
          <w:p w14:paraId="07CA59C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0" w:type="dxa"/>
          </w:tcPr>
          <w:p w14:paraId="78E2B7B3" w14:textId="77777777" w:rsidR="00BF18CF" w:rsidRDefault="00E51347">
            <w:r>
              <w:t xml:space="preserve">Plusieurs à un, nécessaire (1,1: </w:t>
            </w:r>
            <w:proofErr w:type="gramStart"/>
            <w:r>
              <w:t>0,n</w:t>
            </w:r>
            <w:proofErr w:type="gramEnd"/>
            <w:r>
              <w:t>)</w:t>
            </w:r>
          </w:p>
        </w:tc>
      </w:tr>
      <w:tr w:rsidR="00BF18CF" w14:paraId="429579A6" w14:textId="77777777" w:rsidTr="00BF18CF">
        <w:tc>
          <w:tcPr>
            <w:tcW w:w="1870" w:type="dxa"/>
          </w:tcPr>
          <w:p w14:paraId="34B72DD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20" w:type="dxa"/>
          </w:tcPr>
          <w:p w14:paraId="72678A4B" w14:textId="77777777" w:rsidR="00BF18CF" w:rsidRDefault="00E51347">
            <w:r>
              <w:t xml:space="preserve">Cette propriété relie une instance de </w:t>
            </w:r>
            <w:r>
              <w:rPr>
                <w:rFonts w:ascii="Consolas" w:eastAsia="Consolas" w:hAnsi="Consolas" w:cs="Consolas"/>
                <w:sz w:val="22"/>
                <w:szCs w:val="22"/>
                <w:shd w:val="clear" w:color="auto" w:fill="EAEEF3"/>
              </w:rPr>
              <w:t>E93_Présence</w:t>
            </w:r>
            <w:r>
              <w:t xml:space="preserve"> à une instance de </w:t>
            </w:r>
            <w:r>
              <w:rPr>
                <w:rFonts w:ascii="Consolas" w:eastAsia="Consolas" w:hAnsi="Consolas" w:cs="Consolas"/>
                <w:sz w:val="22"/>
                <w:szCs w:val="22"/>
                <w:shd w:val="clear" w:color="auto" w:fill="EAEEF3"/>
              </w:rPr>
              <w:t>E52_Intervalle_temporel</w:t>
            </w:r>
            <w:r>
              <w:t xml:space="preserve"> qui définit la tranche de temps du volume spatio-temporel à laquelle cette instance de </w:t>
            </w:r>
            <w:r>
              <w:rPr>
                <w:rFonts w:ascii="Consolas" w:eastAsia="Consolas" w:hAnsi="Consolas" w:cs="Consolas"/>
                <w:sz w:val="22"/>
                <w:szCs w:val="22"/>
                <w:shd w:val="clear" w:color="auto" w:fill="EAEEF3"/>
              </w:rPr>
              <w:t>E93_Présence</w:t>
            </w:r>
            <w:r>
              <w:t xml:space="preserve"> est liée via la propriété </w:t>
            </w:r>
            <w:r>
              <w:rPr>
                <w:rFonts w:ascii="Consolas" w:eastAsia="Consolas" w:hAnsi="Consolas" w:cs="Consolas"/>
                <w:sz w:val="22"/>
                <w:szCs w:val="22"/>
                <w:shd w:val="clear" w:color="auto" w:fill="EAEEF3"/>
              </w:rPr>
              <w:t>P166_a_été_une_présence_de (a_eu_pour_présence)</w:t>
            </w:r>
            <w:r>
              <w:t>.</w:t>
            </w:r>
          </w:p>
          <w:p w14:paraId="093147A0" w14:textId="77777777" w:rsidR="00BF18CF" w:rsidRDefault="00E51347">
            <w:r>
              <w:t xml:space="preserve">Il existe deux cas typiques pour déterminer l’instance liée de </w:t>
            </w:r>
            <w:r>
              <w:rPr>
                <w:rFonts w:ascii="Consolas" w:eastAsia="Consolas" w:hAnsi="Consolas" w:cs="Consolas"/>
                <w:sz w:val="22"/>
                <w:szCs w:val="22"/>
                <w:shd w:val="clear" w:color="auto" w:fill="EAEEF3"/>
              </w:rPr>
              <w:t>E52_Intervalle_temporel</w:t>
            </w:r>
            <w:r>
              <w:t xml:space="preserve">. Dans le premier cas, il s’agit de l’étendue temporelle d’une instance de </w:t>
            </w:r>
            <w:r>
              <w:rPr>
                <w:rFonts w:ascii="Consolas" w:eastAsia="Consolas" w:hAnsi="Consolas" w:cs="Consolas"/>
                <w:sz w:val="22"/>
                <w:szCs w:val="22"/>
                <w:shd w:val="clear" w:color="auto" w:fill="EAEEF3"/>
              </w:rPr>
              <w:t>E2_Entité_temporelle</w:t>
            </w:r>
            <w:r>
              <w:t xml:space="preserve"> (documentée avec </w:t>
            </w:r>
            <w:r>
              <w:rPr>
                <w:rFonts w:ascii="Consolas" w:eastAsia="Consolas" w:hAnsi="Consolas" w:cs="Consolas"/>
                <w:sz w:val="22"/>
                <w:szCs w:val="22"/>
                <w:shd w:val="clear" w:color="auto" w:fill="EAEEF3"/>
              </w:rPr>
              <w:t>P4_a_pour_intervalle_temporel (est_l’intervalle_temporel_de)</w:t>
            </w:r>
            <w:r>
              <w:t xml:space="preserve">) : ceci documente alors la simultanéité de l’instance de </w:t>
            </w:r>
            <w:r>
              <w:rPr>
                <w:rFonts w:ascii="Consolas" w:eastAsia="Consolas" w:hAnsi="Consolas" w:cs="Consolas"/>
                <w:sz w:val="22"/>
                <w:szCs w:val="22"/>
                <w:shd w:val="clear" w:color="auto" w:fill="EAEEF3"/>
              </w:rPr>
              <w:t>E93_Présence</w:t>
            </w:r>
            <w:r>
              <w:t xml:space="preserve"> et de l’instance de </w:t>
            </w:r>
            <w:r>
              <w:rPr>
                <w:rFonts w:ascii="Consolas" w:eastAsia="Consolas" w:hAnsi="Consolas" w:cs="Consolas"/>
                <w:sz w:val="22"/>
                <w:szCs w:val="22"/>
                <w:shd w:val="clear" w:color="auto" w:fill="EAEEF3"/>
              </w:rPr>
              <w:t>E2_Entité_temporelle</w:t>
            </w:r>
            <w:r>
              <w:t xml:space="preserve">, même si l’étendue temporelle absolue n’est pas connue et peut être considérée comme un intervalle temporel phénoménal. Dans le second cas, l’instance de </w:t>
            </w:r>
            <w:r>
              <w:rPr>
                <w:rFonts w:ascii="Consolas" w:eastAsia="Consolas" w:hAnsi="Consolas" w:cs="Consolas"/>
                <w:sz w:val="22"/>
                <w:szCs w:val="22"/>
                <w:shd w:val="clear" w:color="auto" w:fill="EAEEF3"/>
              </w:rPr>
              <w:t>E52_Intervalle_temporel</w:t>
            </w:r>
            <w:r>
              <w:t xml:space="preserve"> est un intervalle de temps déclaré dans ou dérivé d’une source historique, ou bien fourni par une méthode de datation : il s'agit d'une étendue temporelle déclarative.</w:t>
            </w:r>
          </w:p>
        </w:tc>
      </w:tr>
      <w:tr w:rsidR="00BF18CF" w14:paraId="3CDAA607" w14:textId="77777777" w:rsidTr="00BF18CF">
        <w:tc>
          <w:tcPr>
            <w:tcW w:w="1870" w:type="dxa"/>
          </w:tcPr>
          <w:p w14:paraId="7B68BBCE"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20" w:type="dxa"/>
          </w:tcPr>
          <w:p w14:paraId="7BF9BA41" w14:textId="77777777" w:rsidR="00BF18CF" w:rsidRDefault="00E51347">
            <w:pPr>
              <w:numPr>
                <w:ilvl w:val="0"/>
                <w:numId w:val="19"/>
              </w:numPr>
            </w:pPr>
            <w:r>
              <w:t>2016-02-09 (</w:t>
            </w:r>
            <w:r>
              <w:rPr>
                <w:rFonts w:ascii="Consolas" w:eastAsia="Consolas" w:hAnsi="Consolas" w:cs="Consolas"/>
                <w:sz w:val="22"/>
                <w:szCs w:val="22"/>
                <w:shd w:val="clear" w:color="auto" w:fill="EAEEF3"/>
              </w:rPr>
              <w:t>E52_Intervalle_temporel</w:t>
            </w:r>
            <w:r>
              <w:t>) était l’intervalle temporel (</w:t>
            </w:r>
            <w:r>
              <w:rPr>
                <w:rFonts w:ascii="Consolas" w:eastAsia="Consolas" w:hAnsi="Consolas" w:cs="Consolas"/>
                <w:sz w:val="22"/>
                <w:szCs w:val="22"/>
                <w:shd w:val="clear" w:color="auto" w:fill="EAEEF3"/>
              </w:rPr>
              <w:t>P164i_spécifie_temporellement)</w:t>
            </w:r>
            <w:r>
              <w:t xml:space="preserve"> du dernier jour du carnaval 2016 à Cologne (</w:t>
            </w:r>
            <w:r>
              <w:rPr>
                <w:rFonts w:ascii="Consolas" w:eastAsia="Consolas" w:hAnsi="Consolas" w:cs="Consolas"/>
                <w:sz w:val="22"/>
                <w:szCs w:val="22"/>
                <w:shd w:val="clear" w:color="auto" w:fill="EAEEF3"/>
              </w:rPr>
              <w:t>E93_Présence</w:t>
            </w:r>
            <w:r>
              <w:t>).</w:t>
            </w:r>
          </w:p>
          <w:p w14:paraId="366B4986" w14:textId="77777777" w:rsidR="00BF18CF" w:rsidRDefault="00E51347">
            <w:pPr>
              <w:numPr>
                <w:ilvl w:val="0"/>
                <w:numId w:val="19"/>
              </w:numPr>
            </w:pPr>
            <w:r>
              <w:t>La localisation de Johann Joachim Winckelmann en décembre 1755 (</w:t>
            </w:r>
            <w:r>
              <w:rPr>
                <w:rFonts w:ascii="Consolas" w:eastAsia="Consolas" w:hAnsi="Consolas" w:cs="Consolas"/>
                <w:sz w:val="22"/>
                <w:szCs w:val="22"/>
                <w:shd w:val="clear" w:color="auto" w:fill="EAEEF3"/>
              </w:rPr>
              <w:t>E93_Présence</w:t>
            </w:r>
            <w:r>
              <w:t>) est temporellement spécifiée par (</w:t>
            </w:r>
            <w:r>
              <w:rPr>
                <w:rFonts w:ascii="Consolas" w:eastAsia="Consolas" w:hAnsi="Consolas" w:cs="Consolas"/>
                <w:sz w:val="22"/>
                <w:szCs w:val="22"/>
                <w:shd w:val="clear" w:color="auto" w:fill="EAEEF3"/>
              </w:rPr>
              <w:t>P164_est_temporellement_spécifié_par</w:t>
            </w:r>
            <w:r>
              <w:t>) l’intervalle temporel du mois de décembre 1755 (</w:t>
            </w:r>
            <w:r>
              <w:rPr>
                <w:rFonts w:ascii="Consolas" w:eastAsia="Consolas" w:hAnsi="Consolas" w:cs="Consolas"/>
                <w:sz w:val="22"/>
                <w:szCs w:val="22"/>
                <w:shd w:val="clear" w:color="auto" w:fill="EAEEF3"/>
              </w:rPr>
              <w:t>E52_Intervalle_temporel</w:t>
            </w:r>
            <w:r>
              <w:t>) (Leppmann, 1970)</w:t>
            </w:r>
          </w:p>
          <w:p w14:paraId="4CF06189" w14:textId="77777777" w:rsidR="00BF18CF" w:rsidRDefault="00E51347">
            <w:pPr>
              <w:numPr>
                <w:ilvl w:val="0"/>
                <w:numId w:val="19"/>
              </w:numPr>
            </w:pPr>
            <w:r>
              <w:t>La localisation de Johann Joachim Winckelmann du 19 novembre 1755 au 9 avril 1768 (</w:t>
            </w:r>
            <w:r>
              <w:rPr>
                <w:rFonts w:ascii="Consolas" w:eastAsia="Consolas" w:hAnsi="Consolas" w:cs="Consolas"/>
                <w:sz w:val="22"/>
                <w:szCs w:val="22"/>
                <w:shd w:val="clear" w:color="auto" w:fill="EAEEF3"/>
              </w:rPr>
              <w:t>E93_Présence</w:t>
            </w:r>
            <w:r>
              <w:t>) est temporellement spécifiée par (</w:t>
            </w:r>
            <w:r>
              <w:rPr>
                <w:rFonts w:ascii="Consolas" w:eastAsia="Consolas" w:hAnsi="Consolas" w:cs="Consolas"/>
                <w:sz w:val="22"/>
                <w:szCs w:val="22"/>
                <w:shd w:val="clear" w:color="auto" w:fill="EAEEF3"/>
              </w:rPr>
              <w:t>P164_est_temporellement_spécifié_par</w:t>
            </w:r>
            <w:r>
              <w:t>) l’intervalle temporel du 19 novembre 1755 au 9 avril 1768 (</w:t>
            </w:r>
            <w:r>
              <w:rPr>
                <w:rFonts w:ascii="Consolas" w:eastAsia="Consolas" w:hAnsi="Consolas" w:cs="Consolas"/>
                <w:sz w:val="22"/>
                <w:szCs w:val="22"/>
                <w:shd w:val="clear" w:color="auto" w:fill="EAEEF3"/>
              </w:rPr>
              <w:t>E52_Intervalle_temporel</w:t>
            </w:r>
            <w:r>
              <w:t>) (Leppmann, 1970)</w:t>
            </w:r>
          </w:p>
        </w:tc>
      </w:tr>
      <w:tr w:rsidR="00BF18CF" w14:paraId="29CF3B2A" w14:textId="77777777" w:rsidTr="00BF18CF">
        <w:tc>
          <w:tcPr>
            <w:tcW w:w="1870" w:type="dxa"/>
          </w:tcPr>
          <w:p w14:paraId="2B202B8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0" w:type="dxa"/>
          </w:tcPr>
          <w:p w14:paraId="0C33348A" w14:textId="77777777" w:rsidR="00BF18CF" w:rsidRDefault="00E51347">
            <w:r>
              <w:t>P164(</w:t>
            </w:r>
            <w:proofErr w:type="gramStart"/>
            <w:r>
              <w:t>x,y</w:t>
            </w:r>
            <w:proofErr w:type="gramEnd"/>
            <w:r>
              <w:t>) ⇒ E93(x)</w:t>
            </w:r>
          </w:p>
          <w:p w14:paraId="237338B9" w14:textId="77777777" w:rsidR="00BF18CF" w:rsidRDefault="00E51347">
            <w:r>
              <w:t>P164(</w:t>
            </w:r>
            <w:proofErr w:type="gramStart"/>
            <w:r>
              <w:t>x,y</w:t>
            </w:r>
            <w:proofErr w:type="gramEnd"/>
            <w:r>
              <w:t>) ⇒ E52(y)</w:t>
            </w:r>
          </w:p>
          <w:p w14:paraId="1653D997" w14:textId="77777777" w:rsidR="00BF18CF" w:rsidRDefault="00E51347">
            <w:r>
              <w:t>P164(</w:t>
            </w:r>
            <w:proofErr w:type="gramStart"/>
            <w:r>
              <w:t>x,y</w:t>
            </w:r>
            <w:proofErr w:type="gramEnd"/>
            <w:r>
              <w:t>) ⇒ P160(x,y)</w:t>
            </w:r>
          </w:p>
        </w:tc>
      </w:tr>
      <w:tr w:rsidR="00BF18CF" w14:paraId="1D850285" w14:textId="77777777" w:rsidTr="00BF18CF">
        <w:tc>
          <w:tcPr>
            <w:tcW w:w="1870" w:type="dxa"/>
          </w:tcPr>
          <w:p w14:paraId="0E1D94C6"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20" w:type="dxa"/>
          </w:tcPr>
          <w:p w14:paraId="1FE13398" w14:textId="77777777" w:rsidR="00BF18CF" w:rsidRDefault="00BF18CF">
            <w:pPr>
              <w:pBdr>
                <w:top w:val="nil"/>
                <w:left w:val="nil"/>
                <w:bottom w:val="nil"/>
                <w:right w:val="nil"/>
                <w:between w:val="nil"/>
              </w:pBdr>
              <w:spacing w:before="36" w:after="36"/>
              <w:rPr>
                <w:color w:val="000000"/>
              </w:rPr>
            </w:pPr>
          </w:p>
        </w:tc>
      </w:tr>
      <w:tr w:rsidR="00BF18CF" w14:paraId="3516C64F" w14:textId="77777777" w:rsidTr="00BF18CF">
        <w:tc>
          <w:tcPr>
            <w:tcW w:w="1870" w:type="dxa"/>
          </w:tcPr>
          <w:p w14:paraId="12BE79EB" w14:textId="4CF1DF17"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0" w:type="dxa"/>
          </w:tcPr>
          <w:p w14:paraId="3057D86E" w14:textId="77777777" w:rsidR="00BF18CF" w:rsidRDefault="00BF18CF">
            <w:pPr>
              <w:pBdr>
                <w:top w:val="nil"/>
                <w:left w:val="nil"/>
                <w:bottom w:val="nil"/>
                <w:right w:val="nil"/>
                <w:between w:val="nil"/>
              </w:pBdr>
              <w:spacing w:before="36" w:after="36"/>
              <w:rPr>
                <w:color w:val="000000"/>
              </w:rPr>
            </w:pPr>
          </w:p>
        </w:tc>
      </w:tr>
      <w:tr w:rsidR="00BF18CF" w14:paraId="228F1454" w14:textId="77777777" w:rsidTr="00BF18CF">
        <w:tc>
          <w:tcPr>
            <w:tcW w:w="1870" w:type="dxa"/>
          </w:tcPr>
          <w:p w14:paraId="45C2901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0" w:type="dxa"/>
          </w:tcPr>
          <w:p w14:paraId="541E1EC3" w14:textId="77777777" w:rsidR="00BF18CF" w:rsidRDefault="00BF18CF">
            <w:pPr>
              <w:pBdr>
                <w:top w:val="nil"/>
                <w:left w:val="nil"/>
                <w:bottom w:val="nil"/>
                <w:right w:val="nil"/>
                <w:between w:val="nil"/>
              </w:pBdr>
              <w:spacing w:before="36" w:after="36"/>
              <w:rPr>
                <w:color w:val="000000"/>
              </w:rPr>
            </w:pPr>
          </w:p>
        </w:tc>
      </w:tr>
    </w:tbl>
    <w:p w14:paraId="660BAD29" w14:textId="77777777" w:rsidR="00BF18CF" w:rsidRDefault="00E51347">
      <w:pPr>
        <w:pStyle w:val="Heading3"/>
      </w:pPr>
      <w:bookmarkStart w:id="527" w:name="bookmark=id.28reqzj" w:colFirst="0" w:colLast="0"/>
      <w:bookmarkStart w:id="528" w:name="_Toc144361007"/>
      <w:bookmarkEnd w:id="527"/>
      <w:r>
        <w:t>P165 inclut (est inclus dans)</w:t>
      </w:r>
      <w:bookmarkEnd w:id="528"/>
    </w:p>
    <w:tbl>
      <w:tblPr>
        <w:tblStyle w:val="affffffff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1"/>
        <w:gridCol w:w="8799"/>
      </w:tblGrid>
      <w:tr w:rsidR="00BF18CF" w14:paraId="27B1C5EA" w14:textId="77777777" w:rsidTr="00BF18CF">
        <w:tc>
          <w:tcPr>
            <w:tcW w:w="1891" w:type="dxa"/>
          </w:tcPr>
          <w:p w14:paraId="68FEE525"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9" w:type="dxa"/>
          </w:tcPr>
          <w:p w14:paraId="15A9A1D3" w14:textId="77777777" w:rsidR="00BF18CF" w:rsidRDefault="00E51347">
            <w:r>
              <w:rPr>
                <w:rFonts w:ascii="Consolas" w:eastAsia="Consolas" w:hAnsi="Consolas" w:cs="Consolas"/>
                <w:sz w:val="22"/>
                <w:szCs w:val="22"/>
                <w:shd w:val="clear" w:color="auto" w:fill="EAEEF3"/>
              </w:rPr>
              <w:t>E73_Objet_informationnel</w:t>
            </w:r>
          </w:p>
        </w:tc>
      </w:tr>
      <w:tr w:rsidR="00BF18CF" w14:paraId="3500864E" w14:textId="77777777" w:rsidTr="00BF18CF">
        <w:tc>
          <w:tcPr>
            <w:tcW w:w="1891" w:type="dxa"/>
          </w:tcPr>
          <w:p w14:paraId="6A026691"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9" w:type="dxa"/>
          </w:tcPr>
          <w:p w14:paraId="7925AA3B" w14:textId="77777777" w:rsidR="00BF18CF" w:rsidRDefault="00E51347">
            <w:r>
              <w:rPr>
                <w:rFonts w:ascii="Consolas" w:eastAsia="Consolas" w:hAnsi="Consolas" w:cs="Consolas"/>
                <w:sz w:val="22"/>
                <w:szCs w:val="22"/>
                <w:shd w:val="clear" w:color="auto" w:fill="EAEEF3"/>
              </w:rPr>
              <w:t>E90_Objet_symbolique</w:t>
            </w:r>
          </w:p>
        </w:tc>
      </w:tr>
      <w:tr w:rsidR="00BF18CF" w14:paraId="37EE295D" w14:textId="77777777" w:rsidTr="00BF18CF">
        <w:tc>
          <w:tcPr>
            <w:tcW w:w="1891" w:type="dxa"/>
          </w:tcPr>
          <w:p w14:paraId="702D355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9" w:type="dxa"/>
          </w:tcPr>
          <w:p w14:paraId="1163ACF0" w14:textId="77777777" w:rsidR="00BF18CF" w:rsidRDefault="00E51347">
            <w:r>
              <w:rPr>
                <w:rFonts w:ascii="Consolas" w:eastAsia="Consolas" w:hAnsi="Consolas" w:cs="Consolas"/>
                <w:sz w:val="22"/>
                <w:szCs w:val="22"/>
                <w:shd w:val="clear" w:color="auto" w:fill="EAEEF3"/>
              </w:rPr>
              <w:t>E90_Objet_symbolique</w:t>
            </w:r>
            <w:r>
              <w:t xml:space="preserve">. </w:t>
            </w:r>
            <w:r>
              <w:rPr>
                <w:rFonts w:ascii="Consolas" w:eastAsia="Consolas" w:hAnsi="Consolas" w:cs="Consolas"/>
                <w:sz w:val="22"/>
                <w:szCs w:val="22"/>
                <w:shd w:val="clear" w:color="auto" w:fill="EAEEF3"/>
              </w:rPr>
              <w:t>P106_est_composé_de (fait_partie_de)</w:t>
            </w:r>
            <w:r>
              <w:t xml:space="preserve"> : </w:t>
            </w:r>
            <w:r>
              <w:rPr>
                <w:rFonts w:ascii="Consolas" w:eastAsia="Consolas" w:hAnsi="Consolas" w:cs="Consolas"/>
                <w:sz w:val="22"/>
                <w:szCs w:val="22"/>
                <w:shd w:val="clear" w:color="auto" w:fill="EAEEF3"/>
              </w:rPr>
              <w:t>E90_Objet_symbolique</w:t>
            </w:r>
          </w:p>
        </w:tc>
      </w:tr>
      <w:tr w:rsidR="00BF18CF" w14:paraId="48E21438" w14:textId="77777777" w:rsidTr="00BF18CF">
        <w:tc>
          <w:tcPr>
            <w:tcW w:w="1891" w:type="dxa"/>
          </w:tcPr>
          <w:p w14:paraId="46B594C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9" w:type="dxa"/>
          </w:tcPr>
          <w:p w14:paraId="3F194E6A" w14:textId="77777777" w:rsidR="00BF18CF" w:rsidRDefault="00BF18CF">
            <w:pPr>
              <w:pBdr>
                <w:top w:val="nil"/>
                <w:left w:val="nil"/>
                <w:bottom w:val="nil"/>
                <w:right w:val="nil"/>
                <w:between w:val="nil"/>
              </w:pBdr>
              <w:spacing w:before="36" w:after="36"/>
              <w:rPr>
                <w:color w:val="000000"/>
              </w:rPr>
            </w:pPr>
          </w:p>
        </w:tc>
      </w:tr>
      <w:tr w:rsidR="00BF18CF" w14:paraId="7EBBF467" w14:textId="77777777" w:rsidTr="00BF18CF">
        <w:tc>
          <w:tcPr>
            <w:tcW w:w="1891" w:type="dxa"/>
          </w:tcPr>
          <w:p w14:paraId="242E8EC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9" w:type="dxa"/>
          </w:tcPr>
          <w:p w14:paraId="29280105" w14:textId="77777777" w:rsidR="00BF18CF" w:rsidRDefault="00E51347">
            <w:proofErr w:type="gramStart"/>
            <w:r>
              <w:t>plusieurs</w:t>
            </w:r>
            <w:proofErr w:type="gramEnd"/>
            <w:r>
              <w:t xml:space="preserve"> à plusieurs (0,n:0,n)</w:t>
            </w:r>
          </w:p>
        </w:tc>
      </w:tr>
      <w:tr w:rsidR="00BF18CF" w14:paraId="0871B517" w14:textId="77777777" w:rsidTr="00BF18CF">
        <w:tc>
          <w:tcPr>
            <w:tcW w:w="1891" w:type="dxa"/>
          </w:tcPr>
          <w:p w14:paraId="0B9C2096"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9" w:type="dxa"/>
          </w:tcPr>
          <w:p w14:paraId="7F9AD60E" w14:textId="77777777" w:rsidR="00BF18CF" w:rsidRDefault="00E51347">
            <w:r>
              <w:t xml:space="preserve">Cette propriété associe une instance de </w:t>
            </w:r>
            <w:r>
              <w:rPr>
                <w:rFonts w:ascii="Consolas" w:eastAsia="Consolas" w:hAnsi="Consolas" w:cs="Consolas"/>
                <w:sz w:val="22"/>
                <w:szCs w:val="22"/>
                <w:shd w:val="clear" w:color="auto" w:fill="EAEEF3"/>
              </w:rPr>
              <w:t>E73_Objet_informationnel</w:t>
            </w:r>
            <w:r>
              <w:t xml:space="preserve"> à une instance de </w:t>
            </w:r>
            <w:r>
              <w:rPr>
                <w:rFonts w:ascii="Consolas" w:eastAsia="Consolas" w:hAnsi="Consolas" w:cs="Consolas"/>
                <w:sz w:val="22"/>
                <w:szCs w:val="22"/>
                <w:shd w:val="clear" w:color="auto" w:fill="EAEEF3"/>
              </w:rPr>
              <w:t>E90_Objet_symbolique</w:t>
            </w:r>
            <w:r>
              <w:t xml:space="preserve"> (ou une instance de l’une de ses sous-classes), la seconde étant incluse dans la première.</w:t>
            </w:r>
          </w:p>
          <w:p w14:paraId="7212E6CC" w14:textId="77777777" w:rsidR="00BF18CF" w:rsidRDefault="00E51347">
            <w:r>
              <w:t>Cette propriété permet de reconnaître le statut autonome des signes incorporés, créés dans un contexte distinct, et pouvant être incorporés dans de nombreuses expressions autonomes distinctes, ainsi que de mettre en évidence la différence entre les relations partitives structurelles ou accidentelles entre des entités conceptuelles.</w:t>
            </w:r>
          </w:p>
          <w:p w14:paraId="5A2D08EF" w14:textId="77777777" w:rsidR="00BF18CF" w:rsidRDefault="00E51347">
            <w:r>
              <w:t xml:space="preserve">Cette propriété rend compte de plusieurs faits culturels fréquents et significatifs : l’inclusion d’un poème dans une anthologie, la réutilisation d’un aria dans un nouvel opéra, l’utilisation d’une reproduction d’une œuvre peinte pour la couverture d’un livre ou le livret d’accompagnement d’un disque compact, </w:t>
            </w:r>
            <w:r>
              <w:lastRenderedPageBreak/>
              <w:t>l’intégration de citations textuelles, la présence de paroles dans une chanson les mettant en musique, la présence du texte d’une pièce de théâtre dans un film basé sur cette pièce, etc.</w:t>
            </w:r>
          </w:p>
          <w:p w14:paraId="0CBC972A" w14:textId="77777777" w:rsidR="00BF18CF" w:rsidRDefault="00E51347">
            <w:r>
              <w:t>En particulier, cette propriété permet la modélisation de relations de différents niveaux de spécificité symbolique, telles que les mots de la langue naturelle composant un texte, les caractères composant les mots et la ponctuation, le choix des polices et la mise en page des caractères.</w:t>
            </w:r>
          </w:p>
          <w:p w14:paraId="39FFCDAC" w14:textId="77777777" w:rsidR="00BF18CF" w:rsidRDefault="00E51347">
            <w:r>
              <w:t xml:space="preserve">Lorsque cette propriété est limitée aux objets informationnels, c.-à-d. lorsqu’elle est considérée comme ayant à la fois la classe </w:t>
            </w:r>
            <w:r>
              <w:rPr>
                <w:rFonts w:ascii="Consolas" w:eastAsia="Consolas" w:hAnsi="Consolas" w:cs="Consolas"/>
                <w:sz w:val="22"/>
                <w:szCs w:val="22"/>
                <w:shd w:val="clear" w:color="auto" w:fill="EAEEF3"/>
              </w:rPr>
              <w:t>E73_Objet_informationnel</w:t>
            </w:r>
            <w:r>
              <w:t xml:space="preserve"> comme domaine et comme portée, elle est transitive.</w:t>
            </w:r>
          </w:p>
          <w:p w14:paraId="258207CB" w14:textId="77777777" w:rsidR="00BF18CF" w:rsidRDefault="00E51347">
            <w:r>
              <w:t>Une photographie numérique d’une page manuscrite inclut le texte de ladite page, si ce dernier est défini comme une séquence de symboles d’un type particulier, tels que les caractères latins, et que la résolution et la qualité de l’image numérique sont suffisantes pour que ces symboles y soient lisibles.</w:t>
            </w:r>
          </w:p>
        </w:tc>
      </w:tr>
      <w:tr w:rsidR="00BF18CF" w14:paraId="55452D14" w14:textId="77777777" w:rsidTr="00BF18CF">
        <w:tc>
          <w:tcPr>
            <w:tcW w:w="1891" w:type="dxa"/>
          </w:tcPr>
          <w:p w14:paraId="0D3CEBA1"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99" w:type="dxa"/>
          </w:tcPr>
          <w:p w14:paraId="752842C5" w14:textId="77777777" w:rsidR="00BF18CF" w:rsidRDefault="00E51347">
            <w:pPr>
              <w:numPr>
                <w:ilvl w:val="0"/>
                <w:numId w:val="19"/>
              </w:numPr>
            </w:pPr>
            <w:r>
              <w:t xml:space="preserve">Le contenu de </w:t>
            </w:r>
            <w:r>
              <w:rPr>
                <w:i/>
              </w:rPr>
              <w:t>Les Filigranes : dictionnaire historique des marques du papier</w:t>
            </w:r>
            <w:r>
              <w:t xml:space="preserve"> de Charles-Moïse Briquet (</w:t>
            </w:r>
            <w:r>
              <w:rPr>
                <w:rFonts w:ascii="Consolas" w:eastAsia="Consolas" w:hAnsi="Consolas" w:cs="Consolas"/>
                <w:sz w:val="22"/>
                <w:szCs w:val="22"/>
                <w:shd w:val="clear" w:color="auto" w:fill="EAEEF3"/>
              </w:rPr>
              <w:t>E32_Document_de_référence</w:t>
            </w:r>
            <w:r>
              <w:t>) inclut (</w:t>
            </w:r>
            <w:r>
              <w:rPr>
                <w:rFonts w:ascii="Consolas" w:eastAsia="Consolas" w:hAnsi="Consolas" w:cs="Consolas"/>
                <w:sz w:val="22"/>
                <w:szCs w:val="22"/>
                <w:shd w:val="clear" w:color="auto" w:fill="EAEEF3"/>
              </w:rPr>
              <w:t>P165_inclut</w:t>
            </w:r>
            <w:r>
              <w:t>) l’aspect visuel du filigrane utilisé par un ou plusieurs papetiers espagnols autour de 1358-1361 et identifié comme « Briquet 4019 » (</w:t>
            </w:r>
            <w:r>
              <w:rPr>
                <w:rFonts w:ascii="Consolas" w:eastAsia="Consolas" w:hAnsi="Consolas" w:cs="Consolas"/>
                <w:sz w:val="22"/>
                <w:szCs w:val="22"/>
                <w:shd w:val="clear" w:color="auto" w:fill="EAEEF3"/>
              </w:rPr>
              <w:t>E37_Marque</w:t>
            </w:r>
            <w:r>
              <w:t>) (Briquet, 1985)</w:t>
            </w:r>
          </w:p>
          <w:p w14:paraId="2496841E" w14:textId="77777777" w:rsidR="00BF18CF" w:rsidRDefault="00E51347">
            <w:pPr>
              <w:numPr>
                <w:ilvl w:val="0"/>
                <w:numId w:val="19"/>
              </w:numPr>
            </w:pPr>
            <w:r>
              <w:t xml:space="preserve">Le contenu visuel de l’œuvre peinte de Jacopo Amigoni connue sous le nom </w:t>
            </w:r>
            <w:r>
              <w:rPr>
                <w:i/>
              </w:rPr>
              <w:t>Farinelli et ses amis</w:t>
            </w:r>
            <w:r>
              <w:t xml:space="preserve"> (</w:t>
            </w:r>
            <w:r>
              <w:rPr>
                <w:rFonts w:ascii="Consolas" w:eastAsia="Consolas" w:hAnsi="Consolas" w:cs="Consolas"/>
                <w:sz w:val="22"/>
                <w:szCs w:val="22"/>
                <w:shd w:val="clear" w:color="auto" w:fill="EAEEF3"/>
              </w:rPr>
              <w:t>E36_Entité_visuelle</w:t>
            </w:r>
            <w:r>
              <w:t>) inclut (</w:t>
            </w:r>
            <w:r>
              <w:rPr>
                <w:rFonts w:ascii="Consolas" w:eastAsia="Consolas" w:hAnsi="Consolas" w:cs="Consolas"/>
                <w:sz w:val="22"/>
                <w:szCs w:val="22"/>
                <w:shd w:val="clear" w:color="auto" w:fill="EAEEF3"/>
              </w:rPr>
              <w:t>P165_inclut</w:t>
            </w:r>
            <w:r>
              <w:t xml:space="preserve">) la notation musicale de l’œuvre musicale de Farinelli intitulée </w:t>
            </w:r>
            <w:r>
              <w:rPr>
                <w:i/>
              </w:rPr>
              <w:t>La Partenza</w:t>
            </w:r>
            <w:r>
              <w:t xml:space="preserve"> (</w:t>
            </w:r>
            <w:r>
              <w:rPr>
                <w:rFonts w:ascii="Consolas" w:eastAsia="Consolas" w:hAnsi="Consolas" w:cs="Consolas"/>
                <w:sz w:val="22"/>
                <w:szCs w:val="22"/>
                <w:shd w:val="clear" w:color="auto" w:fill="EAEEF3"/>
              </w:rPr>
              <w:t>E73_Objet_informationnel</w:t>
            </w:r>
            <w:r>
              <w:t>) (Musée national du Victoria)</w:t>
            </w:r>
          </w:p>
          <w:p w14:paraId="3D5732D0" w14:textId="77777777" w:rsidR="00BF18CF" w:rsidRDefault="00E51347">
            <w:pPr>
              <w:numPr>
                <w:ilvl w:val="0"/>
                <w:numId w:val="19"/>
              </w:numPr>
            </w:pPr>
            <w:r>
              <w:t xml:space="preserve">Le contenu visuel de l’œuvre peinte de Nicolas Poussin intitulée </w:t>
            </w:r>
            <w:r>
              <w:rPr>
                <w:i/>
              </w:rPr>
              <w:t>Les Bergers d’Arcadie</w:t>
            </w:r>
            <w:r>
              <w:t xml:space="preserve"> (</w:t>
            </w:r>
            <w:r>
              <w:rPr>
                <w:rFonts w:ascii="Consolas" w:eastAsia="Consolas" w:hAnsi="Consolas" w:cs="Consolas"/>
                <w:sz w:val="22"/>
                <w:szCs w:val="22"/>
                <w:shd w:val="clear" w:color="auto" w:fill="EAEEF3"/>
              </w:rPr>
              <w:t>E36_Entité_visuelle</w:t>
            </w:r>
            <w:r>
              <w:t>) inclut (</w:t>
            </w:r>
            <w:r>
              <w:rPr>
                <w:rFonts w:ascii="Consolas" w:eastAsia="Consolas" w:hAnsi="Consolas" w:cs="Consolas"/>
                <w:sz w:val="22"/>
                <w:szCs w:val="22"/>
                <w:shd w:val="clear" w:color="auto" w:fill="EAEEF3"/>
              </w:rPr>
              <w:t>P165_inclut</w:t>
            </w:r>
            <w:r>
              <w:t>) la locution latine « Et in Arcadia ego » (</w:t>
            </w:r>
            <w:r>
              <w:rPr>
                <w:rFonts w:ascii="Consolas" w:eastAsia="Consolas" w:hAnsi="Consolas" w:cs="Consolas"/>
                <w:sz w:val="22"/>
                <w:szCs w:val="22"/>
                <w:shd w:val="clear" w:color="auto" w:fill="EAEEF3"/>
              </w:rPr>
              <w:t>E33_Objet_linguistique</w:t>
            </w:r>
            <w:r>
              <w:t>) (Wikipédia, 2020)</w:t>
            </w:r>
          </w:p>
        </w:tc>
      </w:tr>
      <w:tr w:rsidR="00BF18CF" w14:paraId="37D86143" w14:textId="77777777" w:rsidTr="00BF18CF">
        <w:tc>
          <w:tcPr>
            <w:tcW w:w="1891" w:type="dxa"/>
          </w:tcPr>
          <w:p w14:paraId="59DF3819"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9" w:type="dxa"/>
          </w:tcPr>
          <w:p w14:paraId="6377FD22" w14:textId="77777777" w:rsidR="00BF18CF" w:rsidRDefault="00E51347">
            <w:r>
              <w:t>P165(</w:t>
            </w:r>
            <w:proofErr w:type="gramStart"/>
            <w:r>
              <w:t>x,y</w:t>
            </w:r>
            <w:proofErr w:type="gramEnd"/>
            <w:r>
              <w:t>) ⇒ E73(x)</w:t>
            </w:r>
          </w:p>
          <w:p w14:paraId="0D36EA54" w14:textId="77777777" w:rsidR="00BF18CF" w:rsidRDefault="00E51347">
            <w:r>
              <w:t>P165(</w:t>
            </w:r>
            <w:proofErr w:type="gramStart"/>
            <w:r>
              <w:t>x,y</w:t>
            </w:r>
            <w:proofErr w:type="gramEnd"/>
            <w:r>
              <w:t>) ⇒ E90(y)</w:t>
            </w:r>
          </w:p>
          <w:p w14:paraId="0EC85E5A" w14:textId="77777777" w:rsidR="00BF18CF" w:rsidRDefault="00E51347">
            <w:r>
              <w:t>P165(</w:t>
            </w:r>
            <w:proofErr w:type="gramStart"/>
            <w:r>
              <w:t>x,y</w:t>
            </w:r>
            <w:proofErr w:type="gramEnd"/>
            <w:r>
              <w:t>) ⇒ P106(x,y)</w:t>
            </w:r>
          </w:p>
        </w:tc>
      </w:tr>
      <w:tr w:rsidR="00BF18CF" w14:paraId="6F1BA878" w14:textId="77777777" w:rsidTr="00BF18CF">
        <w:tc>
          <w:tcPr>
            <w:tcW w:w="1891" w:type="dxa"/>
          </w:tcPr>
          <w:p w14:paraId="0318148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9" w:type="dxa"/>
          </w:tcPr>
          <w:p w14:paraId="4DD7E93D" w14:textId="77777777" w:rsidR="00BF18CF" w:rsidRDefault="00BF18CF">
            <w:pPr>
              <w:pBdr>
                <w:top w:val="nil"/>
                <w:left w:val="nil"/>
                <w:bottom w:val="nil"/>
                <w:right w:val="nil"/>
                <w:between w:val="nil"/>
              </w:pBdr>
              <w:spacing w:before="36" w:after="36"/>
              <w:rPr>
                <w:color w:val="000000"/>
              </w:rPr>
            </w:pPr>
          </w:p>
        </w:tc>
      </w:tr>
      <w:tr w:rsidR="00BF18CF" w14:paraId="21490594" w14:textId="77777777" w:rsidTr="00BF18CF">
        <w:tc>
          <w:tcPr>
            <w:tcW w:w="1891" w:type="dxa"/>
          </w:tcPr>
          <w:p w14:paraId="131AF63D" w14:textId="3677327C"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9" w:type="dxa"/>
          </w:tcPr>
          <w:p w14:paraId="0C653258" w14:textId="77777777" w:rsidR="00BF18CF" w:rsidRDefault="00E51347">
            <w:r>
              <w:t>« The Singer Farinelli and friends » a été traduit par « Farinelli et ses amis ». Malgré plusieurs recherches, il ne semble pas y avoir de consensus évident en ce qui a trait au titre de la peinture, mais nous avons retenu la traduction diffusée par le projet Utpictura18 maintenu par Aix-Marseille Université.</w:t>
            </w:r>
          </w:p>
        </w:tc>
      </w:tr>
      <w:tr w:rsidR="00BF18CF" w14:paraId="21C4A98A" w14:textId="77777777" w:rsidTr="00BF18CF">
        <w:tc>
          <w:tcPr>
            <w:tcW w:w="1891" w:type="dxa"/>
          </w:tcPr>
          <w:p w14:paraId="0967CDA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9" w:type="dxa"/>
          </w:tcPr>
          <w:p w14:paraId="6E49D6DC" w14:textId="77777777" w:rsidR="00BF18CF" w:rsidRDefault="00E51347">
            <w:r>
              <w:t>Utpictura18. « Farinelli et ses amis - Amigoni ». Utpictura18. Consulté le 18 mai 2023.</w:t>
            </w:r>
            <w:hyperlink r:id="rId424">
              <w:r>
                <w:rPr>
                  <w:color w:val="4F81BD"/>
                </w:rPr>
                <w:t xml:space="preserve"> https://utpictura18.univ-amu.fr/notice/4226-farinelli-amis-amigoni</w:t>
              </w:r>
            </w:hyperlink>
            <w:r>
              <w:t>.</w:t>
            </w:r>
          </w:p>
        </w:tc>
      </w:tr>
    </w:tbl>
    <w:p w14:paraId="10A8D11A" w14:textId="77777777" w:rsidR="00BF18CF" w:rsidRDefault="00E51347">
      <w:pPr>
        <w:pStyle w:val="Heading3"/>
      </w:pPr>
      <w:bookmarkStart w:id="529" w:name="bookmark=id.nwp17c" w:colFirst="0" w:colLast="0"/>
      <w:bookmarkStart w:id="530" w:name="_Toc144361008"/>
      <w:bookmarkEnd w:id="529"/>
      <w:r>
        <w:t>P166 a été une présence de (a eu pour présence)</w:t>
      </w:r>
      <w:bookmarkEnd w:id="530"/>
    </w:p>
    <w:tbl>
      <w:tblPr>
        <w:tblStyle w:val="affffffff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6"/>
        <w:gridCol w:w="8794"/>
      </w:tblGrid>
      <w:tr w:rsidR="00BF18CF" w14:paraId="54F2D909" w14:textId="77777777" w:rsidTr="00BF18CF">
        <w:tc>
          <w:tcPr>
            <w:tcW w:w="1896" w:type="dxa"/>
          </w:tcPr>
          <w:p w14:paraId="376A8E3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4" w:type="dxa"/>
          </w:tcPr>
          <w:p w14:paraId="0DDF920E" w14:textId="77777777" w:rsidR="00BF18CF" w:rsidRDefault="00E51347">
            <w:r>
              <w:rPr>
                <w:rFonts w:ascii="Consolas" w:eastAsia="Consolas" w:hAnsi="Consolas" w:cs="Consolas"/>
                <w:sz w:val="22"/>
                <w:szCs w:val="22"/>
                <w:shd w:val="clear" w:color="auto" w:fill="EAEEF3"/>
              </w:rPr>
              <w:t>E93_Présence</w:t>
            </w:r>
          </w:p>
        </w:tc>
      </w:tr>
      <w:tr w:rsidR="00BF18CF" w14:paraId="3C12431B" w14:textId="77777777" w:rsidTr="00BF18CF">
        <w:tc>
          <w:tcPr>
            <w:tcW w:w="1896" w:type="dxa"/>
          </w:tcPr>
          <w:p w14:paraId="037CFFB8" w14:textId="77777777" w:rsidR="00BF18CF" w:rsidRDefault="00E51347">
            <w:pPr>
              <w:pBdr>
                <w:top w:val="nil"/>
                <w:left w:val="nil"/>
                <w:bottom w:val="nil"/>
                <w:right w:val="nil"/>
                <w:between w:val="nil"/>
              </w:pBdr>
              <w:spacing w:before="36" w:after="36"/>
              <w:rPr>
                <w:color w:val="000000"/>
              </w:rPr>
            </w:pPr>
            <w:r>
              <w:rPr>
                <w:b/>
                <w:color w:val="000000"/>
              </w:rPr>
              <w:lastRenderedPageBreak/>
              <w:t>Portée</w:t>
            </w:r>
          </w:p>
        </w:tc>
        <w:tc>
          <w:tcPr>
            <w:tcW w:w="8794" w:type="dxa"/>
          </w:tcPr>
          <w:p w14:paraId="6D6AFA53" w14:textId="77777777" w:rsidR="00BF18CF" w:rsidRDefault="00E51347">
            <w:r>
              <w:rPr>
                <w:rFonts w:ascii="Consolas" w:eastAsia="Consolas" w:hAnsi="Consolas" w:cs="Consolas"/>
                <w:sz w:val="22"/>
                <w:szCs w:val="22"/>
                <w:shd w:val="clear" w:color="auto" w:fill="EAEEF3"/>
              </w:rPr>
              <w:t>E92_Volume_spatio-temporel</w:t>
            </w:r>
          </w:p>
        </w:tc>
      </w:tr>
      <w:tr w:rsidR="00BF18CF" w14:paraId="4AA22B4C" w14:textId="77777777" w:rsidTr="00BF18CF">
        <w:tc>
          <w:tcPr>
            <w:tcW w:w="1896" w:type="dxa"/>
          </w:tcPr>
          <w:p w14:paraId="23A52D8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4" w:type="dxa"/>
          </w:tcPr>
          <w:p w14:paraId="12CFD81A" w14:textId="77777777" w:rsidR="00BF18CF" w:rsidRDefault="00E51347">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P10_s’insère_dans (contient)</w:t>
            </w:r>
            <w:r>
              <w:t xml:space="preserve"> : </w:t>
            </w:r>
            <w:r>
              <w:rPr>
                <w:rFonts w:ascii="Consolas" w:eastAsia="Consolas" w:hAnsi="Consolas" w:cs="Consolas"/>
                <w:sz w:val="22"/>
                <w:szCs w:val="22"/>
                <w:shd w:val="clear" w:color="auto" w:fill="EAEEF3"/>
              </w:rPr>
              <w:t>E92_Volume_spatio-temporel</w:t>
            </w:r>
          </w:p>
        </w:tc>
      </w:tr>
      <w:tr w:rsidR="00BF18CF" w14:paraId="74023795" w14:textId="77777777" w:rsidTr="00BF18CF">
        <w:tc>
          <w:tcPr>
            <w:tcW w:w="1896" w:type="dxa"/>
          </w:tcPr>
          <w:p w14:paraId="4A63D1E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4" w:type="dxa"/>
          </w:tcPr>
          <w:p w14:paraId="7277ABAE" w14:textId="77777777" w:rsidR="00BF18CF" w:rsidRDefault="00BF18CF">
            <w:pPr>
              <w:pBdr>
                <w:top w:val="nil"/>
                <w:left w:val="nil"/>
                <w:bottom w:val="nil"/>
                <w:right w:val="nil"/>
                <w:between w:val="nil"/>
              </w:pBdr>
              <w:spacing w:before="36" w:after="36"/>
              <w:rPr>
                <w:color w:val="000000"/>
              </w:rPr>
            </w:pPr>
          </w:p>
        </w:tc>
      </w:tr>
      <w:tr w:rsidR="00BF18CF" w14:paraId="3A8D8588" w14:textId="77777777" w:rsidTr="00BF18CF">
        <w:tc>
          <w:tcPr>
            <w:tcW w:w="1896" w:type="dxa"/>
          </w:tcPr>
          <w:p w14:paraId="141B3542"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4" w:type="dxa"/>
          </w:tcPr>
          <w:p w14:paraId="72D6EEA1" w14:textId="77777777" w:rsidR="00BF18CF" w:rsidRDefault="00E51347">
            <w:proofErr w:type="gramStart"/>
            <w:r>
              <w:t>plusieurs</w:t>
            </w:r>
            <w:proofErr w:type="gramEnd"/>
            <w:r>
              <w:t xml:space="preserve"> à un, nécessaire (1,1: 0,n)</w:t>
            </w:r>
          </w:p>
        </w:tc>
      </w:tr>
      <w:tr w:rsidR="00BF18CF" w14:paraId="01D78A69" w14:textId="77777777" w:rsidTr="00BF18CF">
        <w:tc>
          <w:tcPr>
            <w:tcW w:w="1896" w:type="dxa"/>
          </w:tcPr>
          <w:p w14:paraId="624893BD"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4" w:type="dxa"/>
          </w:tcPr>
          <w:p w14:paraId="155891A1" w14:textId="77777777" w:rsidR="00BF18CF" w:rsidRDefault="00E51347">
            <w:r>
              <w:t xml:space="preserve">Cette propriété associe une instance de </w:t>
            </w:r>
            <w:r>
              <w:rPr>
                <w:rFonts w:ascii="Consolas" w:eastAsia="Consolas" w:hAnsi="Consolas" w:cs="Consolas"/>
                <w:sz w:val="22"/>
                <w:szCs w:val="22"/>
                <w:shd w:val="clear" w:color="auto" w:fill="EAEEF3"/>
              </w:rPr>
              <w:t>E93_Présence</w:t>
            </w:r>
            <w:r>
              <w:t xml:space="preserve"> à l'instance de </w:t>
            </w:r>
            <w:r>
              <w:rPr>
                <w:rFonts w:ascii="Consolas" w:eastAsia="Consolas" w:hAnsi="Consolas" w:cs="Consolas"/>
                <w:sz w:val="22"/>
                <w:szCs w:val="22"/>
                <w:shd w:val="clear" w:color="auto" w:fill="EAEEF3"/>
              </w:rPr>
              <w:t>E92_Volume_spatio-temporel</w:t>
            </w:r>
            <w:r>
              <w:t xml:space="preserve"> dont elle représente une restriction temporelle (c.-à-d. une tranche de temps). L'instanciation de cette propriété constitue une partie nécessaire de l'identité de l'instance de </w:t>
            </w:r>
            <w:r>
              <w:rPr>
                <w:rFonts w:ascii="Consolas" w:eastAsia="Consolas" w:hAnsi="Consolas" w:cs="Consolas"/>
                <w:sz w:val="22"/>
                <w:szCs w:val="22"/>
                <w:shd w:val="clear" w:color="auto" w:fill="EAEEF3"/>
              </w:rPr>
              <w:t>E93_Présence</w:t>
            </w:r>
            <w:r>
              <w:t>.</w:t>
            </w:r>
          </w:p>
        </w:tc>
      </w:tr>
      <w:tr w:rsidR="00BF18CF" w14:paraId="3B4848FA" w14:textId="77777777" w:rsidTr="00BF18CF">
        <w:tc>
          <w:tcPr>
            <w:tcW w:w="1896" w:type="dxa"/>
          </w:tcPr>
          <w:p w14:paraId="44E5851B"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4" w:type="dxa"/>
          </w:tcPr>
          <w:p w14:paraId="34304809" w14:textId="77777777" w:rsidR="00BF18CF" w:rsidRDefault="00E51347">
            <w:pPr>
              <w:numPr>
                <w:ilvl w:val="0"/>
                <w:numId w:val="19"/>
              </w:numPr>
            </w:pPr>
            <w:r>
              <w:t>L’Empire romain le 19 août 14 EC (</w:t>
            </w:r>
            <w:r>
              <w:rPr>
                <w:rFonts w:ascii="Consolas" w:eastAsia="Consolas" w:hAnsi="Consolas" w:cs="Consolas"/>
                <w:sz w:val="22"/>
                <w:szCs w:val="22"/>
                <w:shd w:val="clear" w:color="auto" w:fill="EAEEF3"/>
              </w:rPr>
              <w:t>E93_Présence</w:t>
            </w:r>
            <w:r>
              <w:t>) a été une présence de (</w:t>
            </w:r>
            <w:r>
              <w:rPr>
                <w:rFonts w:ascii="Consolas" w:eastAsia="Consolas" w:hAnsi="Consolas" w:cs="Consolas"/>
                <w:sz w:val="22"/>
                <w:szCs w:val="22"/>
                <w:shd w:val="clear" w:color="auto" w:fill="EAEEF3"/>
              </w:rPr>
              <w:t>P166_a_été_une_présence_de</w:t>
            </w:r>
            <w:r>
              <w:t>) l’Empire romain (Clare, 1992)</w:t>
            </w:r>
          </w:p>
        </w:tc>
      </w:tr>
      <w:tr w:rsidR="00BF18CF" w14:paraId="7A9D9E91" w14:textId="77777777" w:rsidTr="00BF18CF">
        <w:tc>
          <w:tcPr>
            <w:tcW w:w="1896" w:type="dxa"/>
          </w:tcPr>
          <w:p w14:paraId="5F247224"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4" w:type="dxa"/>
          </w:tcPr>
          <w:p w14:paraId="143BA852" w14:textId="77777777" w:rsidR="00BF18CF" w:rsidRDefault="00E51347">
            <w:r>
              <w:t>P166(</w:t>
            </w:r>
            <w:proofErr w:type="gramStart"/>
            <w:r>
              <w:t>x,y</w:t>
            </w:r>
            <w:proofErr w:type="gramEnd"/>
            <w:r>
              <w:t>) ⇒ E93(x),</w:t>
            </w:r>
          </w:p>
          <w:p w14:paraId="4FB51214" w14:textId="77777777" w:rsidR="00BF18CF" w:rsidRDefault="00E51347">
            <w:r>
              <w:t>P166(</w:t>
            </w:r>
            <w:proofErr w:type="gramStart"/>
            <w:r>
              <w:t>x,y</w:t>
            </w:r>
            <w:proofErr w:type="gramEnd"/>
            <w:r>
              <w:t>) ⇒ E92(y),</w:t>
            </w:r>
          </w:p>
          <w:p w14:paraId="70835D42" w14:textId="77777777" w:rsidR="00BF18CF" w:rsidRDefault="00E51347">
            <w:r>
              <w:t>P166(</w:t>
            </w:r>
            <w:proofErr w:type="gramStart"/>
            <w:r>
              <w:t>x,y</w:t>
            </w:r>
            <w:proofErr w:type="gramEnd"/>
            <w:r>
              <w:t>) ⇒ P10(x,y)</w:t>
            </w:r>
          </w:p>
        </w:tc>
      </w:tr>
      <w:tr w:rsidR="00BF18CF" w14:paraId="4C5955D4" w14:textId="77777777" w:rsidTr="00BF18CF">
        <w:tc>
          <w:tcPr>
            <w:tcW w:w="1896" w:type="dxa"/>
          </w:tcPr>
          <w:p w14:paraId="0BD9089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4" w:type="dxa"/>
          </w:tcPr>
          <w:p w14:paraId="202BD364" w14:textId="77777777" w:rsidR="00BF18CF" w:rsidRDefault="00BF18CF">
            <w:pPr>
              <w:pBdr>
                <w:top w:val="nil"/>
                <w:left w:val="nil"/>
                <w:bottom w:val="nil"/>
                <w:right w:val="nil"/>
                <w:between w:val="nil"/>
              </w:pBdr>
              <w:spacing w:before="36" w:after="36"/>
              <w:rPr>
                <w:color w:val="000000"/>
              </w:rPr>
            </w:pPr>
          </w:p>
        </w:tc>
      </w:tr>
      <w:tr w:rsidR="00BF18CF" w14:paraId="28A6CAFD" w14:textId="77777777" w:rsidTr="00BF18CF">
        <w:tc>
          <w:tcPr>
            <w:tcW w:w="1896" w:type="dxa"/>
          </w:tcPr>
          <w:p w14:paraId="1A3E9031" w14:textId="315CCEE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4" w:type="dxa"/>
          </w:tcPr>
          <w:p w14:paraId="6D2E6A09" w14:textId="77777777" w:rsidR="00BF18CF" w:rsidRDefault="00BF18CF">
            <w:pPr>
              <w:pBdr>
                <w:top w:val="nil"/>
                <w:left w:val="nil"/>
                <w:bottom w:val="nil"/>
                <w:right w:val="nil"/>
                <w:between w:val="nil"/>
              </w:pBdr>
              <w:spacing w:before="36" w:after="36"/>
              <w:rPr>
                <w:color w:val="000000"/>
              </w:rPr>
            </w:pPr>
          </w:p>
        </w:tc>
      </w:tr>
      <w:tr w:rsidR="00BF18CF" w14:paraId="26528A3F" w14:textId="77777777" w:rsidTr="00BF18CF">
        <w:tc>
          <w:tcPr>
            <w:tcW w:w="1896" w:type="dxa"/>
          </w:tcPr>
          <w:p w14:paraId="21C61F2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4" w:type="dxa"/>
          </w:tcPr>
          <w:p w14:paraId="48A613CD" w14:textId="77777777" w:rsidR="00BF18CF" w:rsidRDefault="00BF18CF">
            <w:pPr>
              <w:pBdr>
                <w:top w:val="nil"/>
                <w:left w:val="nil"/>
                <w:bottom w:val="nil"/>
                <w:right w:val="nil"/>
                <w:between w:val="nil"/>
              </w:pBdr>
              <w:spacing w:before="36" w:after="36"/>
              <w:rPr>
                <w:color w:val="000000"/>
              </w:rPr>
            </w:pPr>
          </w:p>
        </w:tc>
      </w:tr>
    </w:tbl>
    <w:p w14:paraId="478E6682" w14:textId="77777777" w:rsidR="00BF18CF" w:rsidRDefault="00E51347">
      <w:pPr>
        <w:pStyle w:val="Heading3"/>
      </w:pPr>
      <w:bookmarkStart w:id="531" w:name="bookmark=id.37wcjv5" w:colFirst="0" w:colLast="0"/>
      <w:bookmarkStart w:id="532" w:name="_Toc144361009"/>
      <w:bookmarkEnd w:id="531"/>
      <w:r>
        <w:t>P167 s’inscrivait dans (comporte)</w:t>
      </w:r>
      <w:bookmarkEnd w:id="532"/>
    </w:p>
    <w:tbl>
      <w:tblPr>
        <w:tblStyle w:val="afffffffffffffffffb"/>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3"/>
        <w:gridCol w:w="8797"/>
      </w:tblGrid>
      <w:tr w:rsidR="00BF18CF" w14:paraId="4476AA67" w14:textId="77777777" w:rsidTr="00BF18CF">
        <w:tc>
          <w:tcPr>
            <w:tcW w:w="1893" w:type="dxa"/>
          </w:tcPr>
          <w:p w14:paraId="3CFF57FA"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7" w:type="dxa"/>
          </w:tcPr>
          <w:p w14:paraId="2ADEE7FD" w14:textId="77777777" w:rsidR="00BF18CF" w:rsidRDefault="00E51347">
            <w:r>
              <w:rPr>
                <w:rFonts w:ascii="Consolas" w:eastAsia="Consolas" w:hAnsi="Consolas" w:cs="Consolas"/>
                <w:sz w:val="22"/>
                <w:szCs w:val="22"/>
                <w:shd w:val="clear" w:color="auto" w:fill="EAEEF3"/>
              </w:rPr>
              <w:t>E93_Présence</w:t>
            </w:r>
          </w:p>
        </w:tc>
      </w:tr>
      <w:tr w:rsidR="00BF18CF" w14:paraId="2DFA7997" w14:textId="77777777" w:rsidTr="00BF18CF">
        <w:tc>
          <w:tcPr>
            <w:tcW w:w="1893" w:type="dxa"/>
          </w:tcPr>
          <w:p w14:paraId="177414ED"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7" w:type="dxa"/>
          </w:tcPr>
          <w:p w14:paraId="5B5383F7" w14:textId="77777777" w:rsidR="00BF18CF" w:rsidRDefault="00E51347">
            <w:r>
              <w:rPr>
                <w:rFonts w:ascii="Consolas" w:eastAsia="Consolas" w:hAnsi="Consolas" w:cs="Consolas"/>
                <w:sz w:val="22"/>
                <w:szCs w:val="22"/>
                <w:shd w:val="clear" w:color="auto" w:fill="EAEEF3"/>
              </w:rPr>
              <w:t>E53_Lieu</w:t>
            </w:r>
          </w:p>
        </w:tc>
      </w:tr>
      <w:tr w:rsidR="00BF18CF" w14:paraId="3072900A" w14:textId="77777777" w:rsidTr="00BF18CF">
        <w:tc>
          <w:tcPr>
            <w:tcW w:w="1893" w:type="dxa"/>
          </w:tcPr>
          <w:p w14:paraId="7D176E0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7" w:type="dxa"/>
          </w:tcPr>
          <w:p w14:paraId="06E5942F" w14:textId="77777777" w:rsidR="00BF18CF" w:rsidRDefault="00BF18CF">
            <w:pPr>
              <w:pBdr>
                <w:top w:val="nil"/>
                <w:left w:val="nil"/>
                <w:bottom w:val="nil"/>
                <w:right w:val="nil"/>
                <w:between w:val="nil"/>
              </w:pBdr>
              <w:spacing w:before="36" w:after="36"/>
              <w:rPr>
                <w:color w:val="000000"/>
              </w:rPr>
            </w:pPr>
          </w:p>
        </w:tc>
      </w:tr>
      <w:tr w:rsidR="00BF18CF" w14:paraId="464754DA" w14:textId="77777777" w:rsidTr="00BF18CF">
        <w:tc>
          <w:tcPr>
            <w:tcW w:w="1893" w:type="dxa"/>
          </w:tcPr>
          <w:p w14:paraId="360C959E"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7" w:type="dxa"/>
          </w:tcPr>
          <w:p w14:paraId="1BD49AE7" w14:textId="4641386A" w:rsidR="00BF18CF" w:rsidRDefault="00BF18CF"/>
        </w:tc>
      </w:tr>
      <w:tr w:rsidR="00BF18CF" w14:paraId="2AEC73D2" w14:textId="77777777" w:rsidTr="00BF18CF">
        <w:tc>
          <w:tcPr>
            <w:tcW w:w="1893" w:type="dxa"/>
          </w:tcPr>
          <w:p w14:paraId="398F0D3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97" w:type="dxa"/>
          </w:tcPr>
          <w:p w14:paraId="3FFB68B3" w14:textId="4F1E1685" w:rsidR="00BF18CF" w:rsidRDefault="000467B7">
            <w:pPr>
              <w:pBdr>
                <w:top w:val="nil"/>
                <w:left w:val="nil"/>
                <w:bottom w:val="nil"/>
                <w:right w:val="nil"/>
                <w:between w:val="nil"/>
              </w:pBdr>
              <w:spacing w:before="36" w:after="36"/>
              <w:rPr>
                <w:color w:val="000000"/>
              </w:rPr>
            </w:pPr>
            <w:proofErr w:type="gramStart"/>
            <w:r>
              <w:t>plusieurs</w:t>
            </w:r>
            <w:proofErr w:type="gramEnd"/>
            <w:r>
              <w:t xml:space="preserve"> à plusieurs, nécessaire (1,n ;0,n)</w:t>
            </w:r>
          </w:p>
        </w:tc>
      </w:tr>
      <w:tr w:rsidR="00BF18CF" w14:paraId="176385EA" w14:textId="77777777" w:rsidTr="00BF18CF">
        <w:tc>
          <w:tcPr>
            <w:tcW w:w="1893" w:type="dxa"/>
          </w:tcPr>
          <w:p w14:paraId="4C23FC2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7" w:type="dxa"/>
          </w:tcPr>
          <w:p w14:paraId="1B8C6AB6" w14:textId="77777777" w:rsidR="00BF18CF" w:rsidRDefault="00E51347">
            <w:r>
              <w:t xml:space="preserve">Cette propriété associe une instance de </w:t>
            </w:r>
            <w:r>
              <w:rPr>
                <w:rFonts w:ascii="Consolas" w:eastAsia="Consolas" w:hAnsi="Consolas" w:cs="Consolas"/>
                <w:sz w:val="22"/>
                <w:szCs w:val="22"/>
                <w:shd w:val="clear" w:color="auto" w:fill="EAEEF3"/>
              </w:rPr>
              <w:t>E93_Présence</w:t>
            </w:r>
            <w:r>
              <w:t xml:space="preserve"> à une instance de </w:t>
            </w:r>
            <w:r>
              <w:rPr>
                <w:rFonts w:ascii="Consolas" w:eastAsia="Consolas" w:hAnsi="Consolas" w:cs="Consolas"/>
                <w:sz w:val="22"/>
                <w:szCs w:val="22"/>
                <w:shd w:val="clear" w:color="auto" w:fill="EAEEF3"/>
              </w:rPr>
              <w:t>E53_Lieu</w:t>
            </w:r>
            <w:r>
              <w:t xml:space="preserve"> qui inclut géométriquement la projection spatiale de l'instance de </w:t>
            </w:r>
            <w:r>
              <w:rPr>
                <w:rFonts w:ascii="Consolas" w:eastAsia="Consolas" w:hAnsi="Consolas" w:cs="Consolas"/>
                <w:sz w:val="22"/>
                <w:szCs w:val="22"/>
                <w:shd w:val="clear" w:color="auto" w:fill="EAEEF3"/>
              </w:rPr>
              <w:t>E93_Présence</w:t>
            </w:r>
            <w:r>
              <w:t>. Cette propriété peut notamment être utilisée pour indiquer dans quel espace un objet se trouve depuis un certain temps, par exemple dans une pièce d'un château ou dans un tiroir. Elle peut également être utilisée pour décrire le confinement de l'étendue spatiale d'un domaine pendant un intervalle temporel connu.</w:t>
            </w:r>
          </w:p>
          <w:p w14:paraId="74E69118" w14:textId="77777777" w:rsidR="00BF18CF" w:rsidRDefault="00E51347">
            <w:r>
              <w:t>Cette propriété est un raccourci du chemin sémantique suivant :</w:t>
            </w:r>
          </w:p>
          <w:p w14:paraId="4C5942C6" w14:textId="77777777" w:rsidR="00BF18CF" w:rsidRDefault="00E51347">
            <w:r>
              <w:rPr>
                <w:rFonts w:ascii="Consolas" w:eastAsia="Consolas" w:hAnsi="Consolas" w:cs="Consolas"/>
                <w:sz w:val="22"/>
                <w:szCs w:val="22"/>
                <w:shd w:val="clear" w:color="auto" w:fill="EAEEF3"/>
              </w:rPr>
              <w:t>E93_Présence</w:t>
            </w:r>
            <w:r>
              <w:t xml:space="preserve">, </w:t>
            </w:r>
            <w:r>
              <w:rPr>
                <w:rFonts w:ascii="Consolas" w:eastAsia="Consolas" w:hAnsi="Consolas" w:cs="Consolas"/>
                <w:sz w:val="22"/>
                <w:szCs w:val="22"/>
                <w:shd w:val="clear" w:color="auto" w:fill="EAEEF3"/>
              </w:rPr>
              <w:t>P161_a_pour_projection_spatiale</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P89_s’insère_dans (contient)</w:t>
            </w:r>
            <w:r>
              <w:t xml:space="preserve">, </w:t>
            </w:r>
            <w:r>
              <w:rPr>
                <w:rFonts w:ascii="Consolas" w:eastAsia="Consolas" w:hAnsi="Consolas" w:cs="Consolas"/>
                <w:sz w:val="22"/>
                <w:szCs w:val="22"/>
                <w:shd w:val="clear" w:color="auto" w:fill="EAEEF3"/>
              </w:rPr>
              <w:t>E53_Lieu</w:t>
            </w:r>
            <w:r>
              <w:t>.</w:t>
            </w:r>
          </w:p>
        </w:tc>
      </w:tr>
      <w:tr w:rsidR="00BF18CF" w14:paraId="339CDDCA" w14:textId="77777777" w:rsidTr="00BF18CF">
        <w:tc>
          <w:tcPr>
            <w:tcW w:w="1893" w:type="dxa"/>
          </w:tcPr>
          <w:p w14:paraId="60152FA2"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797" w:type="dxa"/>
          </w:tcPr>
          <w:p w14:paraId="27D13A96" w14:textId="77777777" w:rsidR="00BF18CF" w:rsidRDefault="00E51347">
            <w:pPr>
              <w:numPr>
                <w:ilvl w:val="0"/>
                <w:numId w:val="19"/>
              </w:numPr>
            </w:pPr>
            <w:r>
              <w:t>La localisation de Johann Joachim Winckelmann en décembre 1775 (</w:t>
            </w:r>
            <w:r>
              <w:rPr>
                <w:rFonts w:ascii="Consolas" w:eastAsia="Consolas" w:hAnsi="Consolas" w:cs="Consolas"/>
                <w:sz w:val="22"/>
                <w:szCs w:val="22"/>
                <w:shd w:val="clear" w:color="auto" w:fill="EAEEF3"/>
              </w:rPr>
              <w:t>E93_Présence</w:t>
            </w:r>
            <w:r>
              <w:t>) s’inscrivait dans (</w:t>
            </w:r>
            <w:r>
              <w:rPr>
                <w:rFonts w:ascii="Consolas" w:eastAsia="Consolas" w:hAnsi="Consolas" w:cs="Consolas"/>
                <w:sz w:val="22"/>
                <w:szCs w:val="22"/>
                <w:shd w:val="clear" w:color="auto" w:fill="EAEEF3"/>
              </w:rPr>
              <w:t>P167_s’inscrivait_dans</w:t>
            </w:r>
            <w:r>
              <w:t>) Rome (</w:t>
            </w:r>
            <w:r>
              <w:rPr>
                <w:rFonts w:ascii="Consolas" w:eastAsia="Consolas" w:hAnsi="Consolas" w:cs="Consolas"/>
                <w:sz w:val="22"/>
                <w:szCs w:val="22"/>
                <w:shd w:val="clear" w:color="auto" w:fill="EAEEF3"/>
              </w:rPr>
              <w:t>E53_Lieu</w:t>
            </w:r>
            <w:r>
              <w:t>)</w:t>
            </w:r>
          </w:p>
          <w:p w14:paraId="20C15314" w14:textId="77777777" w:rsidR="00BF18CF" w:rsidRDefault="00E51347">
            <w:pPr>
              <w:numPr>
                <w:ilvl w:val="0"/>
                <w:numId w:val="19"/>
              </w:numPr>
            </w:pPr>
            <w:r>
              <w:t>La localisation de Johann Joachim Winkelmann du 19 novembre 1755 au 9 avril 1768 (</w:t>
            </w:r>
            <w:r>
              <w:rPr>
                <w:rFonts w:ascii="Consolas" w:eastAsia="Consolas" w:hAnsi="Consolas" w:cs="Consolas"/>
                <w:sz w:val="22"/>
                <w:szCs w:val="22"/>
                <w:shd w:val="clear" w:color="auto" w:fill="EAEEF3"/>
              </w:rPr>
              <w:t>E93_Présence</w:t>
            </w:r>
            <w:r>
              <w:t>) s’inscrivait dans (</w:t>
            </w:r>
            <w:r>
              <w:rPr>
                <w:rFonts w:ascii="Consolas" w:eastAsia="Consolas" w:hAnsi="Consolas" w:cs="Consolas"/>
                <w:sz w:val="22"/>
                <w:szCs w:val="22"/>
                <w:shd w:val="clear" w:color="auto" w:fill="EAEEF3"/>
              </w:rPr>
              <w:t>P167_s’inscrivait_dans</w:t>
            </w:r>
            <w:r>
              <w:t>) l’Italie (</w:t>
            </w:r>
            <w:r>
              <w:rPr>
                <w:rFonts w:ascii="Consolas" w:eastAsia="Consolas" w:hAnsi="Consolas" w:cs="Consolas"/>
                <w:sz w:val="22"/>
                <w:szCs w:val="22"/>
                <w:shd w:val="clear" w:color="auto" w:fill="EAEEF3"/>
              </w:rPr>
              <w:t>E53_Lieu</w:t>
            </w:r>
            <w:r>
              <w:t>)</w:t>
            </w:r>
          </w:p>
        </w:tc>
      </w:tr>
      <w:tr w:rsidR="00BF18CF" w14:paraId="582F2EED" w14:textId="77777777" w:rsidTr="00BF18CF">
        <w:tc>
          <w:tcPr>
            <w:tcW w:w="1893" w:type="dxa"/>
          </w:tcPr>
          <w:p w14:paraId="23F558B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7" w:type="dxa"/>
          </w:tcPr>
          <w:p w14:paraId="16591F27" w14:textId="77777777" w:rsidR="00BF18CF" w:rsidRDefault="00E51347">
            <w:r>
              <w:t>P167(</w:t>
            </w:r>
            <w:proofErr w:type="gramStart"/>
            <w:r>
              <w:t>x,y</w:t>
            </w:r>
            <w:proofErr w:type="gramEnd"/>
            <w:r>
              <w:t>) ⇒ E93(x)</w:t>
            </w:r>
          </w:p>
          <w:p w14:paraId="740CD742" w14:textId="77777777" w:rsidR="00BF18CF" w:rsidRDefault="00E51347">
            <w:r>
              <w:t>P167(</w:t>
            </w:r>
            <w:proofErr w:type="gramStart"/>
            <w:r>
              <w:t>x,y</w:t>
            </w:r>
            <w:proofErr w:type="gramEnd"/>
            <w:r>
              <w:t>) ⇒ E53(y)</w:t>
            </w:r>
          </w:p>
          <w:p w14:paraId="2BAAF2BE" w14:textId="77777777" w:rsidR="00BF18CF" w:rsidRDefault="00E51347">
            <w:r>
              <w:t>P167(</w:t>
            </w:r>
            <w:proofErr w:type="gramStart"/>
            <w:r>
              <w:t>x,y</w:t>
            </w:r>
            <w:proofErr w:type="gramEnd"/>
            <w:r>
              <w:t>) ⇔ (∃z) [E53(z) ˄ P161(x,z) ˄ P89(z,y)</w:t>
            </w:r>
          </w:p>
        </w:tc>
      </w:tr>
      <w:tr w:rsidR="00BF18CF" w14:paraId="175ACE34" w14:textId="77777777" w:rsidTr="00BF18CF">
        <w:tc>
          <w:tcPr>
            <w:tcW w:w="1893" w:type="dxa"/>
          </w:tcPr>
          <w:p w14:paraId="2528140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7" w:type="dxa"/>
          </w:tcPr>
          <w:p w14:paraId="0D948FBC" w14:textId="77777777" w:rsidR="00BF18CF" w:rsidRDefault="00BF18CF">
            <w:pPr>
              <w:pBdr>
                <w:top w:val="nil"/>
                <w:left w:val="nil"/>
                <w:bottom w:val="nil"/>
                <w:right w:val="nil"/>
                <w:between w:val="nil"/>
              </w:pBdr>
              <w:spacing w:before="36" w:after="36"/>
              <w:rPr>
                <w:color w:val="000000"/>
              </w:rPr>
            </w:pPr>
          </w:p>
        </w:tc>
      </w:tr>
      <w:tr w:rsidR="00BF18CF" w14:paraId="77A0ED18" w14:textId="77777777" w:rsidTr="00BF18CF">
        <w:tc>
          <w:tcPr>
            <w:tcW w:w="1893" w:type="dxa"/>
          </w:tcPr>
          <w:p w14:paraId="11A56F7E" w14:textId="0E28AED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7" w:type="dxa"/>
          </w:tcPr>
          <w:p w14:paraId="12B2FD02" w14:textId="77777777" w:rsidR="00BF18CF" w:rsidRDefault="00BF18CF">
            <w:pPr>
              <w:pBdr>
                <w:top w:val="nil"/>
                <w:left w:val="nil"/>
                <w:bottom w:val="nil"/>
                <w:right w:val="nil"/>
                <w:between w:val="nil"/>
              </w:pBdr>
              <w:spacing w:before="36" w:after="36"/>
              <w:rPr>
                <w:color w:val="000000"/>
              </w:rPr>
            </w:pPr>
          </w:p>
        </w:tc>
      </w:tr>
      <w:tr w:rsidR="00BF18CF" w14:paraId="33E473FA" w14:textId="77777777" w:rsidTr="00BF18CF">
        <w:tc>
          <w:tcPr>
            <w:tcW w:w="1893" w:type="dxa"/>
          </w:tcPr>
          <w:p w14:paraId="73B4BAD6"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7" w:type="dxa"/>
          </w:tcPr>
          <w:p w14:paraId="77708D2A" w14:textId="77777777" w:rsidR="00BF18CF" w:rsidRDefault="00BF18CF">
            <w:pPr>
              <w:pBdr>
                <w:top w:val="nil"/>
                <w:left w:val="nil"/>
                <w:bottom w:val="nil"/>
                <w:right w:val="nil"/>
                <w:between w:val="nil"/>
              </w:pBdr>
              <w:spacing w:before="36" w:after="36"/>
              <w:rPr>
                <w:color w:val="000000"/>
              </w:rPr>
            </w:pPr>
          </w:p>
        </w:tc>
      </w:tr>
    </w:tbl>
    <w:p w14:paraId="5E421110" w14:textId="77777777" w:rsidR="00BF18CF" w:rsidRDefault="00E51347">
      <w:pPr>
        <w:pStyle w:val="Heading3"/>
      </w:pPr>
      <w:bookmarkStart w:id="533" w:name="bookmark=id.1n1mu2y" w:colFirst="0" w:colLast="0"/>
      <w:bookmarkStart w:id="534" w:name="_Toc144361010"/>
      <w:bookmarkEnd w:id="533"/>
      <w:r>
        <w:t>P168 lieu défini par (définit le lieu)</w:t>
      </w:r>
      <w:bookmarkEnd w:id="534"/>
    </w:p>
    <w:tbl>
      <w:tblPr>
        <w:tblStyle w:val="afffffff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5"/>
        <w:gridCol w:w="8815"/>
      </w:tblGrid>
      <w:tr w:rsidR="00BF18CF" w14:paraId="1A03280F" w14:textId="77777777" w:rsidTr="00BF18CF">
        <w:tc>
          <w:tcPr>
            <w:tcW w:w="1875" w:type="dxa"/>
          </w:tcPr>
          <w:p w14:paraId="27958B7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5" w:type="dxa"/>
          </w:tcPr>
          <w:p w14:paraId="2F137F30" w14:textId="77777777" w:rsidR="00BF18CF" w:rsidRDefault="00E51347">
            <w:r>
              <w:rPr>
                <w:rFonts w:ascii="Consolas" w:eastAsia="Consolas" w:hAnsi="Consolas" w:cs="Consolas"/>
                <w:sz w:val="22"/>
                <w:szCs w:val="22"/>
                <w:shd w:val="clear" w:color="auto" w:fill="EAEEF3"/>
              </w:rPr>
              <w:t>E53_Lieu</w:t>
            </w:r>
          </w:p>
        </w:tc>
      </w:tr>
      <w:tr w:rsidR="00BF18CF" w14:paraId="3B2B9A28" w14:textId="77777777" w:rsidTr="00BF18CF">
        <w:tc>
          <w:tcPr>
            <w:tcW w:w="1875" w:type="dxa"/>
          </w:tcPr>
          <w:p w14:paraId="06249634"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5" w:type="dxa"/>
          </w:tcPr>
          <w:p w14:paraId="44A2F8B2" w14:textId="77777777" w:rsidR="00BF18CF" w:rsidRDefault="00E51347">
            <w:r>
              <w:rPr>
                <w:rFonts w:ascii="Consolas" w:eastAsia="Consolas" w:hAnsi="Consolas" w:cs="Consolas"/>
                <w:sz w:val="22"/>
                <w:szCs w:val="22"/>
                <w:shd w:val="clear" w:color="auto" w:fill="EAEEF3"/>
              </w:rPr>
              <w:t>E94_Primitive_spatiale</w:t>
            </w:r>
          </w:p>
        </w:tc>
      </w:tr>
      <w:tr w:rsidR="00BF18CF" w14:paraId="02E4F05D" w14:textId="77777777" w:rsidTr="00BF18CF">
        <w:tc>
          <w:tcPr>
            <w:tcW w:w="1875" w:type="dxa"/>
          </w:tcPr>
          <w:p w14:paraId="12C5D40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5" w:type="dxa"/>
          </w:tcPr>
          <w:p w14:paraId="4A643F80"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P1_est_identifié_par</w:t>
            </w:r>
            <w:r>
              <w:t xml:space="preserve"> :  </w:t>
            </w:r>
            <w:r>
              <w:rPr>
                <w:rFonts w:ascii="Consolas" w:eastAsia="Consolas" w:hAnsi="Consolas" w:cs="Consolas"/>
                <w:sz w:val="22"/>
                <w:szCs w:val="22"/>
                <w:shd w:val="clear" w:color="auto" w:fill="EAEEF3"/>
              </w:rPr>
              <w:t>E41_Appellation</w:t>
            </w:r>
          </w:p>
        </w:tc>
      </w:tr>
      <w:tr w:rsidR="00BF18CF" w14:paraId="262FE0E4" w14:textId="77777777" w:rsidTr="00BF18CF">
        <w:tc>
          <w:tcPr>
            <w:tcW w:w="1875" w:type="dxa"/>
          </w:tcPr>
          <w:p w14:paraId="23E5D19D"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5" w:type="dxa"/>
          </w:tcPr>
          <w:p w14:paraId="42A745DC" w14:textId="77777777" w:rsidR="00BF18CF" w:rsidRDefault="00BF18CF">
            <w:pPr>
              <w:pBdr>
                <w:top w:val="nil"/>
                <w:left w:val="nil"/>
                <w:bottom w:val="nil"/>
                <w:right w:val="nil"/>
                <w:between w:val="nil"/>
              </w:pBdr>
              <w:spacing w:before="36" w:after="36"/>
              <w:rPr>
                <w:color w:val="000000"/>
              </w:rPr>
            </w:pPr>
          </w:p>
        </w:tc>
      </w:tr>
      <w:tr w:rsidR="00BF18CF" w14:paraId="368A2C57" w14:textId="77777777" w:rsidTr="00BF18CF">
        <w:tc>
          <w:tcPr>
            <w:tcW w:w="1875" w:type="dxa"/>
          </w:tcPr>
          <w:p w14:paraId="15D347BF"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5" w:type="dxa"/>
          </w:tcPr>
          <w:p w14:paraId="657437B6" w14:textId="77777777" w:rsidR="00BF18CF" w:rsidRDefault="00E51347">
            <w:proofErr w:type="gramStart"/>
            <w:r>
              <w:t>un</w:t>
            </w:r>
            <w:proofErr w:type="gramEnd"/>
            <w:r>
              <w:t xml:space="preserve"> à plusieurs, dépendant (0,n:1,1)</w:t>
            </w:r>
          </w:p>
        </w:tc>
      </w:tr>
      <w:tr w:rsidR="00BF18CF" w14:paraId="7D06D980" w14:textId="77777777" w:rsidTr="00BF18CF">
        <w:tc>
          <w:tcPr>
            <w:tcW w:w="1875" w:type="dxa"/>
          </w:tcPr>
          <w:p w14:paraId="6DD3DCA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5" w:type="dxa"/>
          </w:tcPr>
          <w:p w14:paraId="73C58EDE" w14:textId="77777777" w:rsidR="00BF18CF" w:rsidRDefault="00E51347">
            <w:r>
              <w:t xml:space="preserve">Cette propriété associe une instance de </w:t>
            </w:r>
            <w:r>
              <w:rPr>
                <w:rFonts w:ascii="Consolas" w:eastAsia="Consolas" w:hAnsi="Consolas" w:cs="Consolas"/>
                <w:sz w:val="22"/>
                <w:szCs w:val="22"/>
                <w:shd w:val="clear" w:color="auto" w:fill="EAEEF3"/>
              </w:rPr>
              <w:t>E53_Lieu</w:t>
            </w:r>
            <w:r>
              <w:t xml:space="preserve"> à une instance de </w:t>
            </w:r>
            <w:r>
              <w:rPr>
                <w:rFonts w:ascii="Consolas" w:eastAsia="Consolas" w:hAnsi="Consolas" w:cs="Consolas"/>
                <w:sz w:val="22"/>
                <w:szCs w:val="22"/>
                <w:shd w:val="clear" w:color="auto" w:fill="EAEEF3"/>
              </w:rPr>
              <w:t>E94_Primitive_spatiale</w:t>
            </w:r>
            <w:r>
              <w:t xml:space="preserve"> qui la définit. Les variantes syntaxiques ou l’utilisation de différentes écritures peuvent mener à plusieurs instances de </w:t>
            </w:r>
            <w:r>
              <w:rPr>
                <w:rFonts w:ascii="Consolas" w:eastAsia="Consolas" w:hAnsi="Consolas" w:cs="Consolas"/>
                <w:sz w:val="22"/>
                <w:szCs w:val="22"/>
                <w:shd w:val="clear" w:color="auto" w:fill="EAEEF3"/>
              </w:rPr>
              <w:t>E94_Primitive_spatiale</w:t>
            </w:r>
            <w:r>
              <w:t xml:space="preserve"> définissant exactement le même lieu. Les transformations d’un référentiel à un autre </w:t>
            </w:r>
            <w:proofErr w:type="gramStart"/>
            <w:r>
              <w:t>aboutissent</w:t>
            </w:r>
            <w:proofErr w:type="gramEnd"/>
            <w:r>
              <w:t xml:space="preserve"> toujours à de nouvelles définitions des lieux se rapprochant les unes des autres et non pas à des définitions alternatives.</w:t>
            </w:r>
          </w:p>
        </w:tc>
      </w:tr>
      <w:tr w:rsidR="00BF18CF" w14:paraId="0625FEE8" w14:textId="77777777" w:rsidTr="00BF18CF">
        <w:tc>
          <w:tcPr>
            <w:tcW w:w="1875" w:type="dxa"/>
          </w:tcPr>
          <w:p w14:paraId="0AD2F146"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15" w:type="dxa"/>
          </w:tcPr>
          <w:p w14:paraId="597EC1F3" w14:textId="77777777" w:rsidR="00BF18CF" w:rsidRDefault="00E51347">
            <w:pPr>
              <w:numPr>
                <w:ilvl w:val="0"/>
                <w:numId w:val="19"/>
              </w:numPr>
            </w:pPr>
            <w:r>
              <w:t>Le centroïde du lieu https://sws.geonames.org/735927 (</w:t>
            </w:r>
            <w:r>
              <w:rPr>
                <w:rFonts w:ascii="Consolas" w:eastAsia="Consolas" w:hAnsi="Consolas" w:cs="Consolas"/>
                <w:sz w:val="22"/>
                <w:szCs w:val="22"/>
                <w:shd w:val="clear" w:color="auto" w:fill="EAEEF3"/>
              </w:rPr>
              <w:t>E53_Lieu</w:t>
            </w:r>
            <w:r>
              <w:t>) est défini par (</w:t>
            </w:r>
            <w:r>
              <w:rPr>
                <w:rFonts w:ascii="Consolas" w:eastAsia="Consolas" w:hAnsi="Consolas" w:cs="Consolas"/>
                <w:sz w:val="22"/>
                <w:szCs w:val="22"/>
                <w:shd w:val="clear" w:color="auto" w:fill="EAEEF3"/>
              </w:rPr>
              <w:t>P168_lieu_défini_par</w:t>
            </w:r>
            <w:r>
              <w:t>) « 40°31'17.9"N 21°15'48.3"E » (</w:t>
            </w:r>
            <w:r>
              <w:rPr>
                <w:rFonts w:ascii="Consolas" w:eastAsia="Consolas" w:hAnsi="Consolas" w:cs="Consolas"/>
                <w:sz w:val="22"/>
                <w:szCs w:val="22"/>
                <w:shd w:val="clear" w:color="auto" w:fill="EAEEF3"/>
              </w:rPr>
              <w:t>E94_Primitive_spatiale</w:t>
            </w:r>
            <w:r>
              <w:t>) [un point unique estimant le centre de la ville de Kastoria en Grèce]</w:t>
            </w:r>
          </w:p>
          <w:p w14:paraId="6EE377F8" w14:textId="77777777" w:rsidR="00BF18CF" w:rsidRDefault="00E51347">
            <w:pPr>
              <w:numPr>
                <w:ilvl w:val="0"/>
                <w:numId w:val="19"/>
              </w:numPr>
            </w:pPr>
            <w:r>
              <w:t>Les coordonnées de Martin pour le lieu Kastoria (</w:t>
            </w:r>
            <w:r>
              <w:rPr>
                <w:rFonts w:ascii="Consolas" w:eastAsia="Consolas" w:hAnsi="Consolas" w:cs="Consolas"/>
                <w:sz w:val="22"/>
                <w:szCs w:val="22"/>
                <w:shd w:val="clear" w:color="auto" w:fill="EAEEF3"/>
              </w:rPr>
              <w:t>E53_Lieu</w:t>
            </w:r>
            <w:r>
              <w:t>) sont définies par (</w:t>
            </w:r>
            <w:r>
              <w:rPr>
                <w:rFonts w:ascii="Consolas" w:eastAsia="Consolas" w:hAnsi="Consolas" w:cs="Consolas"/>
                <w:sz w:val="22"/>
                <w:szCs w:val="22"/>
                <w:shd w:val="clear" w:color="auto" w:fill="EAEEF3"/>
              </w:rPr>
              <w:t>P168_lieu_défini_par</w:t>
            </w:r>
            <w:r>
              <w:t>) « 40°30'23"N 21°14'53"E, 40°31'40"N 21°16'43"E » (</w:t>
            </w:r>
            <w:r>
              <w:rPr>
                <w:rFonts w:ascii="Consolas" w:eastAsia="Consolas" w:hAnsi="Consolas" w:cs="Consolas"/>
                <w:sz w:val="22"/>
                <w:szCs w:val="22"/>
                <w:shd w:val="clear" w:color="auto" w:fill="EAEEF3"/>
              </w:rPr>
              <w:t>E94_Primitive_spatiale</w:t>
            </w:r>
            <w:r>
              <w:t>) [une surface couvrant la structure de l’occupation de la ville de Kastoria en Grèce]</w:t>
            </w:r>
          </w:p>
          <w:p w14:paraId="277E4621" w14:textId="77777777" w:rsidR="00BF18CF" w:rsidRDefault="00E51347">
            <w:pPr>
              <w:numPr>
                <w:ilvl w:val="0"/>
                <w:numId w:val="19"/>
              </w:numPr>
            </w:pPr>
            <w:r>
              <w:t>Le centroïde de Martin pour le lieu Kastoria (</w:t>
            </w:r>
            <w:r>
              <w:rPr>
                <w:rFonts w:ascii="Consolas" w:eastAsia="Consolas" w:hAnsi="Consolas" w:cs="Consolas"/>
                <w:sz w:val="22"/>
                <w:szCs w:val="22"/>
                <w:shd w:val="clear" w:color="auto" w:fill="EAEEF3"/>
              </w:rPr>
              <w:t>E53_Lieu</w:t>
            </w:r>
            <w:r>
              <w:t>) est défini par (</w:t>
            </w:r>
            <w:r>
              <w:rPr>
                <w:rFonts w:ascii="Consolas" w:eastAsia="Consolas" w:hAnsi="Consolas" w:cs="Consolas"/>
                <w:sz w:val="22"/>
                <w:szCs w:val="22"/>
                <w:shd w:val="clear" w:color="auto" w:fill="EAEEF3"/>
              </w:rPr>
              <w:t>P168_lieu_défini_par</w:t>
            </w:r>
            <w:r>
              <w:t xml:space="preserve">) « 40°31'01.5"N 21°15'48"E » </w:t>
            </w:r>
            <w:r>
              <w:lastRenderedPageBreak/>
              <w:t>(</w:t>
            </w:r>
            <w:r>
              <w:rPr>
                <w:rFonts w:ascii="Consolas" w:eastAsia="Consolas" w:hAnsi="Consolas" w:cs="Consolas"/>
                <w:sz w:val="22"/>
                <w:szCs w:val="22"/>
                <w:shd w:val="clear" w:color="auto" w:fill="EAEEF3"/>
              </w:rPr>
              <w:t>E94_Primitive_spatiale</w:t>
            </w:r>
            <w:r>
              <w:t>) [un point dans le lac de Kastoria au centre de la région couvert par la ville]</w:t>
            </w:r>
          </w:p>
          <w:p w14:paraId="32551C28" w14:textId="77777777" w:rsidR="00BF18CF" w:rsidRDefault="00E51347">
            <w:pPr>
              <w:numPr>
                <w:ilvl w:val="0"/>
                <w:numId w:val="19"/>
              </w:numPr>
            </w:pPr>
            <w:r>
              <w:t>La position géographique mesurée par Alexander von Humboldt pour la Plaza Mayor à Cumaná, dans l’État de Sucre au Venezuela en 1799-1800 EC (</w:t>
            </w:r>
            <w:r>
              <w:rPr>
                <w:rFonts w:ascii="Consolas" w:eastAsia="Consolas" w:hAnsi="Consolas" w:cs="Consolas"/>
                <w:sz w:val="22"/>
                <w:szCs w:val="22"/>
                <w:shd w:val="clear" w:color="auto" w:fill="EAEEF3"/>
              </w:rPr>
              <w:t>E53_Lieu</w:t>
            </w:r>
            <w:r>
              <w:t>) est définie par (</w:t>
            </w:r>
            <w:r>
              <w:rPr>
                <w:rFonts w:ascii="Consolas" w:eastAsia="Consolas" w:hAnsi="Consolas" w:cs="Consolas"/>
                <w:sz w:val="22"/>
                <w:szCs w:val="22"/>
                <w:shd w:val="clear" w:color="auto" w:fill="EAEEF3"/>
              </w:rPr>
              <w:t>P168_lieu_défini_par</w:t>
            </w:r>
            <w:r>
              <w:t>) « 10°27'52"N 66°30'02"W » (</w:t>
            </w:r>
            <w:r>
              <w:rPr>
                <w:rFonts w:ascii="Consolas" w:eastAsia="Consolas" w:hAnsi="Consolas" w:cs="Consolas"/>
                <w:sz w:val="22"/>
                <w:szCs w:val="22"/>
                <w:shd w:val="clear" w:color="auto" w:fill="EAEEF3"/>
              </w:rPr>
              <w:t>E94_Primitive_spatiale</w:t>
            </w:r>
            <w:r>
              <w:t>) [à l’ouest de l’Observatoire de Paris = 64°09'51"W de Greenwich, soit 1,1 kilomètre à l’est de l’actuelle Plaza Andrés Eloy Blanco de Cumaná] (von Humboldt, 1859)</w:t>
            </w:r>
          </w:p>
        </w:tc>
      </w:tr>
      <w:tr w:rsidR="00BF18CF" w14:paraId="30A2AF52" w14:textId="77777777" w:rsidTr="00BF18CF">
        <w:tc>
          <w:tcPr>
            <w:tcW w:w="1875" w:type="dxa"/>
          </w:tcPr>
          <w:p w14:paraId="7AB0AB9F"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15" w:type="dxa"/>
          </w:tcPr>
          <w:p w14:paraId="66B4EC71" w14:textId="77777777" w:rsidR="00BF18CF" w:rsidRDefault="00E51347">
            <w:r>
              <w:t>P168(</w:t>
            </w:r>
            <w:proofErr w:type="gramStart"/>
            <w:r>
              <w:t>x,y</w:t>
            </w:r>
            <w:proofErr w:type="gramEnd"/>
            <w:r>
              <w:t>) ⇒ E53(x)</w:t>
            </w:r>
          </w:p>
          <w:p w14:paraId="45DFAAA7" w14:textId="77777777" w:rsidR="00BF18CF" w:rsidRDefault="00E51347">
            <w:r>
              <w:t>P168(</w:t>
            </w:r>
            <w:proofErr w:type="gramStart"/>
            <w:r>
              <w:t>x,y</w:t>
            </w:r>
            <w:proofErr w:type="gramEnd"/>
            <w:r>
              <w:t>) ⇒ E94(y)</w:t>
            </w:r>
          </w:p>
        </w:tc>
      </w:tr>
      <w:tr w:rsidR="00BF18CF" w14:paraId="156F8AD1" w14:textId="77777777" w:rsidTr="00BF18CF">
        <w:tc>
          <w:tcPr>
            <w:tcW w:w="1875" w:type="dxa"/>
          </w:tcPr>
          <w:p w14:paraId="6C2CB0C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5" w:type="dxa"/>
          </w:tcPr>
          <w:p w14:paraId="0986DA40" w14:textId="77777777" w:rsidR="00BF18CF" w:rsidRDefault="00BF18CF">
            <w:pPr>
              <w:pBdr>
                <w:top w:val="nil"/>
                <w:left w:val="nil"/>
                <w:bottom w:val="nil"/>
                <w:right w:val="nil"/>
                <w:between w:val="nil"/>
              </w:pBdr>
              <w:spacing w:before="36" w:after="36"/>
              <w:rPr>
                <w:color w:val="000000"/>
              </w:rPr>
            </w:pPr>
          </w:p>
        </w:tc>
      </w:tr>
      <w:tr w:rsidR="00BF18CF" w14:paraId="4C24E16D" w14:textId="77777777" w:rsidTr="00BF18CF">
        <w:tc>
          <w:tcPr>
            <w:tcW w:w="1875" w:type="dxa"/>
          </w:tcPr>
          <w:p w14:paraId="732D24ED" w14:textId="020CA1B9"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5" w:type="dxa"/>
          </w:tcPr>
          <w:p w14:paraId="25EE905C" w14:textId="77777777" w:rsidR="00BF18CF" w:rsidRDefault="00BF18CF">
            <w:pPr>
              <w:pBdr>
                <w:top w:val="nil"/>
                <w:left w:val="nil"/>
                <w:bottom w:val="nil"/>
                <w:right w:val="nil"/>
                <w:between w:val="nil"/>
              </w:pBdr>
              <w:spacing w:before="36" w:after="36"/>
              <w:rPr>
                <w:color w:val="000000"/>
              </w:rPr>
            </w:pPr>
          </w:p>
        </w:tc>
      </w:tr>
      <w:tr w:rsidR="00BF18CF" w14:paraId="4438C3A7" w14:textId="77777777" w:rsidTr="00BF18CF">
        <w:tc>
          <w:tcPr>
            <w:tcW w:w="1875" w:type="dxa"/>
          </w:tcPr>
          <w:p w14:paraId="3DE901CB"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5" w:type="dxa"/>
          </w:tcPr>
          <w:p w14:paraId="2EF69181" w14:textId="77777777" w:rsidR="00BF18CF" w:rsidRDefault="00BF18CF">
            <w:pPr>
              <w:pBdr>
                <w:top w:val="nil"/>
                <w:left w:val="nil"/>
                <w:bottom w:val="nil"/>
                <w:right w:val="nil"/>
                <w:between w:val="nil"/>
              </w:pBdr>
              <w:spacing w:before="36" w:after="36"/>
              <w:rPr>
                <w:color w:val="000000"/>
              </w:rPr>
            </w:pPr>
          </w:p>
        </w:tc>
      </w:tr>
    </w:tbl>
    <w:p w14:paraId="50B6A393" w14:textId="77777777" w:rsidR="00BF18CF" w:rsidRDefault="00E51347">
      <w:pPr>
        <w:pStyle w:val="Heading3"/>
      </w:pPr>
      <w:bookmarkStart w:id="535" w:name="bookmark=id.471acqr" w:colFirst="0" w:colLast="0"/>
      <w:bookmarkStart w:id="536" w:name="_Toc144361011"/>
      <w:bookmarkEnd w:id="535"/>
      <w:r>
        <w:t>P169 définit le volume spatio-temporel (volume spatio-temporel défini par)</w:t>
      </w:r>
      <w:bookmarkEnd w:id="536"/>
    </w:p>
    <w:tbl>
      <w:tblPr>
        <w:tblStyle w:val="afffffff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3"/>
        <w:gridCol w:w="8807"/>
      </w:tblGrid>
      <w:tr w:rsidR="00BF18CF" w14:paraId="13F70B35" w14:textId="77777777" w:rsidTr="00BF18CF">
        <w:tc>
          <w:tcPr>
            <w:tcW w:w="1883" w:type="dxa"/>
          </w:tcPr>
          <w:p w14:paraId="09AE2A4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7" w:type="dxa"/>
          </w:tcPr>
          <w:p w14:paraId="79999506" w14:textId="77777777" w:rsidR="00BF18CF" w:rsidRDefault="00E51347">
            <w:r>
              <w:rPr>
                <w:rFonts w:ascii="Consolas" w:eastAsia="Consolas" w:hAnsi="Consolas" w:cs="Consolas"/>
                <w:sz w:val="22"/>
                <w:szCs w:val="22"/>
                <w:shd w:val="clear" w:color="auto" w:fill="EAEEF3"/>
              </w:rPr>
              <w:t>E95_Primitive_spatio-temporelle</w:t>
            </w:r>
          </w:p>
        </w:tc>
      </w:tr>
      <w:tr w:rsidR="00BF18CF" w14:paraId="6A4BBEA2" w14:textId="77777777" w:rsidTr="00BF18CF">
        <w:tc>
          <w:tcPr>
            <w:tcW w:w="1883" w:type="dxa"/>
          </w:tcPr>
          <w:p w14:paraId="0775A5D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7" w:type="dxa"/>
          </w:tcPr>
          <w:p w14:paraId="47678AFC" w14:textId="77777777" w:rsidR="00BF18CF" w:rsidRDefault="00E51347">
            <w:r>
              <w:rPr>
                <w:rFonts w:ascii="Consolas" w:eastAsia="Consolas" w:hAnsi="Consolas" w:cs="Consolas"/>
                <w:sz w:val="22"/>
                <w:szCs w:val="22"/>
                <w:shd w:val="clear" w:color="auto" w:fill="EAEEF3"/>
              </w:rPr>
              <w:t>E92_Volume_spatio-temporel</w:t>
            </w:r>
          </w:p>
        </w:tc>
      </w:tr>
      <w:tr w:rsidR="00BF18CF" w14:paraId="58CB2E94" w14:textId="77777777" w:rsidTr="00BF18CF">
        <w:tc>
          <w:tcPr>
            <w:tcW w:w="1883" w:type="dxa"/>
          </w:tcPr>
          <w:p w14:paraId="76DD4BED"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7" w:type="dxa"/>
          </w:tcPr>
          <w:p w14:paraId="22B6C5B3" w14:textId="77777777" w:rsidR="00BF18CF" w:rsidRDefault="00E51347">
            <w:r>
              <w:rPr>
                <w:rFonts w:ascii="Consolas" w:eastAsia="Consolas" w:hAnsi="Consolas" w:cs="Consolas"/>
                <w:sz w:val="22"/>
                <w:szCs w:val="22"/>
                <w:shd w:val="clear" w:color="auto" w:fill="EAEEF3"/>
              </w:rPr>
              <w:t>E41_Appellation</w:t>
            </w:r>
            <w:r>
              <w:t xml:space="preserve">. </w:t>
            </w:r>
            <w:r>
              <w:rPr>
                <w:rFonts w:ascii="Consolas" w:eastAsia="Consolas" w:hAnsi="Consolas" w:cs="Consolas"/>
                <w:sz w:val="22"/>
                <w:szCs w:val="22"/>
                <w:shd w:val="clear" w:color="auto" w:fill="EAEEF3"/>
              </w:rPr>
              <w:t>P1i_identifie</w:t>
            </w:r>
            <w:r>
              <w:t xml:space="preserve"> : </w:t>
            </w:r>
            <w:r>
              <w:rPr>
                <w:rFonts w:ascii="Consolas" w:eastAsia="Consolas" w:hAnsi="Consolas" w:cs="Consolas"/>
                <w:sz w:val="22"/>
                <w:szCs w:val="22"/>
                <w:shd w:val="clear" w:color="auto" w:fill="EAEEF3"/>
              </w:rPr>
              <w:t>E1_Entité_CRM</w:t>
            </w:r>
          </w:p>
        </w:tc>
      </w:tr>
      <w:tr w:rsidR="00BF18CF" w14:paraId="1FA4F793" w14:textId="77777777" w:rsidTr="00BF18CF">
        <w:tc>
          <w:tcPr>
            <w:tcW w:w="1883" w:type="dxa"/>
          </w:tcPr>
          <w:p w14:paraId="05C6D9B5"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7" w:type="dxa"/>
          </w:tcPr>
          <w:p w14:paraId="389AA47C" w14:textId="77777777" w:rsidR="00BF18CF" w:rsidRDefault="00BF18CF">
            <w:pPr>
              <w:pBdr>
                <w:top w:val="nil"/>
                <w:left w:val="nil"/>
                <w:bottom w:val="nil"/>
                <w:right w:val="nil"/>
                <w:between w:val="nil"/>
              </w:pBdr>
              <w:spacing w:before="36" w:after="36"/>
              <w:rPr>
                <w:color w:val="000000"/>
              </w:rPr>
            </w:pPr>
          </w:p>
        </w:tc>
      </w:tr>
      <w:tr w:rsidR="00BF18CF" w14:paraId="71BD536A" w14:textId="77777777" w:rsidTr="00BF18CF">
        <w:tc>
          <w:tcPr>
            <w:tcW w:w="1883" w:type="dxa"/>
          </w:tcPr>
          <w:p w14:paraId="16BA83A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7" w:type="dxa"/>
          </w:tcPr>
          <w:p w14:paraId="0C59F29E" w14:textId="77777777" w:rsidR="00BF18CF" w:rsidRDefault="00E51347">
            <w:proofErr w:type="gramStart"/>
            <w:r>
              <w:t>plusieurs</w:t>
            </w:r>
            <w:proofErr w:type="gramEnd"/>
            <w:r>
              <w:t xml:space="preserve"> à un, nécessaire (1,1:0,n)</w:t>
            </w:r>
          </w:p>
        </w:tc>
      </w:tr>
      <w:tr w:rsidR="00BF18CF" w14:paraId="1FFA6918" w14:textId="77777777" w:rsidTr="00BF18CF">
        <w:tc>
          <w:tcPr>
            <w:tcW w:w="1883" w:type="dxa"/>
          </w:tcPr>
          <w:p w14:paraId="0735F64F"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7" w:type="dxa"/>
          </w:tcPr>
          <w:p w14:paraId="3C36DE49" w14:textId="77777777" w:rsidR="00BF18CF" w:rsidRDefault="00E51347">
            <w:r>
              <w:t xml:space="preserve">Cette propriété associe une instance de </w:t>
            </w:r>
            <w:r>
              <w:rPr>
                <w:rFonts w:ascii="Consolas" w:eastAsia="Consolas" w:hAnsi="Consolas" w:cs="Consolas"/>
                <w:sz w:val="22"/>
                <w:szCs w:val="22"/>
                <w:shd w:val="clear" w:color="auto" w:fill="EAEEF3"/>
              </w:rPr>
              <w:t>E95_Primitive_spatio-temporelle</w:t>
            </w:r>
            <w:r>
              <w:t xml:space="preserve"> à l’instance de </w:t>
            </w:r>
            <w:r>
              <w:rPr>
                <w:rFonts w:ascii="Consolas" w:eastAsia="Consolas" w:hAnsi="Consolas" w:cs="Consolas"/>
                <w:sz w:val="22"/>
                <w:szCs w:val="22"/>
                <w:shd w:val="clear" w:color="auto" w:fill="EAEEF3"/>
              </w:rPr>
              <w:t>E92_Volume_spatio-temporel</w:t>
            </w:r>
            <w:r>
              <w:t xml:space="preserve"> qu’elle définit.</w:t>
            </w:r>
          </w:p>
        </w:tc>
      </w:tr>
      <w:tr w:rsidR="00BF18CF" w14:paraId="49C2E9BA" w14:textId="77777777" w:rsidTr="00BF18CF">
        <w:tc>
          <w:tcPr>
            <w:tcW w:w="1883" w:type="dxa"/>
          </w:tcPr>
          <w:p w14:paraId="649E77A3"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7" w:type="dxa"/>
          </w:tcPr>
          <w:p w14:paraId="2E6091B7" w14:textId="77777777" w:rsidR="00BF18CF" w:rsidRDefault="00E51347">
            <w:pPr>
              <w:numPr>
                <w:ilvl w:val="0"/>
                <w:numId w:val="19"/>
              </w:numPr>
            </w:pPr>
            <w:r>
              <w:t>« 40°30'23"N 21°14'53"E, 40°31'40"N 21°16'43"E, 200BC-2020AD » (</w:t>
            </w:r>
            <w:r>
              <w:rPr>
                <w:rFonts w:ascii="Consolas" w:eastAsia="Consolas" w:hAnsi="Consolas" w:cs="Consolas"/>
                <w:sz w:val="22"/>
                <w:szCs w:val="22"/>
                <w:shd w:val="clear" w:color="auto" w:fill="EAEEF3"/>
              </w:rPr>
              <w:t>E95_Primitive_spatio-temporelle</w:t>
            </w:r>
            <w:r>
              <w:t>) définit le volume spatio-temporel (</w:t>
            </w:r>
            <w:r>
              <w:rPr>
                <w:rFonts w:ascii="Consolas" w:eastAsia="Consolas" w:hAnsi="Consolas" w:cs="Consolas"/>
                <w:sz w:val="22"/>
                <w:szCs w:val="22"/>
                <w:shd w:val="clear" w:color="auto" w:fill="EAEEF3"/>
              </w:rPr>
              <w:t>P169_définit_le_volume_spatio-temporel</w:t>
            </w:r>
            <w:r>
              <w:t>) de l’enceinte spatio-temporelle de Martin en 2020 pour l’évolution de l’occupation de la ville actuelle de Kastoria en Grèce depuis sa conquête par les Romains (</w:t>
            </w:r>
            <w:r>
              <w:rPr>
                <w:rFonts w:ascii="Consolas" w:eastAsia="Consolas" w:hAnsi="Consolas" w:cs="Consolas"/>
                <w:sz w:val="22"/>
                <w:szCs w:val="22"/>
                <w:shd w:val="clear" w:color="auto" w:fill="EAEEF3"/>
              </w:rPr>
              <w:t>E92_Volume_spatio-temporel</w:t>
            </w:r>
            <w:r>
              <w:t>) [une surface couvrant la structure de l'occupation actuelle de la ville de Kastoria en Grèce, des années 200 AEC à 2020 EC, incluant les étendues des phases antérieures de la ville]</w:t>
            </w:r>
          </w:p>
        </w:tc>
      </w:tr>
      <w:tr w:rsidR="00BF18CF" w14:paraId="3B37436A" w14:textId="77777777" w:rsidTr="00BF18CF">
        <w:tc>
          <w:tcPr>
            <w:tcW w:w="1883" w:type="dxa"/>
          </w:tcPr>
          <w:p w14:paraId="558D730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07" w:type="dxa"/>
          </w:tcPr>
          <w:p w14:paraId="2E823041" w14:textId="77777777" w:rsidR="00BF18CF" w:rsidRDefault="00E51347">
            <w:r>
              <w:t>P169(</w:t>
            </w:r>
            <w:proofErr w:type="gramStart"/>
            <w:r>
              <w:t>x,y</w:t>
            </w:r>
            <w:proofErr w:type="gramEnd"/>
            <w:r>
              <w:t>) ⇒ E95(x)</w:t>
            </w:r>
          </w:p>
          <w:p w14:paraId="5381F23F" w14:textId="77777777" w:rsidR="00BF18CF" w:rsidRDefault="00E51347">
            <w:r>
              <w:t>P169(</w:t>
            </w:r>
            <w:proofErr w:type="gramStart"/>
            <w:r>
              <w:t>x,y</w:t>
            </w:r>
            <w:proofErr w:type="gramEnd"/>
            <w:r>
              <w:t>) ⇒ E92(y)</w:t>
            </w:r>
          </w:p>
        </w:tc>
      </w:tr>
      <w:tr w:rsidR="00BF18CF" w14:paraId="532DFAF9" w14:textId="77777777" w:rsidTr="00BF18CF">
        <w:tc>
          <w:tcPr>
            <w:tcW w:w="1883" w:type="dxa"/>
          </w:tcPr>
          <w:p w14:paraId="5221FBE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7" w:type="dxa"/>
          </w:tcPr>
          <w:p w14:paraId="7CC9577B" w14:textId="77777777" w:rsidR="00BF18CF" w:rsidRDefault="00BF18CF">
            <w:pPr>
              <w:pBdr>
                <w:top w:val="nil"/>
                <w:left w:val="nil"/>
                <w:bottom w:val="nil"/>
                <w:right w:val="nil"/>
                <w:between w:val="nil"/>
              </w:pBdr>
              <w:spacing w:before="36" w:after="36"/>
              <w:rPr>
                <w:color w:val="000000"/>
              </w:rPr>
            </w:pPr>
          </w:p>
        </w:tc>
      </w:tr>
      <w:tr w:rsidR="00BF18CF" w14:paraId="27936CAF" w14:textId="77777777" w:rsidTr="00BF18CF">
        <w:tc>
          <w:tcPr>
            <w:tcW w:w="1883" w:type="dxa"/>
          </w:tcPr>
          <w:p w14:paraId="260214E0" w14:textId="0604B77F"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7" w:type="dxa"/>
          </w:tcPr>
          <w:p w14:paraId="38E796DD" w14:textId="77777777" w:rsidR="00BF18CF" w:rsidRDefault="00BF18CF">
            <w:pPr>
              <w:pBdr>
                <w:top w:val="nil"/>
                <w:left w:val="nil"/>
                <w:bottom w:val="nil"/>
                <w:right w:val="nil"/>
                <w:between w:val="nil"/>
              </w:pBdr>
              <w:spacing w:before="36" w:after="36"/>
              <w:rPr>
                <w:color w:val="000000"/>
              </w:rPr>
            </w:pPr>
          </w:p>
        </w:tc>
      </w:tr>
      <w:tr w:rsidR="00BF18CF" w14:paraId="0D2810AE" w14:textId="77777777" w:rsidTr="00BF18CF">
        <w:tc>
          <w:tcPr>
            <w:tcW w:w="1883" w:type="dxa"/>
          </w:tcPr>
          <w:p w14:paraId="5DBD4B9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7" w:type="dxa"/>
          </w:tcPr>
          <w:p w14:paraId="4209CDC7" w14:textId="77777777" w:rsidR="00BF18CF" w:rsidRDefault="00BF18CF">
            <w:pPr>
              <w:pBdr>
                <w:top w:val="nil"/>
                <w:left w:val="nil"/>
                <w:bottom w:val="nil"/>
                <w:right w:val="nil"/>
                <w:between w:val="nil"/>
              </w:pBdr>
              <w:spacing w:before="36" w:after="36"/>
              <w:rPr>
                <w:color w:val="000000"/>
              </w:rPr>
            </w:pPr>
          </w:p>
        </w:tc>
      </w:tr>
    </w:tbl>
    <w:p w14:paraId="55149E54" w14:textId="77777777" w:rsidR="00BF18CF" w:rsidRDefault="00E51347">
      <w:pPr>
        <w:pStyle w:val="Heading3"/>
      </w:pPr>
      <w:bookmarkStart w:id="537" w:name="bookmark=id.2m6kmyk" w:colFirst="0" w:colLast="0"/>
      <w:bookmarkStart w:id="538" w:name="_Toc144361012"/>
      <w:bookmarkEnd w:id="537"/>
      <w:r>
        <w:lastRenderedPageBreak/>
        <w:t>P170 définit le temps (temps défini par)</w:t>
      </w:r>
      <w:bookmarkEnd w:id="538"/>
    </w:p>
    <w:tbl>
      <w:tblPr>
        <w:tblStyle w:val="affffffff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25"/>
        <w:gridCol w:w="8765"/>
      </w:tblGrid>
      <w:tr w:rsidR="00BF18CF" w14:paraId="58C5A1B8" w14:textId="77777777" w:rsidTr="00BF18CF">
        <w:tc>
          <w:tcPr>
            <w:tcW w:w="1925" w:type="dxa"/>
          </w:tcPr>
          <w:p w14:paraId="130AE26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65" w:type="dxa"/>
          </w:tcPr>
          <w:p w14:paraId="239CFDE9" w14:textId="77777777" w:rsidR="00BF18CF" w:rsidRDefault="00E51347">
            <w:r>
              <w:rPr>
                <w:rFonts w:ascii="Consolas" w:eastAsia="Consolas" w:hAnsi="Consolas" w:cs="Consolas"/>
                <w:sz w:val="22"/>
                <w:szCs w:val="22"/>
                <w:shd w:val="clear" w:color="auto" w:fill="EAEEF3"/>
              </w:rPr>
              <w:t>E61_Primitive_temporelle</w:t>
            </w:r>
          </w:p>
        </w:tc>
      </w:tr>
      <w:tr w:rsidR="00BF18CF" w14:paraId="48F94F30" w14:textId="77777777" w:rsidTr="00BF18CF">
        <w:tc>
          <w:tcPr>
            <w:tcW w:w="1925" w:type="dxa"/>
          </w:tcPr>
          <w:p w14:paraId="30D9F40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65" w:type="dxa"/>
          </w:tcPr>
          <w:p w14:paraId="34735E66" w14:textId="77777777" w:rsidR="00BF18CF" w:rsidRDefault="00E51347">
            <w:r>
              <w:rPr>
                <w:rFonts w:ascii="Consolas" w:eastAsia="Consolas" w:hAnsi="Consolas" w:cs="Consolas"/>
                <w:sz w:val="22"/>
                <w:szCs w:val="22"/>
                <w:shd w:val="clear" w:color="auto" w:fill="EAEEF3"/>
              </w:rPr>
              <w:t>E52_Intervalle_temporel</w:t>
            </w:r>
          </w:p>
        </w:tc>
      </w:tr>
      <w:tr w:rsidR="00BF18CF" w14:paraId="69C7E11A" w14:textId="77777777" w:rsidTr="00BF18CF">
        <w:tc>
          <w:tcPr>
            <w:tcW w:w="1925" w:type="dxa"/>
          </w:tcPr>
          <w:p w14:paraId="1F5FC001"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65" w:type="dxa"/>
          </w:tcPr>
          <w:p w14:paraId="3755987E" w14:textId="77777777" w:rsidR="00BF18CF" w:rsidRDefault="00BF18CF">
            <w:pPr>
              <w:pBdr>
                <w:top w:val="nil"/>
                <w:left w:val="nil"/>
                <w:bottom w:val="nil"/>
                <w:right w:val="nil"/>
                <w:between w:val="nil"/>
              </w:pBdr>
              <w:spacing w:before="36" w:after="36"/>
              <w:rPr>
                <w:color w:val="000000"/>
              </w:rPr>
            </w:pPr>
          </w:p>
        </w:tc>
      </w:tr>
      <w:tr w:rsidR="00BF18CF" w14:paraId="152D4396" w14:textId="77777777" w:rsidTr="00BF18CF">
        <w:tc>
          <w:tcPr>
            <w:tcW w:w="1925" w:type="dxa"/>
          </w:tcPr>
          <w:p w14:paraId="34139FA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65" w:type="dxa"/>
          </w:tcPr>
          <w:p w14:paraId="6FE09126" w14:textId="77777777" w:rsidR="00BF18CF" w:rsidRDefault="00E51347">
            <w:r>
              <w:rPr>
                <w:rFonts w:ascii="Consolas" w:eastAsia="Consolas" w:hAnsi="Consolas" w:cs="Consolas"/>
                <w:sz w:val="22"/>
                <w:szCs w:val="22"/>
                <w:shd w:val="clear" w:color="auto" w:fill="EAEEF3"/>
              </w:rPr>
              <w:t>E41_Appellation</w:t>
            </w:r>
            <w:r>
              <w:t xml:space="preserve">. </w:t>
            </w:r>
            <w:r>
              <w:rPr>
                <w:rFonts w:ascii="Consolas" w:eastAsia="Consolas" w:hAnsi="Consolas" w:cs="Consolas"/>
                <w:sz w:val="22"/>
                <w:szCs w:val="22"/>
                <w:shd w:val="clear" w:color="auto" w:fill="EAEEF3"/>
              </w:rPr>
              <w:t>P1i_identifie</w:t>
            </w:r>
            <w:r>
              <w:t xml:space="preserve"> : </w:t>
            </w:r>
            <w:r>
              <w:rPr>
                <w:rFonts w:ascii="Consolas" w:eastAsia="Consolas" w:hAnsi="Consolas" w:cs="Consolas"/>
                <w:sz w:val="22"/>
                <w:szCs w:val="22"/>
                <w:shd w:val="clear" w:color="auto" w:fill="EAEEF3"/>
              </w:rPr>
              <w:t>E1_Entité_CRM</w:t>
            </w:r>
          </w:p>
        </w:tc>
      </w:tr>
      <w:tr w:rsidR="00BF18CF" w14:paraId="501B6651" w14:textId="77777777" w:rsidTr="00BF18CF">
        <w:tc>
          <w:tcPr>
            <w:tcW w:w="1925" w:type="dxa"/>
          </w:tcPr>
          <w:p w14:paraId="048690D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65" w:type="dxa"/>
          </w:tcPr>
          <w:p w14:paraId="396E1B55" w14:textId="77777777" w:rsidR="00BF18CF" w:rsidRDefault="00E51347">
            <w:proofErr w:type="gramStart"/>
            <w:r>
              <w:t>plusieurs</w:t>
            </w:r>
            <w:proofErr w:type="gramEnd"/>
            <w:r>
              <w:t xml:space="preserve"> à un (0,1:0,n)</w:t>
            </w:r>
          </w:p>
        </w:tc>
      </w:tr>
      <w:tr w:rsidR="00BF18CF" w14:paraId="14A61CDF" w14:textId="77777777" w:rsidTr="00BF18CF">
        <w:tc>
          <w:tcPr>
            <w:tcW w:w="1925" w:type="dxa"/>
          </w:tcPr>
          <w:p w14:paraId="4631147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65" w:type="dxa"/>
          </w:tcPr>
          <w:p w14:paraId="63EB9177" w14:textId="77777777" w:rsidR="00BF18CF" w:rsidRDefault="00E51347">
            <w:r>
              <w:t xml:space="preserve">Cette propriété associe une instance de </w:t>
            </w:r>
            <w:r>
              <w:rPr>
                <w:rFonts w:ascii="Consolas" w:eastAsia="Consolas" w:hAnsi="Consolas" w:cs="Consolas"/>
                <w:sz w:val="22"/>
                <w:szCs w:val="22"/>
                <w:shd w:val="clear" w:color="auto" w:fill="EAEEF3"/>
              </w:rPr>
              <w:t>E61_Primitive_temporelle</w:t>
            </w:r>
            <w:r>
              <w:t xml:space="preserve"> à une instance de </w:t>
            </w:r>
            <w:r>
              <w:rPr>
                <w:rFonts w:ascii="Consolas" w:eastAsia="Consolas" w:hAnsi="Consolas" w:cs="Consolas"/>
                <w:sz w:val="22"/>
                <w:szCs w:val="22"/>
                <w:shd w:val="clear" w:color="auto" w:fill="EAEEF3"/>
              </w:rPr>
              <w:t>E52_Intervalle_temporel</w:t>
            </w:r>
            <w:r>
              <w:t xml:space="preserve"> qui constitue l'interprétation des termes de la primitive temporelle comme une étendue en temps réel et absolu.</w:t>
            </w:r>
          </w:p>
          <w:p w14:paraId="5F3879D0" w14:textId="77777777" w:rsidR="00BF18CF" w:rsidRDefault="00E51347">
            <w:r>
              <w:t xml:space="preserve">La quantification permet à plusieurs instances de </w:t>
            </w:r>
            <w:r>
              <w:rPr>
                <w:rFonts w:ascii="Consolas" w:eastAsia="Consolas" w:hAnsi="Consolas" w:cs="Consolas"/>
                <w:sz w:val="22"/>
                <w:szCs w:val="22"/>
                <w:shd w:val="clear" w:color="auto" w:fill="EAEEF3"/>
              </w:rPr>
              <w:t>E61_Primitive_temporelle</w:t>
            </w:r>
            <w:r>
              <w:t xml:space="preserve">, chacune exprimée sous une forme syntaxique différente, de définir la même instance de </w:t>
            </w:r>
            <w:r>
              <w:rPr>
                <w:rFonts w:ascii="Consolas" w:eastAsia="Consolas" w:hAnsi="Consolas" w:cs="Consolas"/>
                <w:sz w:val="22"/>
                <w:szCs w:val="22"/>
                <w:shd w:val="clear" w:color="auto" w:fill="EAEEF3"/>
              </w:rPr>
              <w:t>E52_Intervalle_temporel</w:t>
            </w:r>
            <w:r>
              <w:t>.</w:t>
            </w:r>
          </w:p>
        </w:tc>
      </w:tr>
      <w:tr w:rsidR="00BF18CF" w14:paraId="54F82B86" w14:textId="77777777" w:rsidTr="00BF18CF">
        <w:tc>
          <w:tcPr>
            <w:tcW w:w="1925" w:type="dxa"/>
          </w:tcPr>
          <w:p w14:paraId="43AE579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65" w:type="dxa"/>
          </w:tcPr>
          <w:p w14:paraId="12637874" w14:textId="77777777" w:rsidR="00BF18CF" w:rsidRDefault="00E51347">
            <w:pPr>
              <w:numPr>
                <w:ilvl w:val="0"/>
                <w:numId w:val="19"/>
              </w:numPr>
            </w:pPr>
            <w:r>
              <w:t>« 1800-01-01 0:00:00 – 1899-12-21 23:59:59 » définit le temps (</w:t>
            </w:r>
            <w:r>
              <w:rPr>
                <w:rFonts w:ascii="Consolas" w:eastAsia="Consolas" w:hAnsi="Consolas" w:cs="Consolas"/>
                <w:sz w:val="22"/>
                <w:szCs w:val="22"/>
                <w:shd w:val="clear" w:color="auto" w:fill="EAEEF3"/>
              </w:rPr>
              <w:t>P170_définit_le_temps</w:t>
            </w:r>
            <w:r>
              <w:t>) du XIX</w:t>
            </w:r>
            <w:r>
              <w:rPr>
                <w:vertAlign w:val="superscript"/>
              </w:rPr>
              <w:t>e</w:t>
            </w:r>
            <w:r>
              <w:t xml:space="preserve"> siècle (</w:t>
            </w:r>
            <w:r>
              <w:rPr>
                <w:rFonts w:ascii="Consolas" w:eastAsia="Consolas" w:hAnsi="Consolas" w:cs="Consolas"/>
                <w:sz w:val="22"/>
                <w:szCs w:val="22"/>
                <w:shd w:val="clear" w:color="auto" w:fill="EAEEF3"/>
              </w:rPr>
              <w:t>E52_Intervalle_temporel</w:t>
            </w:r>
            <w:r>
              <w:t>)</w:t>
            </w:r>
          </w:p>
          <w:p w14:paraId="0D10B4E3" w14:textId="77777777" w:rsidR="00BF18CF" w:rsidRDefault="00E51347">
            <w:pPr>
              <w:numPr>
                <w:ilvl w:val="0"/>
                <w:numId w:val="19"/>
              </w:numPr>
            </w:pPr>
            <w:r>
              <w:t>« 1968-01-01 – 2018-01-01 » définit le temps (</w:t>
            </w:r>
            <w:r>
              <w:rPr>
                <w:rFonts w:ascii="Consolas" w:eastAsia="Consolas" w:hAnsi="Consolas" w:cs="Consolas"/>
                <w:sz w:val="22"/>
                <w:szCs w:val="22"/>
                <w:shd w:val="clear" w:color="auto" w:fill="EAEEF3"/>
              </w:rPr>
              <w:t>P170_définit_le_temps</w:t>
            </w:r>
            <w:r>
              <w:t>) 1968-01-01 – 2018-01-01 [un intervalle temporel arbitraire pendant lequel le reliquaire de saint Tite était présent dans l'église Saint-Tite d'Héraklion, en Crète]</w:t>
            </w:r>
          </w:p>
        </w:tc>
      </w:tr>
      <w:tr w:rsidR="00BF18CF" w14:paraId="3D772BA8" w14:textId="77777777" w:rsidTr="00BF18CF">
        <w:tc>
          <w:tcPr>
            <w:tcW w:w="1925" w:type="dxa"/>
          </w:tcPr>
          <w:p w14:paraId="4FAAA352"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65" w:type="dxa"/>
          </w:tcPr>
          <w:p w14:paraId="6048735A" w14:textId="77777777" w:rsidR="00BF18CF" w:rsidRDefault="00E51347">
            <w:r>
              <w:t>P170(</w:t>
            </w:r>
            <w:proofErr w:type="gramStart"/>
            <w:r>
              <w:t>x,y</w:t>
            </w:r>
            <w:proofErr w:type="gramEnd"/>
            <w:r>
              <w:t>) ⇒ E61(x)</w:t>
            </w:r>
          </w:p>
          <w:p w14:paraId="567E397B" w14:textId="77777777" w:rsidR="00BF18CF" w:rsidRDefault="00E51347">
            <w:r>
              <w:t>P170(</w:t>
            </w:r>
            <w:proofErr w:type="gramStart"/>
            <w:r>
              <w:t>x,y</w:t>
            </w:r>
            <w:proofErr w:type="gramEnd"/>
            <w:r>
              <w:t>) ⇒ E52(y)</w:t>
            </w:r>
          </w:p>
          <w:p w14:paraId="43701234" w14:textId="77777777" w:rsidR="00BF18CF" w:rsidRDefault="00E51347">
            <w:r>
              <w:t>P170(x, y) ⇒ P81</w:t>
            </w:r>
            <w:proofErr w:type="gramStart"/>
            <w:r>
              <w:t>i(</w:t>
            </w:r>
            <w:proofErr w:type="gramEnd"/>
            <w:r>
              <w:t>x, y) ∧ P82i(x, y)</w:t>
            </w:r>
          </w:p>
        </w:tc>
      </w:tr>
      <w:tr w:rsidR="00BF18CF" w14:paraId="66EB64F0" w14:textId="77777777" w:rsidTr="00BF18CF">
        <w:tc>
          <w:tcPr>
            <w:tcW w:w="1925" w:type="dxa"/>
          </w:tcPr>
          <w:p w14:paraId="1FD2B2E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65" w:type="dxa"/>
          </w:tcPr>
          <w:p w14:paraId="7126572E" w14:textId="77777777" w:rsidR="00BF18CF" w:rsidRDefault="00BF18CF">
            <w:pPr>
              <w:pBdr>
                <w:top w:val="nil"/>
                <w:left w:val="nil"/>
                <w:bottom w:val="nil"/>
                <w:right w:val="nil"/>
                <w:between w:val="nil"/>
              </w:pBdr>
              <w:spacing w:before="36" w:after="36"/>
              <w:rPr>
                <w:color w:val="000000"/>
              </w:rPr>
            </w:pPr>
          </w:p>
        </w:tc>
      </w:tr>
      <w:tr w:rsidR="00BF18CF" w14:paraId="05892C38" w14:textId="77777777" w:rsidTr="00BF18CF">
        <w:tc>
          <w:tcPr>
            <w:tcW w:w="1925" w:type="dxa"/>
          </w:tcPr>
          <w:p w14:paraId="6F8C344F" w14:textId="66F470F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65" w:type="dxa"/>
          </w:tcPr>
          <w:p w14:paraId="70BFB4D4" w14:textId="77777777" w:rsidR="00BF18CF" w:rsidRDefault="00BF18CF">
            <w:pPr>
              <w:pBdr>
                <w:top w:val="nil"/>
                <w:left w:val="nil"/>
                <w:bottom w:val="nil"/>
                <w:right w:val="nil"/>
                <w:between w:val="nil"/>
              </w:pBdr>
              <w:spacing w:before="36" w:after="36"/>
              <w:rPr>
                <w:color w:val="000000"/>
              </w:rPr>
            </w:pPr>
          </w:p>
        </w:tc>
      </w:tr>
      <w:tr w:rsidR="00BF18CF" w14:paraId="2569BBD9" w14:textId="77777777" w:rsidTr="00BF18CF">
        <w:tc>
          <w:tcPr>
            <w:tcW w:w="1925" w:type="dxa"/>
          </w:tcPr>
          <w:p w14:paraId="7A7215EA"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65" w:type="dxa"/>
          </w:tcPr>
          <w:p w14:paraId="05BFAD58" w14:textId="77777777" w:rsidR="00BF18CF" w:rsidRDefault="00BF18CF">
            <w:pPr>
              <w:pBdr>
                <w:top w:val="nil"/>
                <w:left w:val="nil"/>
                <w:bottom w:val="nil"/>
                <w:right w:val="nil"/>
                <w:between w:val="nil"/>
              </w:pBdr>
              <w:spacing w:before="36" w:after="36"/>
              <w:rPr>
                <w:color w:val="000000"/>
              </w:rPr>
            </w:pPr>
          </w:p>
        </w:tc>
      </w:tr>
    </w:tbl>
    <w:p w14:paraId="6458341E" w14:textId="77777777" w:rsidR="00BF18CF" w:rsidRDefault="00E51347">
      <w:pPr>
        <w:pStyle w:val="Heading3"/>
      </w:pPr>
      <w:bookmarkStart w:id="539" w:name="bookmark=id.11bux6d" w:colFirst="0" w:colLast="0"/>
      <w:bookmarkStart w:id="540" w:name="_Toc144361013"/>
      <w:bookmarkEnd w:id="539"/>
      <w:r>
        <w:t>P171 quelque part dans</w:t>
      </w:r>
      <w:bookmarkEnd w:id="540"/>
    </w:p>
    <w:tbl>
      <w:tblPr>
        <w:tblStyle w:val="affffffff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6"/>
        <w:gridCol w:w="8824"/>
      </w:tblGrid>
      <w:tr w:rsidR="00BF18CF" w14:paraId="78B24AD0" w14:textId="77777777" w:rsidTr="00BF18CF">
        <w:tc>
          <w:tcPr>
            <w:tcW w:w="1866" w:type="dxa"/>
          </w:tcPr>
          <w:p w14:paraId="26D45D4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4" w:type="dxa"/>
          </w:tcPr>
          <w:p w14:paraId="3C0A7835" w14:textId="77777777" w:rsidR="00BF18CF" w:rsidRDefault="00E51347">
            <w:r>
              <w:rPr>
                <w:rFonts w:ascii="Consolas" w:eastAsia="Consolas" w:hAnsi="Consolas" w:cs="Consolas"/>
                <w:sz w:val="22"/>
                <w:szCs w:val="22"/>
                <w:shd w:val="clear" w:color="auto" w:fill="EAEEF3"/>
              </w:rPr>
              <w:t>E53_Lieu</w:t>
            </w:r>
          </w:p>
        </w:tc>
      </w:tr>
      <w:tr w:rsidR="00BF18CF" w14:paraId="2F4C2931" w14:textId="77777777" w:rsidTr="00BF18CF">
        <w:tc>
          <w:tcPr>
            <w:tcW w:w="1866" w:type="dxa"/>
          </w:tcPr>
          <w:p w14:paraId="6AED0B4A"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4" w:type="dxa"/>
          </w:tcPr>
          <w:p w14:paraId="22D70E4B" w14:textId="77777777" w:rsidR="00BF18CF" w:rsidRDefault="00E51347">
            <w:r>
              <w:rPr>
                <w:rFonts w:ascii="Consolas" w:eastAsia="Consolas" w:hAnsi="Consolas" w:cs="Consolas"/>
                <w:sz w:val="22"/>
                <w:szCs w:val="22"/>
                <w:shd w:val="clear" w:color="auto" w:fill="EAEEF3"/>
              </w:rPr>
              <w:t>E94_Primitive_spatiale</w:t>
            </w:r>
          </w:p>
        </w:tc>
      </w:tr>
      <w:tr w:rsidR="00BF18CF" w14:paraId="4B85027C" w14:textId="77777777" w:rsidTr="00BF18CF">
        <w:tc>
          <w:tcPr>
            <w:tcW w:w="1866" w:type="dxa"/>
          </w:tcPr>
          <w:p w14:paraId="17D4FD6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24" w:type="dxa"/>
          </w:tcPr>
          <w:p w14:paraId="6109AED5" w14:textId="77777777" w:rsidR="00BF18CF" w:rsidRDefault="00BF18CF">
            <w:pPr>
              <w:pBdr>
                <w:top w:val="nil"/>
                <w:left w:val="nil"/>
                <w:bottom w:val="nil"/>
                <w:right w:val="nil"/>
                <w:between w:val="nil"/>
              </w:pBdr>
              <w:spacing w:before="36" w:after="36"/>
              <w:rPr>
                <w:color w:val="000000"/>
              </w:rPr>
            </w:pPr>
          </w:p>
        </w:tc>
      </w:tr>
      <w:tr w:rsidR="00BF18CF" w14:paraId="231C475D" w14:textId="77777777" w:rsidTr="00BF18CF">
        <w:tc>
          <w:tcPr>
            <w:tcW w:w="1866" w:type="dxa"/>
          </w:tcPr>
          <w:p w14:paraId="48BD3879"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4" w:type="dxa"/>
          </w:tcPr>
          <w:p w14:paraId="1E2C433D" w14:textId="77777777" w:rsidR="00BF18CF" w:rsidRDefault="00BF18CF">
            <w:pPr>
              <w:pBdr>
                <w:top w:val="nil"/>
                <w:left w:val="nil"/>
                <w:bottom w:val="nil"/>
                <w:right w:val="nil"/>
                <w:between w:val="nil"/>
              </w:pBdr>
              <w:spacing w:before="36" w:after="36"/>
              <w:rPr>
                <w:color w:val="000000"/>
              </w:rPr>
            </w:pPr>
          </w:p>
        </w:tc>
      </w:tr>
      <w:tr w:rsidR="00BF18CF" w14:paraId="5EE1DFB2" w14:textId="77777777" w:rsidTr="00BF18CF">
        <w:tc>
          <w:tcPr>
            <w:tcW w:w="1866" w:type="dxa"/>
          </w:tcPr>
          <w:p w14:paraId="0EEA8A3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4" w:type="dxa"/>
          </w:tcPr>
          <w:p w14:paraId="56C501C6" w14:textId="77777777" w:rsidR="00BF18CF" w:rsidRDefault="00E51347">
            <w:r>
              <w:t>Plusieurs à plusieurs (</w:t>
            </w:r>
            <w:proofErr w:type="gramStart"/>
            <w:r>
              <w:t>0,n</w:t>
            </w:r>
            <w:proofErr w:type="gramEnd"/>
            <w:r>
              <w:t>:0,n)</w:t>
            </w:r>
          </w:p>
        </w:tc>
      </w:tr>
      <w:tr w:rsidR="00BF18CF" w14:paraId="1C59367A" w14:textId="77777777" w:rsidTr="00BF18CF">
        <w:tc>
          <w:tcPr>
            <w:tcW w:w="1866" w:type="dxa"/>
          </w:tcPr>
          <w:p w14:paraId="1A4F968B"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824" w:type="dxa"/>
          </w:tcPr>
          <w:p w14:paraId="7A4F1507" w14:textId="77777777" w:rsidR="00BF18CF" w:rsidRDefault="00E51347">
            <w:r>
              <w:t xml:space="preserve">Cette propriété décrit l'étendue spatiale maximale à l'intérieur de laquelle une instance de </w:t>
            </w:r>
            <w:r>
              <w:rPr>
                <w:rFonts w:ascii="Consolas" w:eastAsia="Consolas" w:hAnsi="Consolas" w:cs="Consolas"/>
                <w:sz w:val="22"/>
                <w:szCs w:val="22"/>
                <w:shd w:val="clear" w:color="auto" w:fill="EAEEF3"/>
              </w:rPr>
              <w:t>E53_Lieu</w:t>
            </w:r>
            <w:r>
              <w:t xml:space="preserve"> s'inscrit. Il est possible que des instances de </w:t>
            </w:r>
            <w:r>
              <w:rPr>
                <w:rFonts w:ascii="Consolas" w:eastAsia="Consolas" w:hAnsi="Consolas" w:cs="Consolas"/>
                <w:sz w:val="22"/>
                <w:szCs w:val="22"/>
                <w:shd w:val="clear" w:color="auto" w:fill="EAEEF3"/>
              </w:rPr>
              <w:t>E53_Lieu</w:t>
            </w:r>
            <w:r>
              <w:t xml:space="preserve"> n'aient pas d'étendues temporelles connues de manière précise. C'est pour cette raison que le CIDOC CRM permet les énoncés portant sur les étendues spatiales maximales d'instances de </w:t>
            </w:r>
            <w:r>
              <w:rPr>
                <w:rFonts w:ascii="Consolas" w:eastAsia="Consolas" w:hAnsi="Consolas" w:cs="Consolas"/>
                <w:sz w:val="22"/>
                <w:szCs w:val="22"/>
                <w:shd w:val="clear" w:color="auto" w:fill="EAEEF3"/>
              </w:rPr>
              <w:t>E53_Lieu</w:t>
            </w:r>
            <w:r>
              <w:t xml:space="preserve">. Cette propriété permet l'assignation de la valeur d'une instance de </w:t>
            </w:r>
            <w:r>
              <w:rPr>
                <w:rFonts w:ascii="Consolas" w:eastAsia="Consolas" w:hAnsi="Consolas" w:cs="Consolas"/>
                <w:sz w:val="22"/>
                <w:szCs w:val="22"/>
                <w:shd w:val="clear" w:color="auto" w:fill="EAEEF3"/>
              </w:rPr>
              <w:t>E94_Primitive_spatiale</w:t>
            </w:r>
            <w:r>
              <w:t xml:space="preserve"> à l'étendue spatiale maximale d'une instance de </w:t>
            </w:r>
            <w:r>
              <w:rPr>
                <w:rFonts w:ascii="Consolas" w:eastAsia="Consolas" w:hAnsi="Consolas" w:cs="Consolas"/>
                <w:sz w:val="22"/>
                <w:szCs w:val="22"/>
                <w:shd w:val="clear" w:color="auto" w:fill="EAEEF3"/>
              </w:rPr>
              <w:t>E53_Lieu</w:t>
            </w:r>
            <w:r>
              <w:t xml:space="preserve"> (c.-à-d. une frontière externe).</w:t>
            </w:r>
          </w:p>
          <w:p w14:paraId="46E6B922"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P89_s’insère_dans</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P168_lieu_défini_par</w:t>
            </w:r>
            <w:r>
              <w:t xml:space="preserve">, </w:t>
            </w:r>
            <w:r>
              <w:rPr>
                <w:rFonts w:ascii="Consolas" w:eastAsia="Consolas" w:hAnsi="Consolas" w:cs="Consolas"/>
                <w:sz w:val="22"/>
                <w:szCs w:val="22"/>
                <w:shd w:val="clear" w:color="auto" w:fill="EAEEF3"/>
              </w:rPr>
              <w:t>E94_Primitive_spatiale</w:t>
            </w:r>
            <w:r>
              <w:t xml:space="preserve">. C'est donc un chemin sémantique vers une instance de </w:t>
            </w:r>
            <w:r>
              <w:rPr>
                <w:rFonts w:ascii="Consolas" w:eastAsia="Consolas" w:hAnsi="Consolas" w:cs="Consolas"/>
                <w:sz w:val="22"/>
                <w:szCs w:val="22"/>
                <w:shd w:val="clear" w:color="auto" w:fill="EAEEF3"/>
              </w:rPr>
              <w:t>E94_Primitive_spatiale</w:t>
            </w:r>
            <w:r>
              <w:t xml:space="preserve"> via un lieu déclaratif (</w:t>
            </w:r>
            <w:r>
              <w:rPr>
                <w:rFonts w:ascii="Consolas" w:eastAsia="Consolas" w:hAnsi="Consolas" w:cs="Consolas"/>
                <w:sz w:val="22"/>
                <w:szCs w:val="22"/>
                <w:shd w:val="clear" w:color="auto" w:fill="EAEEF3"/>
              </w:rPr>
              <w:t>E53_Lieu</w:t>
            </w:r>
            <w:r>
              <w:t>) qui n'est pas explicitement documenté. Pour en savoir plus sur les lieux déclaratifs et leur définition, voir CRMGeo (Doerr &amp; Hiebel 2013).</w:t>
            </w:r>
          </w:p>
        </w:tc>
      </w:tr>
      <w:tr w:rsidR="00BF18CF" w14:paraId="44BC30EC" w14:textId="77777777" w:rsidTr="00BF18CF">
        <w:tc>
          <w:tcPr>
            <w:tcW w:w="1866" w:type="dxa"/>
          </w:tcPr>
          <w:p w14:paraId="258BBA18"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24" w:type="dxa"/>
          </w:tcPr>
          <w:p w14:paraId="7C6EE10A" w14:textId="77777777" w:rsidR="00BF18CF" w:rsidRDefault="00E51347">
            <w:pPr>
              <w:numPr>
                <w:ilvl w:val="0"/>
                <w:numId w:val="19"/>
              </w:numPr>
            </w:pPr>
            <w:r>
              <w:t>L'étendue spatiale de l'Acropole d'Athènes (</w:t>
            </w:r>
            <w:r>
              <w:rPr>
                <w:rFonts w:ascii="Consolas" w:eastAsia="Consolas" w:hAnsi="Consolas" w:cs="Consolas"/>
                <w:sz w:val="22"/>
                <w:szCs w:val="22"/>
                <w:shd w:val="clear" w:color="auto" w:fill="EAEEF3"/>
              </w:rPr>
              <w:t>E53_Lieu</w:t>
            </w:r>
            <w:r>
              <w:t>) se trouve quelque part à l'intérieur (</w:t>
            </w:r>
            <w:r>
              <w:rPr>
                <w:rFonts w:ascii="Consolas" w:eastAsia="Consolas" w:hAnsi="Consolas" w:cs="Consolas"/>
                <w:sz w:val="22"/>
                <w:szCs w:val="22"/>
                <w:shd w:val="clear" w:color="auto" w:fill="EAEEF3"/>
              </w:rPr>
              <w:t>P171_quelque_part_dans</w:t>
            </w:r>
            <w:r>
              <w:t>) du polygone (37.969172 23.720787, 37.973122 23.721495 37.972741 23.728994, 37.969299 23.729735, 37.969172 23.720787) (</w:t>
            </w:r>
            <w:r>
              <w:rPr>
                <w:rFonts w:ascii="Consolas" w:eastAsia="Consolas" w:hAnsi="Consolas" w:cs="Consolas"/>
                <w:sz w:val="22"/>
                <w:szCs w:val="22"/>
                <w:shd w:val="clear" w:color="auto" w:fill="EAEEF3"/>
              </w:rPr>
              <w:t>E94_Primitive_spatiale</w:t>
            </w:r>
            <w:r>
              <w:t>)</w:t>
            </w:r>
          </w:p>
        </w:tc>
      </w:tr>
      <w:tr w:rsidR="00BF18CF" w14:paraId="77B0594B" w14:textId="77777777" w:rsidTr="00BF18CF">
        <w:tc>
          <w:tcPr>
            <w:tcW w:w="1866" w:type="dxa"/>
          </w:tcPr>
          <w:p w14:paraId="02ADA3FB"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4" w:type="dxa"/>
          </w:tcPr>
          <w:p w14:paraId="5A788A48" w14:textId="77777777" w:rsidR="00BF18CF" w:rsidRDefault="00E51347">
            <w:r>
              <w:t>P171(</w:t>
            </w:r>
            <w:proofErr w:type="gramStart"/>
            <w:r>
              <w:t>x,y</w:t>
            </w:r>
            <w:proofErr w:type="gramEnd"/>
            <w:r>
              <w:t>) ⇒ E53(x)</w:t>
            </w:r>
          </w:p>
          <w:p w14:paraId="5D5DCB8A" w14:textId="77777777" w:rsidR="00BF18CF" w:rsidRDefault="00E51347">
            <w:r>
              <w:t>P171(</w:t>
            </w:r>
            <w:proofErr w:type="gramStart"/>
            <w:r>
              <w:t>x,y</w:t>
            </w:r>
            <w:proofErr w:type="gramEnd"/>
            <w:r>
              <w:t>) ⇒ E94(y)</w:t>
            </w:r>
          </w:p>
          <w:p w14:paraId="725666BD" w14:textId="77777777" w:rsidR="00BF18CF" w:rsidRDefault="00E51347">
            <w:r>
              <w:t>P171(</w:t>
            </w:r>
            <w:proofErr w:type="gramStart"/>
            <w:r>
              <w:t>x,y</w:t>
            </w:r>
            <w:proofErr w:type="gramEnd"/>
            <w:r>
              <w:t>) ⇐ (∃z) [E53(z) ˄ P89(x,z) ˄ P168(z,y)]</w:t>
            </w:r>
          </w:p>
        </w:tc>
      </w:tr>
      <w:tr w:rsidR="00BF18CF" w14:paraId="39E6D717" w14:textId="77777777" w:rsidTr="00BF18CF">
        <w:tc>
          <w:tcPr>
            <w:tcW w:w="1866" w:type="dxa"/>
          </w:tcPr>
          <w:p w14:paraId="435E7D2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24" w:type="dxa"/>
          </w:tcPr>
          <w:p w14:paraId="1AF4BC41" w14:textId="77777777" w:rsidR="00BF18CF" w:rsidRDefault="00BF18CF">
            <w:pPr>
              <w:pBdr>
                <w:top w:val="nil"/>
                <w:left w:val="nil"/>
                <w:bottom w:val="nil"/>
                <w:right w:val="nil"/>
                <w:between w:val="nil"/>
              </w:pBdr>
              <w:spacing w:before="36" w:after="36"/>
              <w:rPr>
                <w:color w:val="000000"/>
              </w:rPr>
            </w:pPr>
          </w:p>
        </w:tc>
      </w:tr>
      <w:tr w:rsidR="00BF18CF" w14:paraId="21CE9B69" w14:textId="77777777" w:rsidTr="00BF18CF">
        <w:tc>
          <w:tcPr>
            <w:tcW w:w="1866" w:type="dxa"/>
          </w:tcPr>
          <w:p w14:paraId="67D66026" w14:textId="38BF3B6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4" w:type="dxa"/>
          </w:tcPr>
          <w:p w14:paraId="263386FF" w14:textId="77777777" w:rsidR="00BF18CF" w:rsidRDefault="00E51347">
            <w:r>
              <w:t>Le terme « maximum » a été traduit par l'adjectif « maximal » conformément aux recommandations de l'Office québécois de la langue française qui indique que l'usage de « maximum » devrait être privilégié lorsqu'il s'agit du nom en faveur de « maximal » lorsqu'il s'agit d'un adjectif.</w:t>
            </w:r>
          </w:p>
        </w:tc>
      </w:tr>
      <w:tr w:rsidR="00BF18CF" w14:paraId="3311A517" w14:textId="77777777" w:rsidTr="00BF18CF">
        <w:tc>
          <w:tcPr>
            <w:tcW w:w="1866" w:type="dxa"/>
          </w:tcPr>
          <w:p w14:paraId="0E2CDC8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4" w:type="dxa"/>
          </w:tcPr>
          <w:p w14:paraId="6A1497D5" w14:textId="77777777" w:rsidR="00BF18CF" w:rsidRDefault="00E51347">
            <w:r>
              <w:t xml:space="preserve">Office québécois de la langue française. « Maximal, minimal et optimal : accord de l’adjectif ». Dans </w:t>
            </w:r>
            <w:r>
              <w:rPr>
                <w:i/>
              </w:rPr>
              <w:t>Banque de dépannage linguistique</w:t>
            </w:r>
            <w:r>
              <w:t>. Québec, CA-QC: Office québécois de la langue francaise, 8 février 2023.</w:t>
            </w:r>
            <w:hyperlink r:id="rId425">
              <w:r>
                <w:rPr>
                  <w:color w:val="4F81BD"/>
                </w:rPr>
                <w:t xml:space="preserve"> https://vitrinelinguistique.oqlf.gouv.qc.ca/23433/la-grammaire/ladjectif/accord-de-ladjectif/cas-particuliers-daccord-de-ladjectif/accord-des-adjectifs-maximal-minimal-et-optimal</w:t>
              </w:r>
            </w:hyperlink>
            <w:r>
              <w:t>.</w:t>
            </w:r>
          </w:p>
        </w:tc>
      </w:tr>
    </w:tbl>
    <w:p w14:paraId="46F72D9C" w14:textId="77777777" w:rsidR="00BF18CF" w:rsidRDefault="00E51347">
      <w:pPr>
        <w:pStyle w:val="Heading3"/>
      </w:pPr>
      <w:bookmarkStart w:id="541" w:name="bookmark=id.3lbifu6" w:colFirst="0" w:colLast="0"/>
      <w:bookmarkStart w:id="542" w:name="_Toc144361014"/>
      <w:bookmarkEnd w:id="541"/>
      <w:r>
        <w:t>P172 contient</w:t>
      </w:r>
      <w:bookmarkEnd w:id="542"/>
    </w:p>
    <w:tbl>
      <w:tblPr>
        <w:tblStyle w:val="affffffffffffffffff0"/>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66"/>
        <w:gridCol w:w="8824"/>
      </w:tblGrid>
      <w:tr w:rsidR="00BF18CF" w14:paraId="7B055366" w14:textId="77777777" w:rsidTr="00BF18CF">
        <w:tc>
          <w:tcPr>
            <w:tcW w:w="1866" w:type="dxa"/>
          </w:tcPr>
          <w:p w14:paraId="139D93B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4" w:type="dxa"/>
          </w:tcPr>
          <w:p w14:paraId="1F3979E0" w14:textId="77777777" w:rsidR="00BF18CF" w:rsidRDefault="00E51347">
            <w:r>
              <w:rPr>
                <w:rFonts w:ascii="Consolas" w:eastAsia="Consolas" w:hAnsi="Consolas" w:cs="Consolas"/>
                <w:sz w:val="22"/>
                <w:szCs w:val="22"/>
                <w:shd w:val="clear" w:color="auto" w:fill="EAEEF3"/>
              </w:rPr>
              <w:t>E53_Lieu</w:t>
            </w:r>
          </w:p>
        </w:tc>
      </w:tr>
      <w:tr w:rsidR="00BF18CF" w14:paraId="1DD161E0" w14:textId="77777777" w:rsidTr="00BF18CF">
        <w:tc>
          <w:tcPr>
            <w:tcW w:w="1866" w:type="dxa"/>
          </w:tcPr>
          <w:p w14:paraId="165D65C5"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4" w:type="dxa"/>
          </w:tcPr>
          <w:p w14:paraId="1815F7D5" w14:textId="77777777" w:rsidR="00BF18CF" w:rsidRDefault="00E51347">
            <w:r>
              <w:rPr>
                <w:rFonts w:ascii="Consolas" w:eastAsia="Consolas" w:hAnsi="Consolas" w:cs="Consolas"/>
                <w:sz w:val="22"/>
                <w:szCs w:val="22"/>
                <w:shd w:val="clear" w:color="auto" w:fill="EAEEF3"/>
              </w:rPr>
              <w:t>E94_Primitive_spatiale</w:t>
            </w:r>
          </w:p>
        </w:tc>
      </w:tr>
      <w:tr w:rsidR="00BF18CF" w14:paraId="2DDD9A93" w14:textId="77777777" w:rsidTr="00BF18CF">
        <w:tc>
          <w:tcPr>
            <w:tcW w:w="1866" w:type="dxa"/>
          </w:tcPr>
          <w:p w14:paraId="04A48A66"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24" w:type="dxa"/>
          </w:tcPr>
          <w:p w14:paraId="375E0B20" w14:textId="77777777" w:rsidR="00BF18CF" w:rsidRDefault="00BF18CF">
            <w:pPr>
              <w:pBdr>
                <w:top w:val="nil"/>
                <w:left w:val="nil"/>
                <w:bottom w:val="nil"/>
                <w:right w:val="nil"/>
                <w:between w:val="nil"/>
              </w:pBdr>
              <w:spacing w:before="36" w:after="36"/>
              <w:rPr>
                <w:color w:val="000000"/>
              </w:rPr>
            </w:pPr>
          </w:p>
        </w:tc>
      </w:tr>
      <w:tr w:rsidR="00BF18CF" w14:paraId="52BA0F29" w14:textId="77777777" w:rsidTr="00BF18CF">
        <w:tc>
          <w:tcPr>
            <w:tcW w:w="1866" w:type="dxa"/>
          </w:tcPr>
          <w:p w14:paraId="297FCBFA"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4" w:type="dxa"/>
          </w:tcPr>
          <w:p w14:paraId="26C0EFBE" w14:textId="77777777" w:rsidR="00BF18CF" w:rsidRDefault="00BF18CF">
            <w:pPr>
              <w:pBdr>
                <w:top w:val="nil"/>
                <w:left w:val="nil"/>
                <w:bottom w:val="nil"/>
                <w:right w:val="nil"/>
                <w:between w:val="nil"/>
              </w:pBdr>
              <w:spacing w:before="36" w:after="36"/>
              <w:rPr>
                <w:color w:val="000000"/>
              </w:rPr>
            </w:pPr>
          </w:p>
        </w:tc>
      </w:tr>
      <w:tr w:rsidR="00BF18CF" w14:paraId="0B38B37B" w14:textId="77777777" w:rsidTr="00BF18CF">
        <w:tc>
          <w:tcPr>
            <w:tcW w:w="1866" w:type="dxa"/>
          </w:tcPr>
          <w:p w14:paraId="46E46825"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4" w:type="dxa"/>
          </w:tcPr>
          <w:p w14:paraId="437C1B86" w14:textId="77777777" w:rsidR="00BF18CF" w:rsidRDefault="00E51347">
            <w:r>
              <w:t>Plusieurs à plusieurs (</w:t>
            </w:r>
            <w:proofErr w:type="gramStart"/>
            <w:r>
              <w:t>0,n</w:t>
            </w:r>
            <w:proofErr w:type="gramEnd"/>
            <w:r>
              <w:t>:0,n)</w:t>
            </w:r>
          </w:p>
        </w:tc>
      </w:tr>
      <w:tr w:rsidR="00BF18CF" w14:paraId="10D6CFD6" w14:textId="77777777" w:rsidTr="00BF18CF">
        <w:tc>
          <w:tcPr>
            <w:tcW w:w="1866" w:type="dxa"/>
          </w:tcPr>
          <w:p w14:paraId="194A3A52" w14:textId="77777777" w:rsidR="00BF18CF" w:rsidRDefault="00E51347">
            <w:pPr>
              <w:pBdr>
                <w:top w:val="nil"/>
                <w:left w:val="nil"/>
                <w:bottom w:val="nil"/>
                <w:right w:val="nil"/>
                <w:between w:val="nil"/>
              </w:pBdr>
              <w:spacing w:before="36" w:after="36"/>
              <w:rPr>
                <w:color w:val="000000"/>
              </w:rPr>
            </w:pPr>
            <w:r>
              <w:rPr>
                <w:b/>
                <w:color w:val="000000"/>
              </w:rPr>
              <w:lastRenderedPageBreak/>
              <w:t>Note d’application</w:t>
            </w:r>
          </w:p>
        </w:tc>
        <w:tc>
          <w:tcPr>
            <w:tcW w:w="8824" w:type="dxa"/>
          </w:tcPr>
          <w:p w14:paraId="4FAC1DF3" w14:textId="77777777" w:rsidR="00BF18CF" w:rsidRDefault="00E51347">
            <w:r>
              <w:t xml:space="preserve">Cette propriété décrit l'étendue spatiale minimale contenue dans une instance de </w:t>
            </w:r>
            <w:r>
              <w:rPr>
                <w:rFonts w:ascii="Consolas" w:eastAsia="Consolas" w:hAnsi="Consolas" w:cs="Consolas"/>
                <w:sz w:val="22"/>
                <w:szCs w:val="22"/>
                <w:shd w:val="clear" w:color="auto" w:fill="EAEEF3"/>
              </w:rPr>
              <w:t>E53_Lieu</w:t>
            </w:r>
            <w:r>
              <w:t xml:space="preserve">. Il est possible que des instances de </w:t>
            </w:r>
            <w:r>
              <w:rPr>
                <w:rFonts w:ascii="Consolas" w:eastAsia="Consolas" w:hAnsi="Consolas" w:cs="Consolas"/>
                <w:sz w:val="22"/>
                <w:szCs w:val="22"/>
                <w:shd w:val="clear" w:color="auto" w:fill="EAEEF3"/>
              </w:rPr>
              <w:t>E53_Lieu</w:t>
            </w:r>
            <w:r>
              <w:t xml:space="preserve"> n'aient pas d'étendues temporelles connues de manière précise. C'est pour cette raison que le CIDOC CRM permet les énoncés portant sur les étendues spatiales minimales d'instances de </w:t>
            </w:r>
            <w:r>
              <w:rPr>
                <w:rFonts w:ascii="Consolas" w:eastAsia="Consolas" w:hAnsi="Consolas" w:cs="Consolas"/>
                <w:sz w:val="22"/>
                <w:szCs w:val="22"/>
                <w:shd w:val="clear" w:color="auto" w:fill="EAEEF3"/>
              </w:rPr>
              <w:t>E53_Lieu</w:t>
            </w:r>
            <w:r>
              <w:t xml:space="preserve">. Cette propriété permet l'assignation de la valeur d'une instance de </w:t>
            </w:r>
            <w:r>
              <w:rPr>
                <w:rFonts w:ascii="Consolas" w:eastAsia="Consolas" w:hAnsi="Consolas" w:cs="Consolas"/>
                <w:sz w:val="22"/>
                <w:szCs w:val="22"/>
                <w:shd w:val="clear" w:color="auto" w:fill="EAEEF3"/>
              </w:rPr>
              <w:t>E94_Primitive_spatiale</w:t>
            </w:r>
            <w:r>
              <w:t xml:space="preserve"> à l'étendue spatiale minimale d'une instance de </w:t>
            </w:r>
            <w:r>
              <w:rPr>
                <w:rFonts w:ascii="Consolas" w:eastAsia="Consolas" w:hAnsi="Consolas" w:cs="Consolas"/>
                <w:sz w:val="22"/>
                <w:szCs w:val="22"/>
                <w:shd w:val="clear" w:color="auto" w:fill="EAEEF3"/>
              </w:rPr>
              <w:t>E53_Lieu</w:t>
            </w:r>
            <w:r>
              <w:t xml:space="preserve"> (c.-à-d. une frontière interne ou un point situé dans un lieu).</w:t>
            </w:r>
          </w:p>
          <w:p w14:paraId="1905DC08"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P89i_contient</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P168_lieu_défini_par</w:t>
            </w:r>
            <w:r>
              <w:t xml:space="preserve">, </w:t>
            </w:r>
            <w:r>
              <w:rPr>
                <w:rFonts w:ascii="Consolas" w:eastAsia="Consolas" w:hAnsi="Consolas" w:cs="Consolas"/>
                <w:sz w:val="22"/>
                <w:szCs w:val="22"/>
                <w:shd w:val="clear" w:color="auto" w:fill="EAEEF3"/>
              </w:rPr>
              <w:t>E94_Primitive_spatiale</w:t>
            </w:r>
            <w:r>
              <w:t>.</w:t>
            </w:r>
          </w:p>
        </w:tc>
      </w:tr>
      <w:tr w:rsidR="00BF18CF" w14:paraId="0D5F40A0" w14:textId="77777777" w:rsidTr="00BF18CF">
        <w:tc>
          <w:tcPr>
            <w:tcW w:w="1866" w:type="dxa"/>
          </w:tcPr>
          <w:p w14:paraId="1BF00FAC"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24" w:type="dxa"/>
          </w:tcPr>
          <w:p w14:paraId="63960589" w14:textId="77777777" w:rsidR="00BF18CF" w:rsidRDefault="00E51347">
            <w:pPr>
              <w:numPr>
                <w:ilvl w:val="0"/>
                <w:numId w:val="19"/>
              </w:numPr>
            </w:pPr>
            <w:r>
              <w:t>L'étendue spatiale de l'Acropole d'Athènes (</w:t>
            </w:r>
            <w:r>
              <w:rPr>
                <w:rFonts w:ascii="Consolas" w:eastAsia="Consolas" w:hAnsi="Consolas" w:cs="Consolas"/>
                <w:sz w:val="22"/>
                <w:szCs w:val="22"/>
                <w:shd w:val="clear" w:color="auto" w:fill="EAEEF3"/>
              </w:rPr>
              <w:t>E53_Lieu</w:t>
            </w:r>
            <w:r>
              <w:t>) contient (</w:t>
            </w:r>
            <w:r>
              <w:rPr>
                <w:rFonts w:ascii="Consolas" w:eastAsia="Consolas" w:hAnsi="Consolas" w:cs="Consolas"/>
                <w:sz w:val="22"/>
                <w:szCs w:val="22"/>
                <w:shd w:val="clear" w:color="auto" w:fill="EAEEF3"/>
              </w:rPr>
              <w:t>P172_contient</w:t>
            </w:r>
            <w:r>
              <w:t>) le point (37.971431 23.725947) (</w:t>
            </w:r>
            <w:r>
              <w:rPr>
                <w:rFonts w:ascii="Consolas" w:eastAsia="Consolas" w:hAnsi="Consolas" w:cs="Consolas"/>
                <w:sz w:val="22"/>
                <w:szCs w:val="22"/>
                <w:shd w:val="clear" w:color="auto" w:fill="EAEEF3"/>
              </w:rPr>
              <w:t>E94_Primitive_spatiale</w:t>
            </w:r>
            <w:r>
              <w:t>)</w:t>
            </w:r>
          </w:p>
        </w:tc>
      </w:tr>
      <w:tr w:rsidR="00BF18CF" w14:paraId="0C661ECE" w14:textId="77777777" w:rsidTr="00BF18CF">
        <w:tc>
          <w:tcPr>
            <w:tcW w:w="1866" w:type="dxa"/>
          </w:tcPr>
          <w:p w14:paraId="1A3EE42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4" w:type="dxa"/>
          </w:tcPr>
          <w:p w14:paraId="79C3CEE9" w14:textId="77777777" w:rsidR="00BF18CF" w:rsidRDefault="00E51347">
            <w:r>
              <w:t>P172(</w:t>
            </w:r>
            <w:proofErr w:type="gramStart"/>
            <w:r>
              <w:t>x,y</w:t>
            </w:r>
            <w:proofErr w:type="gramEnd"/>
            <w:r>
              <w:t>) ⇒ E53(x)</w:t>
            </w:r>
          </w:p>
          <w:p w14:paraId="67E5AE90" w14:textId="77777777" w:rsidR="00BF18CF" w:rsidRDefault="00E51347">
            <w:r>
              <w:t>P172(</w:t>
            </w:r>
            <w:proofErr w:type="gramStart"/>
            <w:r>
              <w:t>x,y</w:t>
            </w:r>
            <w:proofErr w:type="gramEnd"/>
            <w:r>
              <w:t>) ⇒ E94(y)</w:t>
            </w:r>
          </w:p>
          <w:p w14:paraId="7166B622" w14:textId="77777777" w:rsidR="00BF18CF" w:rsidRDefault="00E51347">
            <w:r>
              <w:t>P172(</w:t>
            </w:r>
            <w:proofErr w:type="gramStart"/>
            <w:r>
              <w:t>x,y</w:t>
            </w:r>
            <w:proofErr w:type="gramEnd"/>
            <w:r>
              <w:t>) ⇐ (∃z) [E53(z) ˄ P89i(x,z) ˄ P168(z,y)]</w:t>
            </w:r>
          </w:p>
        </w:tc>
      </w:tr>
      <w:tr w:rsidR="00BF18CF" w14:paraId="54E2BFE1" w14:textId="77777777" w:rsidTr="00BF18CF">
        <w:tc>
          <w:tcPr>
            <w:tcW w:w="1866" w:type="dxa"/>
          </w:tcPr>
          <w:p w14:paraId="44B8806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24" w:type="dxa"/>
          </w:tcPr>
          <w:p w14:paraId="7522D8C4" w14:textId="77777777" w:rsidR="00BF18CF" w:rsidRDefault="00BF18CF">
            <w:pPr>
              <w:pBdr>
                <w:top w:val="nil"/>
                <w:left w:val="nil"/>
                <w:bottom w:val="nil"/>
                <w:right w:val="nil"/>
                <w:between w:val="nil"/>
              </w:pBdr>
              <w:spacing w:before="36" w:after="36"/>
              <w:rPr>
                <w:color w:val="000000"/>
              </w:rPr>
            </w:pPr>
          </w:p>
        </w:tc>
      </w:tr>
      <w:tr w:rsidR="00BF18CF" w14:paraId="0448BADB" w14:textId="77777777" w:rsidTr="00BF18CF">
        <w:tc>
          <w:tcPr>
            <w:tcW w:w="1866" w:type="dxa"/>
          </w:tcPr>
          <w:p w14:paraId="19E7EB24" w14:textId="4195128C"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4" w:type="dxa"/>
          </w:tcPr>
          <w:p w14:paraId="713473BB" w14:textId="77777777" w:rsidR="00BF18CF" w:rsidRDefault="00E51347">
            <w:r>
              <w:t>Le terme « minimum » a été traduit par l'adjectif « minimal » conformément aux recommandations de l'Office québécois de la langue française qui indique que l'usage de « minimum » devrait être privilégié lorsqu'il s'agit du nom en faveur de « minimal » lorsqu'il s'agit d'un adjectif.</w:t>
            </w:r>
          </w:p>
        </w:tc>
      </w:tr>
      <w:tr w:rsidR="00BF18CF" w14:paraId="4D3F8DD9" w14:textId="77777777" w:rsidTr="00BF18CF">
        <w:tc>
          <w:tcPr>
            <w:tcW w:w="1866" w:type="dxa"/>
          </w:tcPr>
          <w:p w14:paraId="7535290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4" w:type="dxa"/>
          </w:tcPr>
          <w:p w14:paraId="137366E8" w14:textId="77777777" w:rsidR="00BF18CF" w:rsidRDefault="00E51347">
            <w:r>
              <w:t xml:space="preserve">Office québécois de la langue française. « Maximal, minimal et optimal : accord de l’adjectif ». Dans </w:t>
            </w:r>
            <w:r>
              <w:rPr>
                <w:i/>
              </w:rPr>
              <w:t>Banque de dépannage linguistique</w:t>
            </w:r>
            <w:r>
              <w:t>. Québec, CA-QC: Office québécois de la langue francaise, 8 février 2023.</w:t>
            </w:r>
            <w:hyperlink r:id="rId426">
              <w:r>
                <w:rPr>
                  <w:color w:val="4F81BD"/>
                </w:rPr>
                <w:t xml:space="preserve"> https://vitrinelinguistique.oqlf.gouv.qc.ca/23433/la-grammaire/ladjectif/accord-de-ladjectif/cas-particuliers-daccord-de-ladjectif/accord-des-adjectifs-maximal-minimal-et-optimal</w:t>
              </w:r>
            </w:hyperlink>
            <w:r>
              <w:t>.</w:t>
            </w:r>
          </w:p>
        </w:tc>
      </w:tr>
    </w:tbl>
    <w:p w14:paraId="1A31A72F" w14:textId="77777777" w:rsidR="00BF18CF" w:rsidRDefault="00E51347">
      <w:pPr>
        <w:pStyle w:val="Heading3"/>
      </w:pPr>
      <w:bookmarkStart w:id="543" w:name="bookmark=id.20gsq1z" w:colFirst="0" w:colLast="0"/>
      <w:bookmarkStart w:id="544" w:name="_Toc144361015"/>
      <w:bookmarkEnd w:id="543"/>
      <w:r>
        <w:t>P173 commence avant ou au moment de la fin de (se termine après ou au moment du début de)</w:t>
      </w:r>
      <w:bookmarkEnd w:id="544"/>
    </w:p>
    <w:tbl>
      <w:tblPr>
        <w:tblStyle w:val="affffffff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551C6BEE" w14:textId="77777777" w:rsidTr="00BF18CF">
        <w:tc>
          <w:tcPr>
            <w:tcW w:w="2097" w:type="dxa"/>
          </w:tcPr>
          <w:p w14:paraId="7DE7786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34023E4A" w14:textId="77777777" w:rsidR="00BF18CF" w:rsidRDefault="00E51347">
            <w:r>
              <w:rPr>
                <w:rFonts w:ascii="Consolas" w:eastAsia="Consolas" w:hAnsi="Consolas" w:cs="Consolas"/>
                <w:sz w:val="22"/>
                <w:szCs w:val="22"/>
                <w:shd w:val="clear" w:color="auto" w:fill="EAEEF3"/>
              </w:rPr>
              <w:t>E2_Entité_temporelle</w:t>
            </w:r>
          </w:p>
        </w:tc>
      </w:tr>
      <w:tr w:rsidR="00BF18CF" w14:paraId="6809F803" w14:textId="77777777" w:rsidTr="00BF18CF">
        <w:tc>
          <w:tcPr>
            <w:tcW w:w="2097" w:type="dxa"/>
          </w:tcPr>
          <w:p w14:paraId="3E657B81"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563FC8DF" w14:textId="77777777" w:rsidR="00BF18CF" w:rsidRDefault="00E51347">
            <w:r>
              <w:rPr>
                <w:rFonts w:ascii="Consolas" w:eastAsia="Consolas" w:hAnsi="Consolas" w:cs="Consolas"/>
                <w:sz w:val="22"/>
                <w:szCs w:val="22"/>
                <w:shd w:val="clear" w:color="auto" w:fill="EAEEF3"/>
              </w:rPr>
              <w:t>E2_Entité_temporelle</w:t>
            </w:r>
          </w:p>
        </w:tc>
      </w:tr>
      <w:tr w:rsidR="00BF18CF" w14:paraId="7A81DA11" w14:textId="77777777" w:rsidTr="00BF18CF">
        <w:tc>
          <w:tcPr>
            <w:tcW w:w="2097" w:type="dxa"/>
          </w:tcPr>
          <w:p w14:paraId="617C8599"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011E17C0" w14:textId="77777777" w:rsidR="00BF18CF" w:rsidRDefault="00BF18CF">
            <w:pPr>
              <w:pBdr>
                <w:top w:val="nil"/>
                <w:left w:val="nil"/>
                <w:bottom w:val="nil"/>
                <w:right w:val="nil"/>
                <w:between w:val="nil"/>
              </w:pBdr>
              <w:spacing w:before="36" w:after="36"/>
              <w:rPr>
                <w:color w:val="000000"/>
              </w:rPr>
            </w:pPr>
          </w:p>
        </w:tc>
      </w:tr>
      <w:tr w:rsidR="00BF18CF" w14:paraId="4F4CCCA2" w14:textId="77777777" w:rsidTr="00BF18CF">
        <w:tc>
          <w:tcPr>
            <w:tcW w:w="2097" w:type="dxa"/>
          </w:tcPr>
          <w:p w14:paraId="6297BCA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722D4F6C"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P174_commence_avant_la_fin_de (se_termine_après_le_début_de)</w:t>
            </w:r>
            <w:r>
              <w:t xml:space="preserve"> : </w:t>
            </w:r>
            <w:r>
              <w:rPr>
                <w:rFonts w:ascii="Consolas" w:eastAsia="Consolas" w:hAnsi="Consolas" w:cs="Consolas"/>
                <w:sz w:val="22"/>
                <w:szCs w:val="22"/>
                <w:shd w:val="clear" w:color="auto" w:fill="EAEEF3"/>
              </w:rPr>
              <w:t>E2_Entité_temporelle</w:t>
            </w:r>
          </w:p>
        </w:tc>
      </w:tr>
      <w:tr w:rsidR="00BF18CF" w14:paraId="1625FCC9" w14:textId="77777777" w:rsidTr="00BF18CF">
        <w:tc>
          <w:tcPr>
            <w:tcW w:w="2097" w:type="dxa"/>
          </w:tcPr>
          <w:p w14:paraId="505339FE"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23E4A8A1" w14:textId="77777777" w:rsidR="00BF18CF" w:rsidRDefault="00E51347">
            <w:proofErr w:type="gramStart"/>
            <w:r>
              <w:t>plusieurs</w:t>
            </w:r>
            <w:proofErr w:type="gramEnd"/>
            <w:r>
              <w:t xml:space="preserve"> à plusieurs (0,n,0,n)</w:t>
            </w:r>
          </w:p>
        </w:tc>
      </w:tr>
      <w:tr w:rsidR="00BF18CF" w14:paraId="5E42AE36" w14:textId="77777777" w:rsidTr="00BF18CF">
        <w:tc>
          <w:tcPr>
            <w:tcW w:w="2097" w:type="dxa"/>
          </w:tcPr>
          <w:p w14:paraId="4A5F6BC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49B5C8EB" w14:textId="77777777" w:rsidR="00BF18CF" w:rsidRDefault="00E51347">
            <w:r>
              <w:t xml:space="preserve">Cette propriété spécifie que l’étendue temporelle de l’instance du domaine (A) de </w:t>
            </w:r>
            <w:r>
              <w:rPr>
                <w:rFonts w:ascii="Consolas" w:eastAsia="Consolas" w:hAnsi="Consolas" w:cs="Consolas"/>
                <w:sz w:val="22"/>
                <w:szCs w:val="22"/>
                <w:shd w:val="clear" w:color="auto" w:fill="EAEEF3"/>
              </w:rPr>
              <w:t>E2_Entité_temporelle</w:t>
            </w:r>
            <w:r>
              <w:t xml:space="preserve"> commence avant ou simultanément avec la fin de l’étendue temporelle de l’instance de la portée (B) de </w:t>
            </w:r>
            <w:r>
              <w:rPr>
                <w:rFonts w:ascii="Consolas" w:eastAsia="Consolas" w:hAnsi="Consolas" w:cs="Consolas"/>
                <w:sz w:val="22"/>
                <w:szCs w:val="22"/>
                <w:shd w:val="clear" w:color="auto" w:fill="EAEEF3"/>
              </w:rPr>
              <w:t>E2_Entité_temporelle</w:t>
            </w:r>
            <w:r>
              <w:t>.</w:t>
            </w:r>
          </w:p>
          <w:p w14:paraId="5DE9B83C" w14:textId="77777777" w:rsidR="00BF18CF" w:rsidRDefault="00E51347">
            <w:r>
              <w:lastRenderedPageBreak/>
              <w:t>En d’autres mots,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début</w:t>
            </w:r>
            <w:r>
              <w:t xml:space="preserve"> ≤ B</w:t>
            </w:r>
            <w:r>
              <w:rPr>
                <w:vertAlign w:val="superscript"/>
              </w:rPr>
              <w:t>fin</w:t>
            </w:r>
            <w:r>
              <w:t xml:space="preserve"> est vrai. Cette propriété fait partie de l’ensemble des propriétés temporelles P173 à P176 et P182 à P185.</w:t>
            </w:r>
          </w:p>
          <w:p w14:paraId="6A4DBFF8" w14:textId="34699427" w:rsidR="00BF18CF" w:rsidRDefault="00E51347">
            <w:pPr>
              <w:rPr>
                <w:noProof/>
              </w:rPr>
            </w:pPr>
            <w:r>
              <w:t>Cette propriété correspond à une disjonction (OU logique) des relations définies par l’algèbre des intervalles d’Allen suivantes [Allen, 1983] : {se déroule avant, rencontre, rencontré par, chevauche, démarre, démarré par, contient, finit, fini par, est égal à, durant, chevauché par}.</w:t>
            </w:r>
          </w:p>
          <w:p w14:paraId="3D24F41F" w14:textId="4850306E" w:rsidR="00103833" w:rsidRDefault="00103833">
            <w:r>
              <w:rPr>
                <w:noProof/>
              </w:rPr>
              <w:drawing>
                <wp:inline distT="0" distB="0" distL="0" distR="0" wp14:anchorId="6D98C306" wp14:editId="22FFBF07">
                  <wp:extent cx="5310505" cy="2341880"/>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310505" cy="2341880"/>
                          </a:xfrm>
                          <a:prstGeom prst="rect">
                            <a:avLst/>
                          </a:prstGeom>
                          <a:noFill/>
                          <a:ln>
                            <a:noFill/>
                          </a:ln>
                        </pic:spPr>
                      </pic:pic>
                    </a:graphicData>
                  </a:graphic>
                </wp:inline>
              </w:drawing>
            </w:r>
          </w:p>
          <w:p w14:paraId="43CA75B2" w14:textId="463D300F" w:rsidR="00BF18CF" w:rsidRDefault="00E51347">
            <w:pPr>
              <w:rPr>
                <w:i/>
              </w:rPr>
            </w:pPr>
            <w:r>
              <w:rPr>
                <w:i/>
              </w:rPr>
              <w:t>Figure 8 :</w:t>
            </w:r>
            <w:r>
              <w:t xml:space="preserve"> </w:t>
            </w:r>
            <w:r w:rsidR="00103833" w:rsidRPr="00103833">
              <w:rPr>
                <w:i/>
              </w:rPr>
              <w:t>L'entité temporelle A commence avant ou au moment de la fin de l'entité temporelle B. Ici, A est plus long que B.</w:t>
            </w:r>
          </w:p>
          <w:p w14:paraId="4911F705" w14:textId="5AC4E65D" w:rsidR="00BF18CF" w:rsidRDefault="00103833">
            <w:r>
              <w:rPr>
                <w:noProof/>
              </w:rPr>
              <w:drawing>
                <wp:inline distT="0" distB="0" distL="0" distR="0" wp14:anchorId="299C34D9" wp14:editId="1ED48A28">
                  <wp:extent cx="5310505" cy="2341880"/>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310505" cy="2341880"/>
                          </a:xfrm>
                          <a:prstGeom prst="rect">
                            <a:avLst/>
                          </a:prstGeom>
                          <a:noFill/>
                          <a:ln>
                            <a:noFill/>
                          </a:ln>
                        </pic:spPr>
                      </pic:pic>
                    </a:graphicData>
                  </a:graphic>
                </wp:inline>
              </w:drawing>
            </w:r>
          </w:p>
          <w:p w14:paraId="513E4DFC" w14:textId="0AD08CFB" w:rsidR="00BF18CF" w:rsidRDefault="00E51347">
            <w:r>
              <w:rPr>
                <w:i/>
              </w:rPr>
              <w:t>Figure 9 :</w:t>
            </w:r>
            <w:r>
              <w:t xml:space="preserve"> </w:t>
            </w:r>
            <w:r w:rsidR="00103833" w:rsidRPr="00103833">
              <w:rPr>
                <w:i/>
              </w:rPr>
              <w:t>L'entité temporelle A commence avant ou au moment de la fin de l'entité temporelle B. Ici, A est plus court que B.</w:t>
            </w:r>
          </w:p>
        </w:tc>
      </w:tr>
      <w:tr w:rsidR="00BF18CF" w14:paraId="635C2403" w14:textId="77777777" w:rsidTr="00BF18CF">
        <w:tc>
          <w:tcPr>
            <w:tcW w:w="2097" w:type="dxa"/>
          </w:tcPr>
          <w:p w14:paraId="3F223C83"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93" w:type="dxa"/>
          </w:tcPr>
          <w:p w14:paraId="1F7840D6" w14:textId="77777777" w:rsidR="00BF18CF" w:rsidRDefault="00E51347">
            <w:pPr>
              <w:numPr>
                <w:ilvl w:val="0"/>
                <w:numId w:val="19"/>
              </w:numPr>
            </w:pPr>
            <w:r>
              <w:t>La course légendaire de Marathon à Athènes de 490 AEC (</w:t>
            </w:r>
            <w:r>
              <w:rPr>
                <w:rFonts w:ascii="Consolas" w:eastAsia="Consolas" w:hAnsi="Consolas" w:cs="Consolas"/>
                <w:sz w:val="22"/>
                <w:szCs w:val="22"/>
                <w:shd w:val="clear" w:color="auto" w:fill="EAEEF3"/>
              </w:rPr>
              <w:t>E7_Activité</w:t>
            </w:r>
            <w:r>
              <w:t>) commence avant ou au moment de la fin de (</w:t>
            </w:r>
            <w:r>
              <w:rPr>
                <w:rFonts w:ascii="Consolas" w:eastAsia="Consolas" w:hAnsi="Consolas" w:cs="Consolas"/>
                <w:sz w:val="22"/>
                <w:szCs w:val="22"/>
                <w:shd w:val="clear" w:color="auto" w:fill="EAEEF3"/>
              </w:rPr>
              <w:t>P173_commence_avant_ou_au_moment_de_la_fin_de</w:t>
            </w:r>
            <w:r>
              <w:t>) la bataille de Marathon de 490 AEC (</w:t>
            </w:r>
            <w:r>
              <w:rPr>
                <w:rFonts w:ascii="Consolas" w:eastAsia="Consolas" w:hAnsi="Consolas" w:cs="Consolas"/>
                <w:sz w:val="22"/>
                <w:szCs w:val="22"/>
                <w:shd w:val="clear" w:color="auto" w:fill="EAEEF3"/>
              </w:rPr>
              <w:t>E7_Activité</w:t>
            </w:r>
            <w:r>
              <w:t>)</w:t>
            </w:r>
          </w:p>
        </w:tc>
      </w:tr>
      <w:tr w:rsidR="00BF18CF" w14:paraId="6BC7DE12" w14:textId="77777777" w:rsidTr="00BF18CF">
        <w:tc>
          <w:tcPr>
            <w:tcW w:w="2097" w:type="dxa"/>
          </w:tcPr>
          <w:p w14:paraId="60DE71D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50C2FEE8" w14:textId="77777777" w:rsidR="00BF18CF" w:rsidRDefault="00E51347">
            <w:r>
              <w:t>P173(</w:t>
            </w:r>
            <w:proofErr w:type="gramStart"/>
            <w:r>
              <w:t>x,y</w:t>
            </w:r>
            <w:proofErr w:type="gramEnd"/>
            <w:r>
              <w:t>) ⇒ E2(x)</w:t>
            </w:r>
          </w:p>
          <w:p w14:paraId="63B9D907" w14:textId="77777777" w:rsidR="00BF18CF" w:rsidRDefault="00E51347">
            <w:r>
              <w:t>P173(</w:t>
            </w:r>
            <w:proofErr w:type="gramStart"/>
            <w:r>
              <w:t>x,y</w:t>
            </w:r>
            <w:proofErr w:type="gramEnd"/>
            <w:r>
              <w:t>) ⇒ E2(y)</w:t>
            </w:r>
          </w:p>
        </w:tc>
      </w:tr>
      <w:tr w:rsidR="00BF18CF" w14:paraId="7C466256" w14:textId="77777777" w:rsidTr="00BF18CF">
        <w:tc>
          <w:tcPr>
            <w:tcW w:w="2097" w:type="dxa"/>
          </w:tcPr>
          <w:p w14:paraId="6D9F5465"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593" w:type="dxa"/>
          </w:tcPr>
          <w:p w14:paraId="14758A46" w14:textId="77777777" w:rsidR="00BF18CF" w:rsidRDefault="00BF18CF">
            <w:pPr>
              <w:pBdr>
                <w:top w:val="nil"/>
                <w:left w:val="nil"/>
                <w:bottom w:val="nil"/>
                <w:right w:val="nil"/>
                <w:between w:val="nil"/>
              </w:pBdr>
              <w:spacing w:before="36" w:after="36"/>
              <w:rPr>
                <w:color w:val="000000"/>
              </w:rPr>
            </w:pPr>
          </w:p>
        </w:tc>
      </w:tr>
      <w:tr w:rsidR="00BF18CF" w14:paraId="10F2A3E8" w14:textId="77777777" w:rsidTr="00BF18CF">
        <w:tc>
          <w:tcPr>
            <w:tcW w:w="2097" w:type="dxa"/>
          </w:tcPr>
          <w:p w14:paraId="33378550" w14:textId="77473ECC"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74022281" w14:textId="77777777" w:rsidR="00BF18CF" w:rsidRDefault="00BF18CF">
            <w:pPr>
              <w:pBdr>
                <w:top w:val="nil"/>
                <w:left w:val="nil"/>
                <w:bottom w:val="nil"/>
                <w:right w:val="nil"/>
                <w:between w:val="nil"/>
              </w:pBdr>
              <w:spacing w:before="36" w:after="36"/>
              <w:rPr>
                <w:color w:val="000000"/>
              </w:rPr>
            </w:pPr>
          </w:p>
        </w:tc>
      </w:tr>
      <w:tr w:rsidR="00BF18CF" w14:paraId="4BD51480" w14:textId="77777777" w:rsidTr="00BF18CF">
        <w:tc>
          <w:tcPr>
            <w:tcW w:w="2097" w:type="dxa"/>
          </w:tcPr>
          <w:p w14:paraId="4786A44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1358AC42" w14:textId="77777777" w:rsidR="00BF18CF" w:rsidRDefault="00E51347">
            <w:r>
              <w:t xml:space="preserve">Wikipédia. « Algèbre des intervalles d’Allen ». Dans </w:t>
            </w:r>
            <w:r>
              <w:rPr>
                <w:i/>
              </w:rPr>
              <w:t>Wikipédia</w:t>
            </w:r>
            <w:r>
              <w:t>. San Francisco, US-CA: Wikipédia, 14 janvier 2021.</w:t>
            </w:r>
            <w:hyperlink r:id="rId429">
              <w:r>
                <w:rPr>
                  <w:color w:val="4F81BD"/>
                </w:rPr>
                <w:t xml:space="preserve"> https://fr.wikipedia.org/wiki/Alg%C3%A8bre_des_intervalles_d%27Allen</w:t>
              </w:r>
            </w:hyperlink>
            <w:r>
              <w:t>.</w:t>
            </w:r>
          </w:p>
        </w:tc>
      </w:tr>
    </w:tbl>
    <w:p w14:paraId="48805900" w14:textId="77777777" w:rsidR="00BF18CF" w:rsidRDefault="00E51347">
      <w:pPr>
        <w:pStyle w:val="Heading3"/>
      </w:pPr>
      <w:bookmarkStart w:id="545" w:name="bookmark=id.4kgg8ps" w:colFirst="0" w:colLast="0"/>
      <w:bookmarkStart w:id="546" w:name="_Toc144361016"/>
      <w:bookmarkEnd w:id="545"/>
      <w:r>
        <w:t>P174 commence avant la fin de (se termine après le début de)</w:t>
      </w:r>
      <w:bookmarkEnd w:id="546"/>
    </w:p>
    <w:tbl>
      <w:tblPr>
        <w:tblStyle w:val="affffffff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2968A3B8" w14:textId="77777777" w:rsidTr="00BF18CF">
        <w:tc>
          <w:tcPr>
            <w:tcW w:w="2097" w:type="dxa"/>
          </w:tcPr>
          <w:p w14:paraId="7EE3416B"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6F519FB4" w14:textId="77777777" w:rsidR="00BF18CF" w:rsidRDefault="00E51347">
            <w:r>
              <w:rPr>
                <w:rFonts w:ascii="Consolas" w:eastAsia="Consolas" w:hAnsi="Consolas" w:cs="Consolas"/>
                <w:sz w:val="22"/>
                <w:szCs w:val="22"/>
                <w:shd w:val="clear" w:color="auto" w:fill="EAEEF3"/>
              </w:rPr>
              <w:t>E2_Entité_temporelle</w:t>
            </w:r>
          </w:p>
        </w:tc>
      </w:tr>
      <w:tr w:rsidR="00BF18CF" w14:paraId="31261124" w14:textId="77777777" w:rsidTr="00BF18CF">
        <w:tc>
          <w:tcPr>
            <w:tcW w:w="2097" w:type="dxa"/>
          </w:tcPr>
          <w:p w14:paraId="2E5D8FE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56666463" w14:textId="77777777" w:rsidR="00BF18CF" w:rsidRDefault="00E51347">
            <w:r>
              <w:rPr>
                <w:rFonts w:ascii="Consolas" w:eastAsia="Consolas" w:hAnsi="Consolas" w:cs="Consolas"/>
                <w:sz w:val="22"/>
                <w:szCs w:val="22"/>
                <w:shd w:val="clear" w:color="auto" w:fill="EAEEF3"/>
              </w:rPr>
              <w:t>E2_Entité_temporelle</w:t>
            </w:r>
          </w:p>
        </w:tc>
      </w:tr>
      <w:tr w:rsidR="00BF18CF" w14:paraId="14BE02B8" w14:textId="77777777" w:rsidTr="00BF18CF">
        <w:tc>
          <w:tcPr>
            <w:tcW w:w="2097" w:type="dxa"/>
          </w:tcPr>
          <w:p w14:paraId="1C6C707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07244028"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P173_commence_avant_ou_au_moment_de_la_fin_de (se_termine_après_ou_au_moment_du_début_de)</w:t>
            </w:r>
            <w:r>
              <w:t xml:space="preserve"> : </w:t>
            </w:r>
            <w:r>
              <w:rPr>
                <w:rFonts w:ascii="Consolas" w:eastAsia="Consolas" w:hAnsi="Consolas" w:cs="Consolas"/>
                <w:sz w:val="22"/>
                <w:szCs w:val="22"/>
                <w:shd w:val="clear" w:color="auto" w:fill="EAEEF3"/>
              </w:rPr>
              <w:t>E2_Entité_temporelle</w:t>
            </w:r>
          </w:p>
        </w:tc>
      </w:tr>
      <w:tr w:rsidR="00BF18CF" w14:paraId="1F5EC0FF" w14:textId="77777777" w:rsidTr="00BF18CF">
        <w:tc>
          <w:tcPr>
            <w:tcW w:w="2097" w:type="dxa"/>
          </w:tcPr>
          <w:p w14:paraId="587B0B8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03774811" w14:textId="77777777" w:rsidR="00BF18CF" w:rsidRDefault="00E51347">
            <w:r>
              <w:rPr>
                <w:rFonts w:ascii="Consolas" w:eastAsia="Consolas" w:hAnsi="Consolas" w:cs="Consolas"/>
                <w:sz w:val="22"/>
                <w:szCs w:val="22"/>
                <w:shd w:val="clear" w:color="auto" w:fill="EAEEF3"/>
              </w:rPr>
              <w:t>E7_Activité</w:t>
            </w:r>
            <w:r>
              <w:t xml:space="preserve">. </w:t>
            </w:r>
            <w:r>
              <w:rPr>
                <w:rFonts w:ascii="Consolas" w:eastAsia="Consolas" w:hAnsi="Consolas" w:cs="Consolas"/>
                <w:sz w:val="22"/>
                <w:szCs w:val="22"/>
                <w:shd w:val="clear" w:color="auto" w:fill="EAEEF3"/>
              </w:rPr>
              <w:t>P134_a_continué (a_été_continué_par)</w:t>
            </w:r>
            <w:r>
              <w:t xml:space="preserve"> : </w:t>
            </w:r>
            <w:r>
              <w:rPr>
                <w:rFonts w:ascii="Consolas" w:eastAsia="Consolas" w:hAnsi="Consolas" w:cs="Consolas"/>
                <w:sz w:val="22"/>
                <w:szCs w:val="22"/>
                <w:shd w:val="clear" w:color="auto" w:fill="EAEEF3"/>
              </w:rPr>
              <w:t>E7_Activité</w:t>
            </w:r>
          </w:p>
          <w:p w14:paraId="121462DC"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P175_commence_avant_ou_au_moment_du_début_de (commence_après_ou_au_moment_du_début_de)</w:t>
            </w:r>
            <w:r>
              <w:t xml:space="preserve"> : </w:t>
            </w:r>
            <w:r>
              <w:rPr>
                <w:rFonts w:ascii="Consolas" w:eastAsia="Consolas" w:hAnsi="Consolas" w:cs="Consolas"/>
                <w:sz w:val="22"/>
                <w:szCs w:val="22"/>
                <w:shd w:val="clear" w:color="auto" w:fill="EAEEF3"/>
              </w:rPr>
              <w:t>E2_Entité_temporelle</w:t>
            </w:r>
          </w:p>
          <w:p w14:paraId="33214B9E"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P184_se_termine_avant_ou_au_moment_de_la_fin_de (se_termine_au_moment_ou_après_la_fin_de)</w:t>
            </w:r>
            <w:r>
              <w:t xml:space="preserve"> : </w:t>
            </w:r>
            <w:r>
              <w:rPr>
                <w:rFonts w:ascii="Consolas" w:eastAsia="Consolas" w:hAnsi="Consolas" w:cs="Consolas"/>
                <w:sz w:val="22"/>
                <w:szCs w:val="22"/>
                <w:shd w:val="clear" w:color="auto" w:fill="EAEEF3"/>
              </w:rPr>
              <w:t>E2_Entité_temporelle</w:t>
            </w:r>
          </w:p>
        </w:tc>
      </w:tr>
      <w:tr w:rsidR="00BF18CF" w14:paraId="574FD499" w14:textId="77777777" w:rsidTr="00BF18CF">
        <w:tc>
          <w:tcPr>
            <w:tcW w:w="2097" w:type="dxa"/>
          </w:tcPr>
          <w:p w14:paraId="111EACE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60DB476C" w14:textId="77777777" w:rsidR="00BF18CF" w:rsidRDefault="00E51347">
            <w:proofErr w:type="gramStart"/>
            <w:r>
              <w:t>plusieurs</w:t>
            </w:r>
            <w:proofErr w:type="gramEnd"/>
            <w:r>
              <w:t xml:space="preserve"> à plusieurs (0,n:0,n)</w:t>
            </w:r>
          </w:p>
        </w:tc>
      </w:tr>
      <w:tr w:rsidR="00BF18CF" w14:paraId="69DB18FB" w14:textId="77777777" w:rsidTr="00BF18CF">
        <w:tc>
          <w:tcPr>
            <w:tcW w:w="2097" w:type="dxa"/>
          </w:tcPr>
          <w:p w14:paraId="2C9BCDA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702DFC06" w14:textId="77777777" w:rsidR="00BF18CF" w:rsidRDefault="00E51347">
            <w:r>
              <w:t xml:space="preserve">Cette propriété spécifie que l’étendue temporelle de l'instance du domaine (A) de </w:t>
            </w:r>
            <w:r>
              <w:rPr>
                <w:rFonts w:ascii="Consolas" w:eastAsia="Consolas" w:hAnsi="Consolas" w:cs="Consolas"/>
                <w:sz w:val="22"/>
                <w:szCs w:val="22"/>
                <w:shd w:val="clear" w:color="auto" w:fill="EAEEF3"/>
              </w:rPr>
              <w:t>E2_Entité_temporelle</w:t>
            </w:r>
            <w:r>
              <w:t xml:space="preserve">, commence de manière certaine avant la fin de l’étendue temporelle de l'instance de la portée (B) de </w:t>
            </w:r>
            <w:r>
              <w:rPr>
                <w:rFonts w:ascii="Consolas" w:eastAsia="Consolas" w:hAnsi="Consolas" w:cs="Consolas"/>
                <w:sz w:val="22"/>
                <w:szCs w:val="22"/>
                <w:shd w:val="clear" w:color="auto" w:fill="EAEEF3"/>
              </w:rPr>
              <w:t>E2_Entité_temporelle</w:t>
            </w:r>
            <w:r>
              <w:t>.</w:t>
            </w:r>
          </w:p>
          <w:p w14:paraId="2F2A6964" w14:textId="77777777" w:rsidR="00BF18CF" w:rsidRDefault="00E51347">
            <w:r>
              <w:t>En d’autres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début</w:t>
            </w:r>
            <w:r>
              <w:t xml:space="preserve"> &lt; B</w:t>
            </w:r>
            <w:r>
              <w:rPr>
                <w:vertAlign w:val="superscript"/>
              </w:rPr>
              <w:t>fin</w:t>
            </w:r>
            <w:r>
              <w:t xml:space="preserve"> est vrai.</w:t>
            </w:r>
          </w:p>
          <w:p w14:paraId="0919FADF" w14:textId="77777777" w:rsidR="00BF18CF" w:rsidRDefault="00E51347">
            <w:r>
              <w:t>Cette propriété fait partie de l’ensemble des propriétés temporelles P173 à P176 et P182 à P185.</w:t>
            </w:r>
          </w:p>
          <w:p w14:paraId="44B9F2CF" w14:textId="77777777" w:rsidR="00BF18CF" w:rsidRDefault="00E51347">
            <w:r>
              <w:t>Cette propriété correspond à une disjonction (OU logique) des relations définies par l’algèbre des intervalles d’Allen suivantes [Allen, 1983] : {se déroule avant, rencontre, chevauche, démarre, démarré par, contient, finit, fini par, est égal à, durant, chevauché par}.</w:t>
            </w:r>
          </w:p>
          <w:p w14:paraId="2CA4D913" w14:textId="77777777" w:rsidR="00BF18CF" w:rsidRDefault="00E51347">
            <w:r>
              <w:t>Typiquement, cette propriété est une conséquence de l’influence connue d’un évènement sur un autre évènement ou sur une autre activité, tel que le roman commencé par un actant et poursuivi par un autre actant, ou la connaissance d’une défaite sur un champ de bataille lointain poussant des actants à mettre fin à leurs activités en cours. Cette propriété n’est pas transitive.</w:t>
            </w:r>
          </w:p>
          <w:p w14:paraId="4B287AA1" w14:textId="77777777" w:rsidR="00BF18CF" w:rsidRDefault="00E51347">
            <w:r>
              <w:rPr>
                <w:noProof/>
              </w:rPr>
              <w:lastRenderedPageBreak/>
              <w:drawing>
                <wp:inline distT="0" distB="0" distL="0" distR="0" wp14:anchorId="799BC24A" wp14:editId="677998CD">
                  <wp:extent cx="5156200" cy="2609850"/>
                  <wp:effectExtent l="0" t="0" r="0" b="0"/>
                  <wp:docPr id="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0"/>
                          <a:srcRect/>
                          <a:stretch>
                            <a:fillRect/>
                          </a:stretch>
                        </pic:blipFill>
                        <pic:spPr>
                          <a:xfrm>
                            <a:off x="0" y="0"/>
                            <a:ext cx="5156200" cy="2609850"/>
                          </a:xfrm>
                          <a:prstGeom prst="rect">
                            <a:avLst/>
                          </a:prstGeom>
                          <a:ln/>
                        </pic:spPr>
                      </pic:pic>
                    </a:graphicData>
                  </a:graphic>
                </wp:inline>
              </w:drawing>
            </w:r>
          </w:p>
          <w:p w14:paraId="6AF54C53" w14:textId="77777777" w:rsidR="00BF18CF" w:rsidRDefault="00E51347">
            <w:pPr>
              <w:rPr>
                <w:i/>
              </w:rPr>
            </w:pPr>
            <w:r>
              <w:rPr>
                <w:i/>
              </w:rPr>
              <w:t>Figure 10 : L'entité temporelle A commence avant la fin de l'entité temporelle B. Ici, A est plus long que B.</w:t>
            </w:r>
          </w:p>
          <w:p w14:paraId="5F7E0430" w14:textId="77777777" w:rsidR="00BF18CF" w:rsidRDefault="00E51347">
            <w:r>
              <w:rPr>
                <w:i/>
                <w:noProof/>
              </w:rPr>
              <w:drawing>
                <wp:inline distT="0" distB="0" distL="0" distR="0" wp14:anchorId="3EE7DD7E" wp14:editId="60290FA0">
                  <wp:extent cx="5251450" cy="260985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1"/>
                          <a:srcRect/>
                          <a:stretch>
                            <a:fillRect/>
                          </a:stretch>
                        </pic:blipFill>
                        <pic:spPr>
                          <a:xfrm>
                            <a:off x="0" y="0"/>
                            <a:ext cx="5251450" cy="2609850"/>
                          </a:xfrm>
                          <a:prstGeom prst="rect">
                            <a:avLst/>
                          </a:prstGeom>
                          <a:ln/>
                        </pic:spPr>
                      </pic:pic>
                    </a:graphicData>
                  </a:graphic>
                </wp:inline>
              </w:drawing>
            </w:r>
          </w:p>
          <w:p w14:paraId="00737EFB" w14:textId="77777777" w:rsidR="00BF18CF" w:rsidRDefault="00E51347">
            <w:r>
              <w:rPr>
                <w:i/>
              </w:rPr>
              <w:t>Figure 11 : L'entité temporelle A commence avant la fin de l'entité temporelle B. Ici, A est plus court que B.</w:t>
            </w:r>
          </w:p>
        </w:tc>
      </w:tr>
      <w:tr w:rsidR="00BF18CF" w14:paraId="12693767" w14:textId="77777777" w:rsidTr="00BF18CF">
        <w:tc>
          <w:tcPr>
            <w:tcW w:w="2097" w:type="dxa"/>
          </w:tcPr>
          <w:p w14:paraId="155A3F10"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93" w:type="dxa"/>
          </w:tcPr>
          <w:p w14:paraId="4231FAA4" w14:textId="77777777" w:rsidR="00BF18CF" w:rsidRDefault="00E51347">
            <w:pPr>
              <w:numPr>
                <w:ilvl w:val="0"/>
                <w:numId w:val="19"/>
              </w:numPr>
            </w:pPr>
            <w:r>
              <w:t>Le peuplement de la cité d’Assur (Ashur) (</w:t>
            </w:r>
            <w:r>
              <w:rPr>
                <w:rFonts w:ascii="Consolas" w:eastAsia="Consolas" w:hAnsi="Consolas" w:cs="Consolas"/>
                <w:sz w:val="22"/>
                <w:szCs w:val="22"/>
                <w:shd w:val="clear" w:color="auto" w:fill="EAEEF3"/>
              </w:rPr>
              <w:t>E7_Activité)</w:t>
            </w:r>
            <w:r>
              <w:t xml:space="preserve"> commence avant la fin de (</w:t>
            </w:r>
            <w:r>
              <w:rPr>
                <w:rFonts w:ascii="Consolas" w:eastAsia="Consolas" w:hAnsi="Consolas" w:cs="Consolas"/>
                <w:sz w:val="22"/>
                <w:szCs w:val="22"/>
                <w:shd w:val="clear" w:color="auto" w:fill="EAEEF3"/>
              </w:rPr>
              <w:t>P174_commence_avant_la_fin_de</w:t>
            </w:r>
            <w:r>
              <w:t>) la X</w:t>
            </w:r>
            <w:r>
              <w:rPr>
                <w:vertAlign w:val="superscript"/>
              </w:rPr>
              <w:t>e</w:t>
            </w:r>
            <w:r>
              <w:t xml:space="preserve"> dynastie d’Égypte (</w:t>
            </w:r>
            <w:r>
              <w:rPr>
                <w:rFonts w:ascii="Consolas" w:eastAsia="Consolas" w:hAnsi="Consolas" w:cs="Consolas"/>
                <w:sz w:val="22"/>
                <w:szCs w:val="22"/>
                <w:shd w:val="clear" w:color="auto" w:fill="EAEEF3"/>
              </w:rPr>
              <w:t>E4_Période</w:t>
            </w:r>
            <w:r>
              <w:t>) [Il y a une différence de 200 à 300 ans dans la chronologie de la Première Période intermédiaire, et la fondation de la cité d’Assur est datée « autour de 2500 AEC »] (Pedersen, 1986)</w:t>
            </w:r>
          </w:p>
        </w:tc>
      </w:tr>
      <w:tr w:rsidR="00BF18CF" w14:paraId="365A4813" w14:textId="77777777" w:rsidTr="00BF18CF">
        <w:tc>
          <w:tcPr>
            <w:tcW w:w="2097" w:type="dxa"/>
          </w:tcPr>
          <w:p w14:paraId="697F2B61"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4EB01496" w14:textId="77777777" w:rsidR="00BF18CF" w:rsidRDefault="00E51347">
            <w:r>
              <w:t>P174(</w:t>
            </w:r>
            <w:proofErr w:type="gramStart"/>
            <w:r>
              <w:t>x,y</w:t>
            </w:r>
            <w:proofErr w:type="gramEnd"/>
            <w:r>
              <w:t>) ⇒ E2(x)</w:t>
            </w:r>
          </w:p>
          <w:p w14:paraId="54128AFE" w14:textId="77777777" w:rsidR="00BF18CF" w:rsidRDefault="00E51347">
            <w:r>
              <w:t>P174(</w:t>
            </w:r>
            <w:proofErr w:type="gramStart"/>
            <w:r>
              <w:t>x,y</w:t>
            </w:r>
            <w:proofErr w:type="gramEnd"/>
            <w:r>
              <w:t>) ⇒ E2(y)</w:t>
            </w:r>
          </w:p>
          <w:p w14:paraId="666B1D92" w14:textId="77777777" w:rsidR="00BF18CF" w:rsidRDefault="00E51347">
            <w:r>
              <w:t>P174(</w:t>
            </w:r>
            <w:proofErr w:type="gramStart"/>
            <w:r>
              <w:t>x,y</w:t>
            </w:r>
            <w:proofErr w:type="gramEnd"/>
            <w:r>
              <w:t>) ⇒ P173(x,y)</w:t>
            </w:r>
          </w:p>
        </w:tc>
      </w:tr>
      <w:tr w:rsidR="00BF18CF" w14:paraId="221CE25A" w14:textId="77777777" w:rsidTr="00BF18CF">
        <w:tc>
          <w:tcPr>
            <w:tcW w:w="2097" w:type="dxa"/>
          </w:tcPr>
          <w:p w14:paraId="408BD92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50171F69" w14:textId="77777777" w:rsidR="00BF18CF" w:rsidRDefault="00BF18CF">
            <w:pPr>
              <w:pBdr>
                <w:top w:val="nil"/>
                <w:left w:val="nil"/>
                <w:bottom w:val="nil"/>
                <w:right w:val="nil"/>
                <w:between w:val="nil"/>
              </w:pBdr>
              <w:spacing w:before="36" w:after="36"/>
              <w:rPr>
                <w:color w:val="000000"/>
              </w:rPr>
            </w:pPr>
          </w:p>
        </w:tc>
      </w:tr>
      <w:tr w:rsidR="00BF18CF" w14:paraId="4E3981DE" w14:textId="77777777" w:rsidTr="00BF18CF">
        <w:tc>
          <w:tcPr>
            <w:tcW w:w="2097" w:type="dxa"/>
          </w:tcPr>
          <w:p w14:paraId="49245D0E" w14:textId="73E9BFD3" w:rsidR="00BF18CF" w:rsidRDefault="00F27208">
            <w:pPr>
              <w:pBdr>
                <w:top w:val="nil"/>
                <w:left w:val="nil"/>
                <w:bottom w:val="nil"/>
                <w:right w:val="nil"/>
                <w:between w:val="nil"/>
              </w:pBdr>
              <w:spacing w:before="36" w:after="36"/>
              <w:rPr>
                <w:color w:val="000000"/>
              </w:rPr>
            </w:pPr>
            <w:r>
              <w:rPr>
                <w:b/>
                <w:i/>
                <w:color w:val="000000"/>
              </w:rPr>
              <w:lastRenderedPageBreak/>
              <w:t>Note de traduction</w:t>
            </w:r>
          </w:p>
        </w:tc>
        <w:tc>
          <w:tcPr>
            <w:tcW w:w="8593" w:type="dxa"/>
          </w:tcPr>
          <w:p w14:paraId="1312AB12" w14:textId="77777777" w:rsidR="00BF18CF" w:rsidRDefault="00BF18CF">
            <w:pPr>
              <w:pBdr>
                <w:top w:val="nil"/>
                <w:left w:val="nil"/>
                <w:bottom w:val="nil"/>
                <w:right w:val="nil"/>
                <w:between w:val="nil"/>
              </w:pBdr>
              <w:spacing w:before="36" w:after="36"/>
              <w:rPr>
                <w:color w:val="000000"/>
              </w:rPr>
            </w:pPr>
          </w:p>
        </w:tc>
      </w:tr>
      <w:tr w:rsidR="00BF18CF" w14:paraId="14FECC2A" w14:textId="77777777" w:rsidTr="00BF18CF">
        <w:tc>
          <w:tcPr>
            <w:tcW w:w="2097" w:type="dxa"/>
          </w:tcPr>
          <w:p w14:paraId="0F38018F"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72A0919B" w14:textId="77777777" w:rsidR="00BF18CF" w:rsidRDefault="00E51347">
            <w:r>
              <w:t xml:space="preserve">Wikipédia. « Algèbre des intervalles d’Allen ». Dans </w:t>
            </w:r>
            <w:r>
              <w:rPr>
                <w:i/>
              </w:rPr>
              <w:t>Wikipédia</w:t>
            </w:r>
            <w:r>
              <w:t>. San Francisco, US-CA: Wikipédia, 14 janvier 2021.</w:t>
            </w:r>
            <w:hyperlink r:id="rId432">
              <w:r>
                <w:rPr>
                  <w:color w:val="4F81BD"/>
                </w:rPr>
                <w:t xml:space="preserve"> https://fr.wikipedia.org/wiki/Alg%C3%A8bre_des_intervalles_d%27Allen</w:t>
              </w:r>
            </w:hyperlink>
            <w:r>
              <w:t>.</w:t>
            </w:r>
          </w:p>
        </w:tc>
      </w:tr>
    </w:tbl>
    <w:p w14:paraId="0DEB2D9E" w14:textId="77777777" w:rsidR="00BF18CF" w:rsidRDefault="00E51347">
      <w:pPr>
        <w:pStyle w:val="Heading3"/>
      </w:pPr>
      <w:bookmarkStart w:id="547" w:name="bookmark=id.2zlqixl" w:colFirst="0" w:colLast="0"/>
      <w:bookmarkStart w:id="548" w:name="_Toc144361017"/>
      <w:bookmarkEnd w:id="547"/>
      <w:r>
        <w:t>P175 commence avant ou au moment du début de (commence après ou au moment du début de)</w:t>
      </w:r>
      <w:bookmarkEnd w:id="548"/>
    </w:p>
    <w:tbl>
      <w:tblPr>
        <w:tblStyle w:val="affffffff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60BA945E" w14:textId="77777777" w:rsidTr="00BF18CF">
        <w:tc>
          <w:tcPr>
            <w:tcW w:w="2097" w:type="dxa"/>
          </w:tcPr>
          <w:p w14:paraId="1241CF6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01BD92EF" w14:textId="77777777" w:rsidR="00BF18CF" w:rsidRDefault="00E51347">
            <w:r>
              <w:rPr>
                <w:rFonts w:ascii="Consolas" w:eastAsia="Consolas" w:hAnsi="Consolas" w:cs="Consolas"/>
                <w:sz w:val="22"/>
                <w:szCs w:val="22"/>
                <w:shd w:val="clear" w:color="auto" w:fill="EAEEF3"/>
              </w:rPr>
              <w:t>E2_Entité_temporelle</w:t>
            </w:r>
          </w:p>
        </w:tc>
      </w:tr>
      <w:tr w:rsidR="00BF18CF" w14:paraId="6D0D03E6" w14:textId="77777777" w:rsidTr="00BF18CF">
        <w:tc>
          <w:tcPr>
            <w:tcW w:w="2097" w:type="dxa"/>
          </w:tcPr>
          <w:p w14:paraId="70DAC72B"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1417B87B" w14:textId="77777777" w:rsidR="00BF18CF" w:rsidRDefault="00E51347">
            <w:r>
              <w:rPr>
                <w:rFonts w:ascii="Consolas" w:eastAsia="Consolas" w:hAnsi="Consolas" w:cs="Consolas"/>
                <w:sz w:val="22"/>
                <w:szCs w:val="22"/>
                <w:shd w:val="clear" w:color="auto" w:fill="EAEEF3"/>
              </w:rPr>
              <w:t>E2_Entité_temporelle</w:t>
            </w:r>
          </w:p>
        </w:tc>
      </w:tr>
      <w:tr w:rsidR="00BF18CF" w14:paraId="6369E0C2" w14:textId="77777777" w:rsidTr="00BF18CF">
        <w:tc>
          <w:tcPr>
            <w:tcW w:w="2097" w:type="dxa"/>
          </w:tcPr>
          <w:p w14:paraId="275B77C1"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7B0E01D9"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P174_commence_avant_la_fin_de (se_termine_après_le_début_de)</w:t>
            </w:r>
            <w:r>
              <w:t xml:space="preserve"> : </w:t>
            </w:r>
            <w:r>
              <w:rPr>
                <w:rFonts w:ascii="Consolas" w:eastAsia="Consolas" w:hAnsi="Consolas" w:cs="Consolas"/>
                <w:sz w:val="22"/>
                <w:szCs w:val="22"/>
                <w:shd w:val="clear" w:color="auto" w:fill="EAEEF3"/>
              </w:rPr>
              <w:t>E2_Entité_temporelle</w:t>
            </w:r>
          </w:p>
        </w:tc>
      </w:tr>
      <w:tr w:rsidR="00BF18CF" w14:paraId="5DBC2E42" w14:textId="77777777" w:rsidTr="00BF18CF">
        <w:tc>
          <w:tcPr>
            <w:tcW w:w="2097" w:type="dxa"/>
          </w:tcPr>
          <w:p w14:paraId="6FE0674A"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0EE7628B"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P176_commence_avant_le_début_de (commence_après_le_début_de)</w:t>
            </w:r>
            <w:r>
              <w:t xml:space="preserve"> : </w:t>
            </w:r>
            <w:r>
              <w:rPr>
                <w:rFonts w:ascii="Consolas" w:eastAsia="Consolas" w:hAnsi="Consolas" w:cs="Consolas"/>
                <w:sz w:val="22"/>
                <w:szCs w:val="22"/>
                <w:shd w:val="clear" w:color="auto" w:fill="EAEEF3"/>
              </w:rPr>
              <w:t>E2_Entité_temporelle</w:t>
            </w:r>
          </w:p>
        </w:tc>
      </w:tr>
      <w:tr w:rsidR="00BF18CF" w14:paraId="6E82CEB7" w14:textId="77777777" w:rsidTr="00BF18CF">
        <w:tc>
          <w:tcPr>
            <w:tcW w:w="2097" w:type="dxa"/>
          </w:tcPr>
          <w:p w14:paraId="174789E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2E82E473" w14:textId="77777777" w:rsidR="00BF18CF" w:rsidRDefault="00E51347">
            <w:proofErr w:type="gramStart"/>
            <w:r>
              <w:t>plusieurs</w:t>
            </w:r>
            <w:proofErr w:type="gramEnd"/>
            <w:r>
              <w:t xml:space="preserve"> à plusieurs (0,n,0,n)</w:t>
            </w:r>
          </w:p>
        </w:tc>
      </w:tr>
      <w:tr w:rsidR="00BF18CF" w14:paraId="63599E2E" w14:textId="77777777" w:rsidTr="00BF18CF">
        <w:tc>
          <w:tcPr>
            <w:tcW w:w="2097" w:type="dxa"/>
          </w:tcPr>
          <w:p w14:paraId="2B413280"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7F3B2140" w14:textId="77777777" w:rsidR="00BF18CF" w:rsidRDefault="00E51347">
            <w:r>
              <w:t xml:space="preserve">Cette propriété spécifie que l’étendue temporelle de l'instance du domaine (A) de </w:t>
            </w:r>
            <w:r>
              <w:rPr>
                <w:rFonts w:ascii="Consolas" w:eastAsia="Consolas" w:hAnsi="Consolas" w:cs="Consolas"/>
                <w:sz w:val="22"/>
                <w:szCs w:val="22"/>
                <w:shd w:val="clear" w:color="auto" w:fill="EAEEF3"/>
              </w:rPr>
              <w:t>E2_Entité_temporelle</w:t>
            </w:r>
            <w:r>
              <w:t xml:space="preserve">, commence avant ou au moment du début de l'étendue temporelle de l'instance de la portée (B) de </w:t>
            </w:r>
            <w:r>
              <w:rPr>
                <w:rFonts w:ascii="Consolas" w:eastAsia="Consolas" w:hAnsi="Consolas" w:cs="Consolas"/>
                <w:sz w:val="22"/>
                <w:szCs w:val="22"/>
                <w:shd w:val="clear" w:color="auto" w:fill="EAEEF3"/>
              </w:rPr>
              <w:t>E2_Entité_</w:t>
            </w:r>
            <w:proofErr w:type="gramStart"/>
            <w:r>
              <w:rPr>
                <w:rFonts w:ascii="Consolas" w:eastAsia="Consolas" w:hAnsi="Consolas" w:cs="Consolas"/>
                <w:sz w:val="22"/>
                <w:szCs w:val="22"/>
                <w:shd w:val="clear" w:color="auto" w:fill="EAEEF3"/>
              </w:rPr>
              <w:t>temporelle</w:t>
            </w:r>
            <w:r>
              <w:t xml:space="preserve"> .</w:t>
            </w:r>
            <w:proofErr w:type="gramEnd"/>
          </w:p>
          <w:p w14:paraId="1A77A2C4" w14:textId="77777777" w:rsidR="00BF18CF" w:rsidRDefault="00E51347">
            <w:r>
              <w:t>En d'autres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début</w:t>
            </w:r>
            <w:r>
              <w:t xml:space="preserve"> ≤ B</w:t>
            </w:r>
            <w:r>
              <w:rPr>
                <w:vertAlign w:val="superscript"/>
              </w:rPr>
              <w:t>début</w:t>
            </w:r>
            <w:r>
              <w:t xml:space="preserve"> est vrai.</w:t>
            </w:r>
          </w:p>
          <w:p w14:paraId="7AABFF42" w14:textId="77777777" w:rsidR="00BF18CF" w:rsidRDefault="00E51347">
            <w:r>
              <w:t>Cette propriété fait partie de l’ensemble des propriétés temporelles P173 à P176 et P182 à P185.</w:t>
            </w:r>
          </w:p>
          <w:p w14:paraId="336C80D0" w14:textId="77777777" w:rsidR="00BF18CF" w:rsidRDefault="00E51347">
            <w:r>
              <w:t>Cette propriété correspond à une disjonction (OU logique) des relations définies par l’algèbre des intervalles d’Allen suivantes [Allen, 1983] : {se déroule avant, rencontre, chevauche, démarre, démarré par, contient, fini par, est égal à}</w:t>
            </w:r>
          </w:p>
          <w:p w14:paraId="64966C86" w14:textId="77777777" w:rsidR="00BF18CF" w:rsidRDefault="00E51347">
            <w:r>
              <w:t>Dans un modèle avec des limites floues, cette propriété n’est pas transitive.</w:t>
            </w:r>
          </w:p>
          <w:p w14:paraId="79CE3D06" w14:textId="03F997A4" w:rsidR="00BF18CF" w:rsidRDefault="00103833">
            <w:r>
              <w:rPr>
                <w:noProof/>
              </w:rPr>
              <w:drawing>
                <wp:inline distT="0" distB="0" distL="0" distR="0" wp14:anchorId="66AB330A" wp14:editId="3A8E665C">
                  <wp:extent cx="5310505" cy="23050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310505" cy="2305050"/>
                          </a:xfrm>
                          <a:prstGeom prst="rect">
                            <a:avLst/>
                          </a:prstGeom>
                          <a:noFill/>
                          <a:ln>
                            <a:noFill/>
                          </a:ln>
                        </pic:spPr>
                      </pic:pic>
                    </a:graphicData>
                  </a:graphic>
                </wp:inline>
              </w:drawing>
            </w:r>
          </w:p>
          <w:p w14:paraId="7808020B" w14:textId="6496F0B1" w:rsidR="00BF18CF" w:rsidRDefault="00E51347">
            <w:pPr>
              <w:rPr>
                <w:i/>
              </w:rPr>
            </w:pPr>
            <w:r>
              <w:rPr>
                <w:i/>
              </w:rPr>
              <w:lastRenderedPageBreak/>
              <w:t xml:space="preserve">Figure 12 : </w:t>
            </w:r>
            <w:r w:rsidR="00103833" w:rsidRPr="00103833">
              <w:rPr>
                <w:i/>
              </w:rPr>
              <w:t>L'entité temporelle A commence avant ou au moment du début de l'entité temporelle B. Ici, A est plus long que B.</w:t>
            </w:r>
          </w:p>
          <w:p w14:paraId="66434B5E" w14:textId="7F871A87" w:rsidR="00BF18CF" w:rsidRDefault="00103833">
            <w:r>
              <w:rPr>
                <w:noProof/>
              </w:rPr>
              <w:drawing>
                <wp:inline distT="0" distB="0" distL="0" distR="0" wp14:anchorId="2B0CDB04" wp14:editId="0C2B9887">
                  <wp:extent cx="5310505" cy="23050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310505" cy="2305050"/>
                          </a:xfrm>
                          <a:prstGeom prst="rect">
                            <a:avLst/>
                          </a:prstGeom>
                          <a:noFill/>
                          <a:ln>
                            <a:noFill/>
                          </a:ln>
                        </pic:spPr>
                      </pic:pic>
                    </a:graphicData>
                  </a:graphic>
                </wp:inline>
              </w:drawing>
            </w:r>
          </w:p>
          <w:p w14:paraId="3EAF3A3A" w14:textId="565B4334" w:rsidR="00BF18CF" w:rsidRDefault="00E51347">
            <w:r>
              <w:rPr>
                <w:i/>
              </w:rPr>
              <w:t xml:space="preserve">Figure 13 : </w:t>
            </w:r>
            <w:r w:rsidR="00103833" w:rsidRPr="00103833">
              <w:rPr>
                <w:i/>
              </w:rPr>
              <w:t>L'entité temporelle A commence avant ou au moment du début de l'entité temporelle B. Ici, A est plus court que B.</w:t>
            </w:r>
          </w:p>
        </w:tc>
      </w:tr>
      <w:tr w:rsidR="00BF18CF" w14:paraId="419FA799" w14:textId="77777777" w:rsidTr="00BF18CF">
        <w:tc>
          <w:tcPr>
            <w:tcW w:w="2097" w:type="dxa"/>
          </w:tcPr>
          <w:p w14:paraId="0016461F"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93" w:type="dxa"/>
          </w:tcPr>
          <w:p w14:paraId="718CCCF4" w14:textId="77777777" w:rsidR="00BF18CF" w:rsidRDefault="00BF18CF">
            <w:pPr>
              <w:pBdr>
                <w:top w:val="nil"/>
                <w:left w:val="nil"/>
                <w:bottom w:val="nil"/>
                <w:right w:val="nil"/>
                <w:between w:val="nil"/>
              </w:pBdr>
              <w:spacing w:before="36" w:after="36"/>
              <w:rPr>
                <w:color w:val="000000"/>
              </w:rPr>
            </w:pPr>
          </w:p>
        </w:tc>
      </w:tr>
      <w:tr w:rsidR="00BF18CF" w14:paraId="24F1420D" w14:textId="77777777" w:rsidTr="00BF18CF">
        <w:tc>
          <w:tcPr>
            <w:tcW w:w="2097" w:type="dxa"/>
          </w:tcPr>
          <w:p w14:paraId="24ED82E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46C3CE74" w14:textId="77777777" w:rsidR="00BF18CF" w:rsidRDefault="00E51347">
            <w:r>
              <w:t>P175(</w:t>
            </w:r>
            <w:proofErr w:type="gramStart"/>
            <w:r>
              <w:t>x,y</w:t>
            </w:r>
            <w:proofErr w:type="gramEnd"/>
            <w:r>
              <w:t>) ⇒ E2(x)</w:t>
            </w:r>
          </w:p>
          <w:p w14:paraId="60D41F9D" w14:textId="77777777" w:rsidR="00BF18CF" w:rsidRDefault="00E51347">
            <w:r>
              <w:t>P175(</w:t>
            </w:r>
            <w:proofErr w:type="gramStart"/>
            <w:r>
              <w:t>x,y</w:t>
            </w:r>
            <w:proofErr w:type="gramEnd"/>
            <w:r>
              <w:t>) ⇒ E2(y)</w:t>
            </w:r>
          </w:p>
          <w:p w14:paraId="44CDC451" w14:textId="77777777" w:rsidR="00BF18CF" w:rsidRDefault="00E51347">
            <w:r>
              <w:t>P175(</w:t>
            </w:r>
            <w:proofErr w:type="gramStart"/>
            <w:r>
              <w:t>x,y</w:t>
            </w:r>
            <w:proofErr w:type="gramEnd"/>
            <w:r>
              <w:t>) ⇒ P174(x,y)</w:t>
            </w:r>
          </w:p>
        </w:tc>
      </w:tr>
      <w:tr w:rsidR="00BF18CF" w14:paraId="2B327F59" w14:textId="77777777" w:rsidTr="00BF18CF">
        <w:tc>
          <w:tcPr>
            <w:tcW w:w="2097" w:type="dxa"/>
          </w:tcPr>
          <w:p w14:paraId="567FB26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3" w:type="dxa"/>
          </w:tcPr>
          <w:p w14:paraId="7BEC16C5" w14:textId="77777777" w:rsidR="00BF18CF" w:rsidRDefault="00BF18CF">
            <w:pPr>
              <w:pBdr>
                <w:top w:val="nil"/>
                <w:left w:val="nil"/>
                <w:bottom w:val="nil"/>
                <w:right w:val="nil"/>
                <w:between w:val="nil"/>
              </w:pBdr>
              <w:spacing w:before="36" w:after="36"/>
              <w:rPr>
                <w:color w:val="000000"/>
              </w:rPr>
            </w:pPr>
          </w:p>
        </w:tc>
      </w:tr>
      <w:tr w:rsidR="00BF18CF" w14:paraId="39E43A7C" w14:textId="77777777" w:rsidTr="00BF18CF">
        <w:tc>
          <w:tcPr>
            <w:tcW w:w="2097" w:type="dxa"/>
          </w:tcPr>
          <w:p w14:paraId="4B4C55DE" w14:textId="2BC0A11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4A870C00" w14:textId="77777777" w:rsidR="00BF18CF" w:rsidRDefault="00BF18CF">
            <w:pPr>
              <w:pBdr>
                <w:top w:val="nil"/>
                <w:left w:val="nil"/>
                <w:bottom w:val="nil"/>
                <w:right w:val="nil"/>
                <w:between w:val="nil"/>
              </w:pBdr>
              <w:spacing w:before="36" w:after="36"/>
              <w:rPr>
                <w:color w:val="000000"/>
              </w:rPr>
            </w:pPr>
          </w:p>
        </w:tc>
      </w:tr>
      <w:tr w:rsidR="00BF18CF" w14:paraId="0262AD60" w14:textId="77777777" w:rsidTr="00BF18CF">
        <w:tc>
          <w:tcPr>
            <w:tcW w:w="2097" w:type="dxa"/>
          </w:tcPr>
          <w:p w14:paraId="03A482C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593932E7" w14:textId="77777777" w:rsidR="00BF18CF" w:rsidRDefault="00E51347">
            <w:r>
              <w:t xml:space="preserve">Wikipédia. « Algèbre des intervalles d’Allen ». Dans </w:t>
            </w:r>
            <w:r>
              <w:rPr>
                <w:i/>
              </w:rPr>
              <w:t>Wikipédia</w:t>
            </w:r>
            <w:r>
              <w:t>. San Francisco, US-CA: Wikipédia, 14 janvier 2021.</w:t>
            </w:r>
            <w:hyperlink r:id="rId435">
              <w:r>
                <w:rPr>
                  <w:color w:val="4F81BD"/>
                </w:rPr>
                <w:t xml:space="preserve"> https://fr.wikipedia.org/wiki/Alg%C3%A8bre_des_intervalles_d%27Allen</w:t>
              </w:r>
            </w:hyperlink>
            <w:r>
              <w:t>.</w:t>
            </w:r>
          </w:p>
        </w:tc>
      </w:tr>
    </w:tbl>
    <w:p w14:paraId="1EA1ED1B" w14:textId="77777777" w:rsidR="00BF18CF" w:rsidRDefault="00E51347">
      <w:pPr>
        <w:pStyle w:val="Heading3"/>
      </w:pPr>
      <w:bookmarkStart w:id="549" w:name="bookmark=id.1er0t5e" w:colFirst="0" w:colLast="0"/>
      <w:bookmarkStart w:id="550" w:name="_Toc144361018"/>
      <w:bookmarkEnd w:id="549"/>
      <w:r>
        <w:t>P176 commence avant le début de (commence après le début de)</w:t>
      </w:r>
      <w:bookmarkEnd w:id="550"/>
    </w:p>
    <w:tbl>
      <w:tblPr>
        <w:tblStyle w:val="affffffff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7"/>
        <w:gridCol w:w="8593"/>
      </w:tblGrid>
      <w:tr w:rsidR="00BF18CF" w14:paraId="12044A93" w14:textId="77777777" w:rsidTr="00BF18CF">
        <w:tc>
          <w:tcPr>
            <w:tcW w:w="2097" w:type="dxa"/>
          </w:tcPr>
          <w:p w14:paraId="4511E540"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3" w:type="dxa"/>
          </w:tcPr>
          <w:p w14:paraId="5A949AD2" w14:textId="77777777" w:rsidR="00BF18CF" w:rsidRDefault="00E51347">
            <w:r>
              <w:rPr>
                <w:rFonts w:ascii="Consolas" w:eastAsia="Consolas" w:hAnsi="Consolas" w:cs="Consolas"/>
                <w:sz w:val="22"/>
                <w:szCs w:val="22"/>
                <w:shd w:val="clear" w:color="auto" w:fill="EAEEF3"/>
              </w:rPr>
              <w:t>E2_Entité_temporelle</w:t>
            </w:r>
          </w:p>
        </w:tc>
      </w:tr>
      <w:tr w:rsidR="00BF18CF" w14:paraId="545249AF" w14:textId="77777777" w:rsidTr="00BF18CF">
        <w:tc>
          <w:tcPr>
            <w:tcW w:w="2097" w:type="dxa"/>
          </w:tcPr>
          <w:p w14:paraId="49ADAC8A"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3" w:type="dxa"/>
          </w:tcPr>
          <w:p w14:paraId="26C0FA62" w14:textId="77777777" w:rsidR="00BF18CF" w:rsidRDefault="00E51347">
            <w:r>
              <w:rPr>
                <w:rFonts w:ascii="Consolas" w:eastAsia="Consolas" w:hAnsi="Consolas" w:cs="Consolas"/>
                <w:sz w:val="22"/>
                <w:szCs w:val="22"/>
                <w:shd w:val="clear" w:color="auto" w:fill="EAEEF3"/>
              </w:rPr>
              <w:t>E2_Entité_temporelle</w:t>
            </w:r>
          </w:p>
        </w:tc>
      </w:tr>
      <w:tr w:rsidR="00BF18CF" w14:paraId="6FB60CC0" w14:textId="77777777" w:rsidTr="00BF18CF">
        <w:tc>
          <w:tcPr>
            <w:tcW w:w="2097" w:type="dxa"/>
          </w:tcPr>
          <w:p w14:paraId="73E18E5F"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3" w:type="dxa"/>
          </w:tcPr>
          <w:p w14:paraId="2F1FBD83"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P175_commence_avant_ou_au_moment_du_début_de (commence_après_ou_au_moment_du_début_de)</w:t>
            </w:r>
            <w:r>
              <w:t xml:space="preserve"> : </w:t>
            </w:r>
            <w:r>
              <w:rPr>
                <w:rFonts w:ascii="Consolas" w:eastAsia="Consolas" w:hAnsi="Consolas" w:cs="Consolas"/>
                <w:sz w:val="22"/>
                <w:szCs w:val="22"/>
                <w:shd w:val="clear" w:color="auto" w:fill="EAEEF3"/>
              </w:rPr>
              <w:t>E2_Entité_temporelle</w:t>
            </w:r>
          </w:p>
        </w:tc>
      </w:tr>
      <w:tr w:rsidR="00BF18CF" w14:paraId="6DAEA16A" w14:textId="77777777" w:rsidTr="00BF18CF">
        <w:tc>
          <w:tcPr>
            <w:tcW w:w="2097" w:type="dxa"/>
          </w:tcPr>
          <w:p w14:paraId="36140A8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3" w:type="dxa"/>
          </w:tcPr>
          <w:p w14:paraId="39E3A7F1"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P182_se_termine_avant_ou_au_moment_du_début_de (commence_après_ou_au_moment_de_la_fin_de)</w:t>
            </w:r>
            <w:r>
              <w:t xml:space="preserve"> : </w:t>
            </w:r>
            <w:r>
              <w:rPr>
                <w:rFonts w:ascii="Consolas" w:eastAsia="Consolas" w:hAnsi="Consolas" w:cs="Consolas"/>
                <w:sz w:val="22"/>
                <w:szCs w:val="22"/>
                <w:shd w:val="clear" w:color="auto" w:fill="EAEEF3"/>
              </w:rPr>
              <w:t>E2_Entité_temporelle</w:t>
            </w:r>
          </w:p>
        </w:tc>
      </w:tr>
      <w:tr w:rsidR="00BF18CF" w14:paraId="470354CA" w14:textId="77777777" w:rsidTr="00BF18CF">
        <w:tc>
          <w:tcPr>
            <w:tcW w:w="2097" w:type="dxa"/>
          </w:tcPr>
          <w:p w14:paraId="5F7349AE"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3" w:type="dxa"/>
          </w:tcPr>
          <w:p w14:paraId="64DE80E2" w14:textId="77777777" w:rsidR="00BF18CF" w:rsidRDefault="00E51347">
            <w:proofErr w:type="gramStart"/>
            <w:r>
              <w:t>plusieurs</w:t>
            </w:r>
            <w:proofErr w:type="gramEnd"/>
            <w:r>
              <w:t xml:space="preserve"> à plusieurs (0,n,0,n)</w:t>
            </w:r>
          </w:p>
        </w:tc>
      </w:tr>
      <w:tr w:rsidR="00BF18CF" w14:paraId="608D8633" w14:textId="77777777" w:rsidTr="00BF18CF">
        <w:tc>
          <w:tcPr>
            <w:tcW w:w="2097" w:type="dxa"/>
          </w:tcPr>
          <w:p w14:paraId="65D8986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3" w:type="dxa"/>
          </w:tcPr>
          <w:p w14:paraId="415CA601" w14:textId="77777777" w:rsidR="00BF18CF" w:rsidRDefault="00E51347">
            <w:r>
              <w:t xml:space="preserve">Cette propriété spécifie que l’étendue temporelle de l'instance du domaine (A) de </w:t>
            </w:r>
            <w:r>
              <w:rPr>
                <w:rFonts w:ascii="Consolas" w:eastAsia="Consolas" w:hAnsi="Consolas" w:cs="Consolas"/>
                <w:sz w:val="22"/>
                <w:szCs w:val="22"/>
                <w:shd w:val="clear" w:color="auto" w:fill="EAEEF3"/>
              </w:rPr>
              <w:t>E2_Entité_temporelle</w:t>
            </w:r>
            <w:r>
              <w:t xml:space="preserve">, commence de manière certaine avant le début de l’étendue temporelle de l'instance de la portée (B) de </w:t>
            </w:r>
            <w:r>
              <w:rPr>
                <w:rFonts w:ascii="Consolas" w:eastAsia="Consolas" w:hAnsi="Consolas" w:cs="Consolas"/>
                <w:sz w:val="22"/>
                <w:szCs w:val="22"/>
                <w:shd w:val="clear" w:color="auto" w:fill="EAEEF3"/>
              </w:rPr>
              <w:t>E2_Entité_temporelle</w:t>
            </w:r>
            <w:r>
              <w:t>.</w:t>
            </w:r>
          </w:p>
          <w:p w14:paraId="1A593960" w14:textId="77777777" w:rsidR="00BF18CF" w:rsidRDefault="00E51347">
            <w:r>
              <w:lastRenderedPageBreak/>
              <w:t xml:space="preserve">En d’autres termes, si A </w:t>
            </w:r>
            <w:proofErr w:type="gramStart"/>
            <w:r>
              <w:t>=[</w:t>
            </w:r>
            <w:proofErr w:type="gramEnd"/>
            <w:r>
              <w:t>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début</w:t>
            </w:r>
            <w:r>
              <w:t xml:space="preserve"> &lt; B</w:t>
            </w:r>
            <w:r>
              <w:rPr>
                <w:vertAlign w:val="superscript"/>
              </w:rPr>
              <w:t>début</w:t>
            </w:r>
            <w:r>
              <w:t xml:space="preserve"> est vrai.</w:t>
            </w:r>
          </w:p>
          <w:p w14:paraId="6BFAD683" w14:textId="77777777" w:rsidR="00BF18CF" w:rsidRDefault="00E51347">
            <w:r>
              <w:t>Cette propriété fait partie de l’ensemble des propriétés temporelles P173 à P176 et P182 à P185.</w:t>
            </w:r>
          </w:p>
          <w:p w14:paraId="11045A1A" w14:textId="77777777" w:rsidR="00BF18CF" w:rsidRDefault="00E51347">
            <w:r>
              <w:t>Cette propriété correspond à une disjonction (OU logique) des relations définies par l’algèbre des intervalles d’Allen suivantes [Allen, 1983] : {se déroule avant, rencontre, chevauche, contient, fini par}. Cette propriété est transitive.</w:t>
            </w:r>
          </w:p>
          <w:p w14:paraId="6F014A52" w14:textId="77777777" w:rsidR="00BF18CF" w:rsidRDefault="00E51347">
            <w:r>
              <w:rPr>
                <w:noProof/>
              </w:rPr>
              <w:drawing>
                <wp:inline distT="0" distB="0" distL="0" distR="0" wp14:anchorId="1529D179" wp14:editId="0055CC2D">
                  <wp:extent cx="5346700" cy="2609850"/>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6"/>
                          <a:srcRect/>
                          <a:stretch>
                            <a:fillRect/>
                          </a:stretch>
                        </pic:blipFill>
                        <pic:spPr>
                          <a:xfrm>
                            <a:off x="0" y="0"/>
                            <a:ext cx="5346700" cy="2609850"/>
                          </a:xfrm>
                          <a:prstGeom prst="rect">
                            <a:avLst/>
                          </a:prstGeom>
                          <a:ln/>
                        </pic:spPr>
                      </pic:pic>
                    </a:graphicData>
                  </a:graphic>
                </wp:inline>
              </w:drawing>
            </w:r>
          </w:p>
          <w:p w14:paraId="1F8D1271" w14:textId="77777777" w:rsidR="00BF18CF" w:rsidRDefault="00E51347">
            <w:pPr>
              <w:rPr>
                <w:i/>
              </w:rPr>
            </w:pPr>
            <w:r>
              <w:rPr>
                <w:i/>
              </w:rPr>
              <w:t>Figure 14 : L'entité temporelle A commence avant le début de l'entité temporelle B. Ici, A est plus long que B.</w:t>
            </w:r>
          </w:p>
          <w:p w14:paraId="02094D33" w14:textId="77777777" w:rsidR="00BF18CF" w:rsidRDefault="00E51347">
            <w:r>
              <w:rPr>
                <w:i/>
                <w:noProof/>
              </w:rPr>
              <w:drawing>
                <wp:inline distT="0" distB="0" distL="0" distR="0" wp14:anchorId="76869D2E" wp14:editId="2548EED1">
                  <wp:extent cx="5321300" cy="2508250"/>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7"/>
                          <a:srcRect/>
                          <a:stretch>
                            <a:fillRect/>
                          </a:stretch>
                        </pic:blipFill>
                        <pic:spPr>
                          <a:xfrm>
                            <a:off x="0" y="0"/>
                            <a:ext cx="5321300" cy="2508250"/>
                          </a:xfrm>
                          <a:prstGeom prst="rect">
                            <a:avLst/>
                          </a:prstGeom>
                          <a:ln/>
                        </pic:spPr>
                      </pic:pic>
                    </a:graphicData>
                  </a:graphic>
                </wp:inline>
              </w:drawing>
            </w:r>
          </w:p>
          <w:p w14:paraId="39E35054" w14:textId="77777777" w:rsidR="00BF18CF" w:rsidRDefault="00E51347">
            <w:r>
              <w:rPr>
                <w:i/>
              </w:rPr>
              <w:t>Figure 15 : L'entité temporelle A commence avant le début de l'entité temporelle B. Ici, A est plus court que B.</w:t>
            </w:r>
          </w:p>
        </w:tc>
      </w:tr>
      <w:tr w:rsidR="00BF18CF" w14:paraId="13EA41A1" w14:textId="77777777" w:rsidTr="00BF18CF">
        <w:tc>
          <w:tcPr>
            <w:tcW w:w="2097" w:type="dxa"/>
          </w:tcPr>
          <w:p w14:paraId="306241A6"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93" w:type="dxa"/>
          </w:tcPr>
          <w:p w14:paraId="447D3F17" w14:textId="77777777" w:rsidR="00BF18CF" w:rsidRDefault="00BF18CF">
            <w:pPr>
              <w:pBdr>
                <w:top w:val="nil"/>
                <w:left w:val="nil"/>
                <w:bottom w:val="nil"/>
                <w:right w:val="nil"/>
                <w:between w:val="nil"/>
              </w:pBdr>
              <w:spacing w:before="36" w:after="36"/>
              <w:rPr>
                <w:color w:val="000000"/>
              </w:rPr>
            </w:pPr>
          </w:p>
        </w:tc>
      </w:tr>
      <w:tr w:rsidR="00BF18CF" w14:paraId="06F4EA21" w14:textId="77777777" w:rsidTr="00BF18CF">
        <w:tc>
          <w:tcPr>
            <w:tcW w:w="2097" w:type="dxa"/>
          </w:tcPr>
          <w:p w14:paraId="1CE48306"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3" w:type="dxa"/>
          </w:tcPr>
          <w:p w14:paraId="0583463D" w14:textId="77777777" w:rsidR="00BF18CF" w:rsidRDefault="00E51347">
            <w:r>
              <w:t>P176(</w:t>
            </w:r>
            <w:proofErr w:type="gramStart"/>
            <w:r>
              <w:t>x,y</w:t>
            </w:r>
            <w:proofErr w:type="gramEnd"/>
            <w:r>
              <w:t>) ⇒ E2(x)</w:t>
            </w:r>
          </w:p>
          <w:p w14:paraId="182A4976" w14:textId="77777777" w:rsidR="00BF18CF" w:rsidRDefault="00E51347">
            <w:r>
              <w:t>P176(</w:t>
            </w:r>
            <w:proofErr w:type="gramStart"/>
            <w:r>
              <w:t>x,y</w:t>
            </w:r>
            <w:proofErr w:type="gramEnd"/>
            <w:r>
              <w:t>) ⇒ E2(y)</w:t>
            </w:r>
          </w:p>
          <w:p w14:paraId="2950E94B" w14:textId="77777777" w:rsidR="00BF18CF" w:rsidRDefault="00E51347">
            <w:r>
              <w:lastRenderedPageBreak/>
              <w:t>P176(</w:t>
            </w:r>
            <w:proofErr w:type="gramStart"/>
            <w:r>
              <w:t>x,y</w:t>
            </w:r>
            <w:proofErr w:type="gramEnd"/>
            <w:r>
              <w:t>) ⇒ P175(x,y)</w:t>
            </w:r>
          </w:p>
          <w:p w14:paraId="2012A948" w14:textId="77777777" w:rsidR="00BF18CF" w:rsidRDefault="00E51347">
            <w:r>
              <w:t>[P176(</w:t>
            </w:r>
            <w:proofErr w:type="gramStart"/>
            <w:r>
              <w:t>x,y</w:t>
            </w:r>
            <w:proofErr w:type="gramEnd"/>
            <w:r>
              <w:t>) ∧ P176(y,z)] ⇒ P176(x,z)</w:t>
            </w:r>
          </w:p>
        </w:tc>
      </w:tr>
      <w:tr w:rsidR="00BF18CF" w14:paraId="77598D1D" w14:textId="77777777" w:rsidTr="00BF18CF">
        <w:tc>
          <w:tcPr>
            <w:tcW w:w="2097" w:type="dxa"/>
          </w:tcPr>
          <w:p w14:paraId="7CC6A596" w14:textId="77777777" w:rsidR="00BF18CF" w:rsidRDefault="00E51347">
            <w:pPr>
              <w:pBdr>
                <w:top w:val="nil"/>
                <w:left w:val="nil"/>
                <w:bottom w:val="nil"/>
                <w:right w:val="nil"/>
                <w:between w:val="nil"/>
              </w:pBdr>
              <w:spacing w:before="36" w:after="36"/>
              <w:rPr>
                <w:color w:val="000000"/>
              </w:rPr>
            </w:pPr>
            <w:r>
              <w:rPr>
                <w:b/>
                <w:color w:val="000000"/>
              </w:rPr>
              <w:lastRenderedPageBreak/>
              <w:t>Propriétés</w:t>
            </w:r>
          </w:p>
        </w:tc>
        <w:tc>
          <w:tcPr>
            <w:tcW w:w="8593" w:type="dxa"/>
          </w:tcPr>
          <w:p w14:paraId="6BCB7522" w14:textId="77777777" w:rsidR="00BF18CF" w:rsidRDefault="00BF18CF">
            <w:pPr>
              <w:pBdr>
                <w:top w:val="nil"/>
                <w:left w:val="nil"/>
                <w:bottom w:val="nil"/>
                <w:right w:val="nil"/>
                <w:between w:val="nil"/>
              </w:pBdr>
              <w:spacing w:before="36" w:after="36"/>
              <w:rPr>
                <w:color w:val="000000"/>
              </w:rPr>
            </w:pPr>
          </w:p>
        </w:tc>
      </w:tr>
      <w:tr w:rsidR="00BF18CF" w14:paraId="2DBB737A" w14:textId="77777777" w:rsidTr="00BF18CF">
        <w:tc>
          <w:tcPr>
            <w:tcW w:w="2097" w:type="dxa"/>
          </w:tcPr>
          <w:p w14:paraId="418783CD" w14:textId="7DC491B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3" w:type="dxa"/>
          </w:tcPr>
          <w:p w14:paraId="06D82977" w14:textId="77777777" w:rsidR="00BF18CF" w:rsidRDefault="00BF18CF">
            <w:pPr>
              <w:pBdr>
                <w:top w:val="nil"/>
                <w:left w:val="nil"/>
                <w:bottom w:val="nil"/>
                <w:right w:val="nil"/>
                <w:between w:val="nil"/>
              </w:pBdr>
              <w:spacing w:before="36" w:after="36"/>
              <w:rPr>
                <w:color w:val="000000"/>
              </w:rPr>
            </w:pPr>
          </w:p>
        </w:tc>
      </w:tr>
      <w:tr w:rsidR="00BF18CF" w14:paraId="0EAEE7C0" w14:textId="77777777" w:rsidTr="00BF18CF">
        <w:tc>
          <w:tcPr>
            <w:tcW w:w="2097" w:type="dxa"/>
          </w:tcPr>
          <w:p w14:paraId="0B49E07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3" w:type="dxa"/>
          </w:tcPr>
          <w:p w14:paraId="2C352A92" w14:textId="77777777" w:rsidR="00BF18CF" w:rsidRDefault="00E51347">
            <w:r>
              <w:t xml:space="preserve">Wikipédia. « Algèbre des intervalles d’Allen ». Dans </w:t>
            </w:r>
            <w:r>
              <w:rPr>
                <w:i/>
              </w:rPr>
              <w:t>Wikipédia</w:t>
            </w:r>
            <w:r>
              <w:t>. San Francisco, US-CA: Wikipédia, 14 janvier 2021.</w:t>
            </w:r>
            <w:hyperlink r:id="rId438">
              <w:r>
                <w:rPr>
                  <w:color w:val="4F81BD"/>
                </w:rPr>
                <w:t xml:space="preserve"> https://fr.wikipedia.org/wiki/Alg%C3%A8bre_des_intervalles_d%27Allen</w:t>
              </w:r>
            </w:hyperlink>
            <w:r>
              <w:t>.</w:t>
            </w:r>
          </w:p>
        </w:tc>
      </w:tr>
    </w:tbl>
    <w:p w14:paraId="66FD79E1" w14:textId="77777777" w:rsidR="00BF18CF" w:rsidRDefault="00E51347">
      <w:pPr>
        <w:pStyle w:val="Heading3"/>
      </w:pPr>
      <w:bookmarkStart w:id="551" w:name="bookmark=id.3yqobt7" w:colFirst="0" w:colLast="0"/>
      <w:bookmarkStart w:id="552" w:name="_Toc144361019"/>
      <w:bookmarkEnd w:id="551"/>
      <w:r>
        <w:t>P177 a assigné le type de propriété (est le type de propriété assigné)</w:t>
      </w:r>
      <w:bookmarkEnd w:id="552"/>
    </w:p>
    <w:tbl>
      <w:tblPr>
        <w:tblStyle w:val="affffffffffffffffff5"/>
        <w:tblW w:w="1068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4"/>
        <w:gridCol w:w="8592"/>
      </w:tblGrid>
      <w:tr w:rsidR="00BF18CF" w14:paraId="5C620B55" w14:textId="77777777" w:rsidTr="00BF18CF">
        <w:tc>
          <w:tcPr>
            <w:tcW w:w="2094" w:type="dxa"/>
          </w:tcPr>
          <w:p w14:paraId="2539915E"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2" w:type="dxa"/>
          </w:tcPr>
          <w:p w14:paraId="2C8A9AD1" w14:textId="77777777" w:rsidR="00BF18CF" w:rsidRDefault="00E51347">
            <w:r>
              <w:rPr>
                <w:rFonts w:ascii="Consolas" w:eastAsia="Consolas" w:hAnsi="Consolas" w:cs="Consolas"/>
                <w:sz w:val="22"/>
                <w:szCs w:val="22"/>
                <w:shd w:val="clear" w:color="auto" w:fill="EAEEF3"/>
              </w:rPr>
              <w:t>E13_Assignation_d'attribut</w:t>
            </w:r>
          </w:p>
        </w:tc>
      </w:tr>
      <w:tr w:rsidR="00BF18CF" w14:paraId="588FDE8C" w14:textId="77777777" w:rsidTr="00BF18CF">
        <w:tc>
          <w:tcPr>
            <w:tcW w:w="2094" w:type="dxa"/>
          </w:tcPr>
          <w:p w14:paraId="385999B1"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92" w:type="dxa"/>
          </w:tcPr>
          <w:p w14:paraId="6069DEA9" w14:textId="77777777" w:rsidR="00BF18CF" w:rsidRDefault="00E51347">
            <w:r>
              <w:rPr>
                <w:rFonts w:ascii="Consolas" w:eastAsia="Consolas" w:hAnsi="Consolas" w:cs="Consolas"/>
                <w:sz w:val="22"/>
                <w:szCs w:val="22"/>
                <w:shd w:val="clear" w:color="auto" w:fill="EAEEF3"/>
              </w:rPr>
              <w:t>E55_Type</w:t>
            </w:r>
          </w:p>
        </w:tc>
      </w:tr>
      <w:tr w:rsidR="00BF18CF" w14:paraId="4A7A8A64" w14:textId="77777777" w:rsidTr="00BF18CF">
        <w:tc>
          <w:tcPr>
            <w:tcW w:w="2094" w:type="dxa"/>
          </w:tcPr>
          <w:p w14:paraId="225982F1"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2" w:type="dxa"/>
          </w:tcPr>
          <w:p w14:paraId="5F012879"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P2_a_pour_type (est_le_type_de)</w:t>
            </w:r>
            <w:r>
              <w:t xml:space="preserve"> : </w:t>
            </w:r>
            <w:r>
              <w:rPr>
                <w:rFonts w:ascii="Consolas" w:eastAsia="Consolas" w:hAnsi="Consolas" w:cs="Consolas"/>
                <w:sz w:val="22"/>
                <w:szCs w:val="22"/>
                <w:shd w:val="clear" w:color="auto" w:fill="EAEEF3"/>
              </w:rPr>
              <w:t>E55_Type</w:t>
            </w:r>
          </w:p>
        </w:tc>
      </w:tr>
      <w:tr w:rsidR="00BF18CF" w14:paraId="54E8C06D" w14:textId="77777777" w:rsidTr="00BF18CF">
        <w:tc>
          <w:tcPr>
            <w:tcW w:w="2094" w:type="dxa"/>
          </w:tcPr>
          <w:p w14:paraId="5A1BEF6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2" w:type="dxa"/>
          </w:tcPr>
          <w:p w14:paraId="7CBC0A6C" w14:textId="77777777" w:rsidR="00BF18CF" w:rsidRDefault="00BF18CF">
            <w:pPr>
              <w:pBdr>
                <w:top w:val="nil"/>
                <w:left w:val="nil"/>
                <w:bottom w:val="nil"/>
                <w:right w:val="nil"/>
                <w:between w:val="nil"/>
              </w:pBdr>
              <w:spacing w:before="36" w:after="36"/>
              <w:rPr>
                <w:color w:val="000000"/>
              </w:rPr>
            </w:pPr>
          </w:p>
        </w:tc>
      </w:tr>
      <w:tr w:rsidR="00BF18CF" w14:paraId="54FDB4C3" w14:textId="77777777" w:rsidTr="00BF18CF">
        <w:tc>
          <w:tcPr>
            <w:tcW w:w="2094" w:type="dxa"/>
          </w:tcPr>
          <w:p w14:paraId="002B04B8"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2" w:type="dxa"/>
          </w:tcPr>
          <w:p w14:paraId="0D60C8A2" w14:textId="77777777" w:rsidR="00BF18CF" w:rsidRDefault="00E51347">
            <w:proofErr w:type="gramStart"/>
            <w:r>
              <w:t>plusieurs</w:t>
            </w:r>
            <w:proofErr w:type="gramEnd"/>
            <w:r>
              <w:t xml:space="preserve"> à plusieurs, nécessaire (1,n:0,n)</w:t>
            </w:r>
          </w:p>
        </w:tc>
      </w:tr>
      <w:tr w:rsidR="00BF18CF" w14:paraId="36BF4367" w14:textId="77777777" w:rsidTr="00BF18CF">
        <w:tc>
          <w:tcPr>
            <w:tcW w:w="2094" w:type="dxa"/>
          </w:tcPr>
          <w:p w14:paraId="240C70BE"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2" w:type="dxa"/>
          </w:tcPr>
          <w:p w14:paraId="0C4DF527" w14:textId="77777777" w:rsidR="00BF18CF" w:rsidRDefault="00E51347">
            <w:r>
              <w:t xml:space="preserve">Cette propriété associe une instance de </w:t>
            </w:r>
            <w:r>
              <w:rPr>
                <w:rFonts w:ascii="Consolas" w:eastAsia="Consolas" w:hAnsi="Consolas" w:cs="Consolas"/>
                <w:sz w:val="22"/>
                <w:szCs w:val="22"/>
                <w:shd w:val="clear" w:color="auto" w:fill="EAEEF3"/>
              </w:rPr>
              <w:t>E13_Assignation_d'attribut</w:t>
            </w:r>
            <w:r>
              <w:t xml:space="preserve"> au type de propriété ou à la relation que cette attribution établit entre l'élément auquel elle assigne un attribut et l'attribut lui-même. Il est à souligner que les propriétés définies par le CIDOC CRM constituent elles-mêmes des instances de </w:t>
            </w:r>
            <w:r>
              <w:rPr>
                <w:rFonts w:ascii="Consolas" w:eastAsia="Consolas" w:hAnsi="Consolas" w:cs="Consolas"/>
                <w:sz w:val="22"/>
                <w:szCs w:val="22"/>
                <w:shd w:val="clear" w:color="auto" w:fill="EAEEF3"/>
              </w:rPr>
              <w:t>E55_Type</w:t>
            </w:r>
            <w:r>
              <w:t xml:space="preserve">. La direction de la propriété </w:t>
            </w:r>
            <w:r>
              <w:rPr>
                <w:rFonts w:ascii="Consolas" w:eastAsia="Consolas" w:hAnsi="Consolas" w:cs="Consolas"/>
                <w:sz w:val="22"/>
                <w:szCs w:val="22"/>
                <w:shd w:val="clear" w:color="auto" w:fill="EAEEF3"/>
              </w:rPr>
              <w:t>P177_a_assigné_le_type_de_propriété</w:t>
            </w:r>
            <w:r>
              <w:t xml:space="preserve"> doit être comprise comme allant de l'élément qui a reçu l'attribut (la portée de la propriété </w:t>
            </w:r>
            <w:r>
              <w:rPr>
                <w:rFonts w:ascii="Consolas" w:eastAsia="Consolas" w:hAnsi="Consolas" w:cs="Consolas"/>
                <w:sz w:val="22"/>
                <w:szCs w:val="22"/>
                <w:shd w:val="clear" w:color="auto" w:fill="EAEEF3"/>
              </w:rPr>
              <w:t>P140_a_assigné_l’attribut_à</w:t>
            </w:r>
            <w:r>
              <w:t xml:space="preserve">) vers l'attribut lui-même (la portée de la propriété </w:t>
            </w:r>
            <w:r>
              <w:rPr>
                <w:rFonts w:ascii="Consolas" w:eastAsia="Consolas" w:hAnsi="Consolas" w:cs="Consolas"/>
                <w:sz w:val="22"/>
                <w:szCs w:val="22"/>
                <w:shd w:val="clear" w:color="auto" w:fill="EAEEF3"/>
              </w:rPr>
              <w:t>P141_a_assigné</w:t>
            </w:r>
            <w:r>
              <w:t>). Plus d'un type de propriété peut être attribué entre deux éléments.</w:t>
            </w:r>
          </w:p>
          <w:p w14:paraId="25C2A1A0" w14:textId="77777777" w:rsidR="00BF18CF" w:rsidRDefault="00E51347">
            <w:r>
              <w:t xml:space="preserve">Une explication complète sur le raffinement des concepts du CIDOC CRM par l'utilisation de la classe </w:t>
            </w:r>
            <w:r>
              <w:rPr>
                <w:rFonts w:ascii="Consolas" w:eastAsia="Consolas" w:hAnsi="Consolas" w:cs="Consolas"/>
                <w:sz w:val="22"/>
                <w:szCs w:val="22"/>
                <w:shd w:val="clear" w:color="auto" w:fill="EAEEF3"/>
              </w:rPr>
              <w:t>E55_Type</w:t>
            </w:r>
            <w:r>
              <w:t xml:space="preserve"> est disponible dans la section « Des types » sous « Construits spécifiques de modélisation ».</w:t>
            </w:r>
          </w:p>
        </w:tc>
      </w:tr>
      <w:tr w:rsidR="00BF18CF" w14:paraId="5A08C796" w14:textId="77777777" w:rsidTr="00BF18CF">
        <w:tc>
          <w:tcPr>
            <w:tcW w:w="2094" w:type="dxa"/>
          </w:tcPr>
          <w:p w14:paraId="62899CCF"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2" w:type="dxa"/>
          </w:tcPr>
          <w:p w14:paraId="54519B99" w14:textId="77777777" w:rsidR="00BF18CF" w:rsidRDefault="00E51347">
            <w:pPr>
              <w:numPr>
                <w:ilvl w:val="0"/>
                <w:numId w:val="19"/>
              </w:numPr>
            </w:pPr>
            <w:r>
              <w:t>L'évaluation de la propriété actuelle de la coupe en argent de Martin Doerr (</w:t>
            </w:r>
            <w:r>
              <w:rPr>
                <w:rFonts w:ascii="Consolas" w:eastAsia="Consolas" w:hAnsi="Consolas" w:cs="Consolas"/>
                <w:sz w:val="22"/>
                <w:szCs w:val="22"/>
                <w:shd w:val="clear" w:color="auto" w:fill="EAEEF3"/>
              </w:rPr>
              <w:t>E13_Assignation_d'attribution</w:t>
            </w:r>
            <w:r>
              <w:t>) en février 1997 a assigné le type de propriété (</w:t>
            </w:r>
            <w:r>
              <w:rPr>
                <w:rFonts w:ascii="Consolas" w:eastAsia="Consolas" w:hAnsi="Consolas" w:cs="Consolas"/>
                <w:sz w:val="22"/>
                <w:szCs w:val="22"/>
                <w:shd w:val="clear" w:color="auto" w:fill="EAEEF3"/>
              </w:rPr>
              <w:t>P177_a_assigné_le_type_de_propriété</w:t>
            </w:r>
            <w:r>
              <w:t xml:space="preserve">) </w:t>
            </w:r>
            <w:r>
              <w:rPr>
                <w:rFonts w:ascii="Consolas" w:eastAsia="Consolas" w:hAnsi="Consolas" w:cs="Consolas"/>
                <w:sz w:val="22"/>
                <w:szCs w:val="22"/>
                <w:shd w:val="clear" w:color="auto" w:fill="EAEEF3"/>
              </w:rPr>
              <w:t>P52_a_pour_propriétaire_actuel (est_l’actant_propriétaire_actuel_de)</w:t>
            </w:r>
            <w:r>
              <w:t xml:space="preserve"> (</w:t>
            </w:r>
            <w:r>
              <w:rPr>
                <w:rFonts w:ascii="Consolas" w:eastAsia="Consolas" w:hAnsi="Consolas" w:cs="Consolas"/>
                <w:sz w:val="22"/>
                <w:szCs w:val="22"/>
                <w:shd w:val="clear" w:color="auto" w:fill="EAEEF3"/>
              </w:rPr>
              <w:t>E55_Type</w:t>
            </w:r>
            <w:r>
              <w:t>)</w:t>
            </w:r>
          </w:p>
          <w:p w14:paraId="59CB13B9" w14:textId="77777777" w:rsidR="00BF18CF" w:rsidRDefault="00E51347">
            <w:pPr>
              <w:numPr>
                <w:ilvl w:val="0"/>
                <w:numId w:val="19"/>
              </w:numPr>
            </w:pPr>
            <w:r>
              <w:t>L'attribution d'identifiant de la coupe en argent donnée par Martin Doerr (</w:t>
            </w:r>
            <w:r>
              <w:rPr>
                <w:rFonts w:ascii="Consolas" w:eastAsia="Consolas" w:hAnsi="Consolas" w:cs="Consolas"/>
                <w:sz w:val="22"/>
                <w:szCs w:val="22"/>
                <w:shd w:val="clear" w:color="auto" w:fill="EAEEF3"/>
              </w:rPr>
              <w:t>E15_Assignation_d'identifiant</w:t>
            </w:r>
            <w:r>
              <w:t>) le 1</w:t>
            </w:r>
            <w:r>
              <w:rPr>
                <w:vertAlign w:val="superscript"/>
              </w:rPr>
              <w:t>er</w:t>
            </w:r>
            <w:r>
              <w:t xml:space="preserve"> juin 1997 a assigné le type de propriété (</w:t>
            </w:r>
            <w:r>
              <w:rPr>
                <w:rFonts w:ascii="Consolas" w:eastAsia="Consolas" w:hAnsi="Consolas" w:cs="Consolas"/>
                <w:sz w:val="22"/>
                <w:szCs w:val="22"/>
                <w:shd w:val="clear" w:color="auto" w:fill="EAEEF3"/>
              </w:rPr>
              <w:t>P177_a_assigné_le_type_de_propriété</w:t>
            </w:r>
            <w:r>
              <w:t xml:space="preserve">) </w:t>
            </w:r>
            <w:r>
              <w:rPr>
                <w:rFonts w:ascii="Consolas" w:eastAsia="Consolas" w:hAnsi="Consolas" w:cs="Consolas"/>
                <w:sz w:val="22"/>
                <w:szCs w:val="22"/>
                <w:shd w:val="clear" w:color="auto" w:fill="EAEEF3"/>
              </w:rPr>
              <w:t>P48_a_pour_identifiant_préférentiel (est_l'identifiant_préférentiel_de)</w:t>
            </w:r>
            <w:r>
              <w:t xml:space="preserve"> (</w:t>
            </w:r>
            <w:r>
              <w:rPr>
                <w:rFonts w:ascii="Consolas" w:eastAsia="Consolas" w:hAnsi="Consolas" w:cs="Consolas"/>
                <w:sz w:val="22"/>
                <w:szCs w:val="22"/>
                <w:shd w:val="clear" w:color="auto" w:fill="EAEEF3"/>
              </w:rPr>
              <w:t>E55_Type</w:t>
            </w:r>
            <w:r>
              <w:t>)</w:t>
            </w:r>
          </w:p>
          <w:p w14:paraId="5EC0838F" w14:textId="77777777" w:rsidR="00BF18CF" w:rsidRDefault="00E51347">
            <w:pPr>
              <w:numPr>
                <w:ilvl w:val="0"/>
                <w:numId w:val="19"/>
              </w:numPr>
            </w:pPr>
            <w:r>
              <w:t xml:space="preserve">L’examen du manuscrit </w:t>
            </w:r>
            <w:r>
              <w:rPr>
                <w:i/>
              </w:rPr>
              <w:t>Mont Sinaï, MS gr. 418</w:t>
            </w:r>
            <w:r>
              <w:t xml:space="preserve"> (</w:t>
            </w:r>
            <w:r>
              <w:rPr>
                <w:rFonts w:ascii="Consolas" w:eastAsia="Consolas" w:hAnsi="Consolas" w:cs="Consolas"/>
                <w:sz w:val="22"/>
                <w:szCs w:val="22"/>
                <w:shd w:val="clear" w:color="auto" w:fill="EAEEF3"/>
              </w:rPr>
              <w:t>E13_Assignation_d'attribution</w:t>
            </w:r>
            <w:r>
              <w:t xml:space="preserve">) a assigné le type de propriété </w:t>
            </w:r>
            <w:r>
              <w:lastRenderedPageBreak/>
              <w:t>(</w:t>
            </w:r>
            <w:r>
              <w:rPr>
                <w:rFonts w:ascii="Consolas" w:eastAsia="Consolas" w:hAnsi="Consolas" w:cs="Consolas"/>
                <w:sz w:val="22"/>
                <w:szCs w:val="22"/>
                <w:shd w:val="clear" w:color="auto" w:fill="EAEEF3"/>
              </w:rPr>
              <w:t>P177_a_assigné_le_type_de_propriété</w:t>
            </w:r>
            <w:r>
              <w:t>) structure de reliure (</w:t>
            </w:r>
            <w:r>
              <w:rPr>
                <w:rFonts w:ascii="Consolas" w:eastAsia="Consolas" w:hAnsi="Consolas" w:cs="Consolas"/>
                <w:sz w:val="22"/>
                <w:szCs w:val="22"/>
                <w:shd w:val="clear" w:color="auto" w:fill="EAEEF3"/>
              </w:rPr>
              <w:t>E55_Type</w:t>
            </w:r>
            <w:r>
              <w:t>) [« type de structure de reliure » réfère à une propriété, externe au CIDOC CRM, qui lie un livre (</w:t>
            </w:r>
            <w:r>
              <w:rPr>
                <w:rFonts w:ascii="Consolas" w:eastAsia="Consolas" w:hAnsi="Consolas" w:cs="Consolas"/>
                <w:sz w:val="22"/>
                <w:szCs w:val="22"/>
                <w:shd w:val="clear" w:color="auto" w:fill="EAEEF3"/>
              </w:rPr>
              <w:t>E22_Objet_élaboré_par_l’humain</w:t>
            </w:r>
            <w:r>
              <w:t>) à un type de structure de reliure (</w:t>
            </w:r>
            <w:r>
              <w:rPr>
                <w:rFonts w:ascii="Consolas" w:eastAsia="Consolas" w:hAnsi="Consolas" w:cs="Consolas"/>
                <w:sz w:val="22"/>
                <w:szCs w:val="22"/>
                <w:shd w:val="clear" w:color="auto" w:fill="EAEEF3"/>
              </w:rPr>
              <w:t>E55_Type</w:t>
            </w:r>
            <w:r>
              <w:t>)] (Honey et Pickwoad, 2010)</w:t>
            </w:r>
          </w:p>
          <w:p w14:paraId="1A83FF9C" w14:textId="77777777" w:rsidR="00BF18CF" w:rsidRDefault="00E51347">
            <w:pPr>
              <w:numPr>
                <w:ilvl w:val="0"/>
                <w:numId w:val="19"/>
              </w:numPr>
            </w:pPr>
            <w:r>
              <w:t xml:space="preserve">L’évaluation de l'état matériel des bâtonnets de la tranchefile du manuscrit </w:t>
            </w:r>
            <w:r>
              <w:rPr>
                <w:i/>
              </w:rPr>
              <w:t>Mont Sinaï, MS gr. 418</w:t>
            </w:r>
            <w:r>
              <w:t xml:space="preserve"> (</w:t>
            </w:r>
            <w:r>
              <w:rPr>
                <w:rFonts w:ascii="Consolas" w:eastAsia="Consolas" w:hAnsi="Consolas" w:cs="Consolas"/>
                <w:sz w:val="22"/>
                <w:szCs w:val="22"/>
                <w:shd w:val="clear" w:color="auto" w:fill="EAEEF3"/>
              </w:rPr>
              <w:t>E14_Évaluation_d’état_matériel</w:t>
            </w:r>
            <w:r>
              <w:t>) a assigné le type de propriété (</w:t>
            </w:r>
            <w:r>
              <w:rPr>
                <w:rFonts w:ascii="Consolas" w:eastAsia="Consolas" w:hAnsi="Consolas" w:cs="Consolas"/>
                <w:sz w:val="22"/>
                <w:szCs w:val="22"/>
                <w:shd w:val="clear" w:color="auto" w:fill="EAEEF3"/>
              </w:rPr>
              <w:t>P177_a_assigné_le_type_de_propriété</w:t>
            </w:r>
            <w:r>
              <w:t>) endommagement (</w:t>
            </w:r>
            <w:r>
              <w:rPr>
                <w:rFonts w:ascii="Consolas" w:eastAsia="Consolas" w:hAnsi="Consolas" w:cs="Consolas"/>
                <w:sz w:val="22"/>
                <w:szCs w:val="22"/>
                <w:shd w:val="clear" w:color="auto" w:fill="EAEEF3"/>
              </w:rPr>
              <w:t>E55_Type</w:t>
            </w:r>
            <w:r>
              <w:t>) [« endommagement » réfère à une propriété, externe au CIDOC CRM, qui lie une instance de chose matérielle comme un noyau de tranchefile (</w:t>
            </w:r>
            <w:r>
              <w:rPr>
                <w:rFonts w:ascii="Consolas" w:eastAsia="Consolas" w:hAnsi="Consolas" w:cs="Consolas"/>
                <w:sz w:val="22"/>
                <w:szCs w:val="22"/>
                <w:shd w:val="clear" w:color="auto" w:fill="EAEEF3"/>
              </w:rPr>
              <w:t>E22_Objet_élaboré_par_l’humain</w:t>
            </w:r>
            <w:r>
              <w:t>) à son type de niveau d'endommagement (</w:t>
            </w:r>
            <w:r>
              <w:rPr>
                <w:rFonts w:ascii="Consolas" w:eastAsia="Consolas" w:hAnsi="Consolas" w:cs="Consolas"/>
                <w:sz w:val="22"/>
                <w:szCs w:val="22"/>
                <w:shd w:val="clear" w:color="auto" w:fill="EAEEF3"/>
              </w:rPr>
              <w:t>E55_Type</w:t>
            </w:r>
            <w:r>
              <w:t>)] (Honey et Pickwoad, 2010)</w:t>
            </w:r>
          </w:p>
          <w:p w14:paraId="54F1C469" w14:textId="77777777" w:rsidR="00BF18CF" w:rsidRDefault="00E51347">
            <w:pPr>
              <w:numPr>
                <w:ilvl w:val="0"/>
                <w:numId w:val="19"/>
              </w:numPr>
            </w:pPr>
            <w:r>
              <w:t xml:space="preserve">L’évaluation de l'état matériel de la couverture du manuscrit </w:t>
            </w:r>
            <w:r>
              <w:rPr>
                <w:i/>
              </w:rPr>
              <w:t>Mont Sinaï, MS gr. 418</w:t>
            </w:r>
            <w:r>
              <w:t xml:space="preserve"> (</w:t>
            </w:r>
            <w:r>
              <w:rPr>
                <w:rFonts w:ascii="Consolas" w:eastAsia="Consolas" w:hAnsi="Consolas" w:cs="Consolas"/>
                <w:sz w:val="22"/>
                <w:szCs w:val="22"/>
                <w:shd w:val="clear" w:color="auto" w:fill="EAEEF3"/>
              </w:rPr>
              <w:t>E14_Évaluation_d’état_matériel</w:t>
            </w:r>
            <w:r>
              <w:t>) a assigné le type de propriété (</w:t>
            </w:r>
            <w:r>
              <w:rPr>
                <w:rFonts w:ascii="Consolas" w:eastAsia="Consolas" w:hAnsi="Consolas" w:cs="Consolas"/>
                <w:sz w:val="22"/>
                <w:szCs w:val="22"/>
                <w:shd w:val="clear" w:color="auto" w:fill="EAEEF3"/>
              </w:rPr>
              <w:t>P177_a_assigné_le_type_de_propriété</w:t>
            </w:r>
            <w:r>
              <w:t>) qualité (</w:t>
            </w:r>
            <w:r>
              <w:rPr>
                <w:rFonts w:ascii="Consolas" w:eastAsia="Consolas" w:hAnsi="Consolas" w:cs="Consolas"/>
                <w:sz w:val="22"/>
                <w:szCs w:val="22"/>
                <w:shd w:val="clear" w:color="auto" w:fill="EAEEF3"/>
              </w:rPr>
              <w:t>E55_Type</w:t>
            </w:r>
            <w:r>
              <w:t>) [« qualité » réfère à une propriété, externe au CIDOC CRM, qui lie une instance de chose matérielle comme une couverture de livre (</w:t>
            </w:r>
            <w:r>
              <w:rPr>
                <w:rFonts w:ascii="Consolas" w:eastAsia="Consolas" w:hAnsi="Consolas" w:cs="Consolas"/>
                <w:sz w:val="22"/>
                <w:szCs w:val="22"/>
                <w:shd w:val="clear" w:color="auto" w:fill="EAEEF3"/>
              </w:rPr>
              <w:t>E22_Objet_élaboré_par_l’humain</w:t>
            </w:r>
            <w:r>
              <w:t>) à sa qualité (</w:t>
            </w:r>
            <w:r>
              <w:rPr>
                <w:rFonts w:ascii="Consolas" w:eastAsia="Consolas" w:hAnsi="Consolas" w:cs="Consolas"/>
                <w:sz w:val="22"/>
                <w:szCs w:val="22"/>
                <w:shd w:val="clear" w:color="auto" w:fill="EAEEF3"/>
              </w:rPr>
              <w:t>E55_Type</w:t>
            </w:r>
            <w:r>
              <w:t>)] (Honey et Pickwoad, 2010)</w:t>
            </w:r>
          </w:p>
        </w:tc>
      </w:tr>
      <w:tr w:rsidR="00BF18CF" w14:paraId="342AADA0" w14:textId="77777777" w:rsidTr="00BF18CF">
        <w:tc>
          <w:tcPr>
            <w:tcW w:w="2094" w:type="dxa"/>
          </w:tcPr>
          <w:p w14:paraId="1DDD9E5C"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592" w:type="dxa"/>
          </w:tcPr>
          <w:p w14:paraId="5A10F33B" w14:textId="77777777" w:rsidR="00BF18CF" w:rsidRDefault="00E51347">
            <w:r>
              <w:t>P177(</w:t>
            </w:r>
            <w:proofErr w:type="gramStart"/>
            <w:r>
              <w:t>x,y</w:t>
            </w:r>
            <w:proofErr w:type="gramEnd"/>
            <w:r>
              <w:t>) ⇒ E13(x)</w:t>
            </w:r>
          </w:p>
          <w:p w14:paraId="57500708" w14:textId="77777777" w:rsidR="00BF18CF" w:rsidRDefault="00E51347">
            <w:r>
              <w:t>P177(</w:t>
            </w:r>
            <w:proofErr w:type="gramStart"/>
            <w:r>
              <w:t>x,y</w:t>
            </w:r>
            <w:proofErr w:type="gramEnd"/>
            <w:r>
              <w:t>) ⇒ E55(y)</w:t>
            </w:r>
          </w:p>
        </w:tc>
      </w:tr>
      <w:tr w:rsidR="00BF18CF" w14:paraId="6B07E589" w14:textId="77777777" w:rsidTr="00BF18CF">
        <w:tc>
          <w:tcPr>
            <w:tcW w:w="2094" w:type="dxa"/>
          </w:tcPr>
          <w:p w14:paraId="6453A64B"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2" w:type="dxa"/>
          </w:tcPr>
          <w:p w14:paraId="781F7CE9" w14:textId="77777777" w:rsidR="00BF18CF" w:rsidRDefault="00BF18CF">
            <w:pPr>
              <w:pBdr>
                <w:top w:val="nil"/>
                <w:left w:val="nil"/>
                <w:bottom w:val="nil"/>
                <w:right w:val="nil"/>
                <w:between w:val="nil"/>
              </w:pBdr>
              <w:spacing w:before="36" w:after="36"/>
              <w:rPr>
                <w:color w:val="000000"/>
              </w:rPr>
            </w:pPr>
          </w:p>
        </w:tc>
      </w:tr>
      <w:tr w:rsidR="00BF18CF" w14:paraId="4D3016DF" w14:textId="77777777" w:rsidTr="00BF18CF">
        <w:tc>
          <w:tcPr>
            <w:tcW w:w="2094" w:type="dxa"/>
          </w:tcPr>
          <w:p w14:paraId="28FDB261" w14:textId="76AE339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2" w:type="dxa"/>
          </w:tcPr>
          <w:p w14:paraId="27B10596" w14:textId="77777777" w:rsidR="00BF18CF" w:rsidRDefault="00E51347">
            <w:r>
              <w:t xml:space="preserve">« Endband cores » a été traduit par « bâtonnets de la tranchefile ». Il aurait aussi été possible de traduire par « noyaux de la tranchefile », mais cette traduction est moins fréquente dans la littérature scientifique. « Endband cores » peut aussi se traduire uniquement par </w:t>
            </w:r>
            <w:proofErr w:type="gramStart"/>
            <w:r>
              <w:t>«  bâtonnets</w:t>
            </w:r>
            <w:proofErr w:type="gramEnd"/>
            <w:r>
              <w:t xml:space="preserve"> », mais afin d'éviter toute ambiguïté, l'équipe de traduction a décidé d'ajouter « de la tranchefile ».</w:t>
            </w:r>
          </w:p>
        </w:tc>
      </w:tr>
      <w:tr w:rsidR="00BF18CF" w:rsidRPr="000467B7" w14:paraId="0E067FC2" w14:textId="77777777" w:rsidTr="00BF18CF">
        <w:tc>
          <w:tcPr>
            <w:tcW w:w="2094" w:type="dxa"/>
          </w:tcPr>
          <w:p w14:paraId="48EA3883"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2" w:type="dxa"/>
          </w:tcPr>
          <w:p w14:paraId="5C86C8B6" w14:textId="77777777" w:rsidR="00BF18CF" w:rsidRDefault="00E51347">
            <w:r>
              <w:t xml:space="preserve">Lenormand, Louis Sébastien, et W. Maigne. « Tranchefile ». Dans </w:t>
            </w:r>
            <w:r>
              <w:rPr>
                <w:i/>
              </w:rPr>
              <w:t>Nouveau manuel complet du relieur en tous genres contenant les arts de l’assembleur, du satineur, du cartonneur, du marbreur sur tranches et du doreur sur tranches et sur cuir</w:t>
            </w:r>
            <w:r>
              <w:t>, édité par L. Mulo, 171‑75. Manuels Roret. 1900. Reprint, Paris, FR-IDF: Encyclopédie-Roret, 2006.</w:t>
            </w:r>
            <w:hyperlink r:id="rId439">
              <w:r>
                <w:rPr>
                  <w:color w:val="4F81BD"/>
                </w:rPr>
                <w:t xml:space="preserve"> https://www.moulinduverger.com/reliure-manuelle/roret-69.php</w:t>
              </w:r>
            </w:hyperlink>
            <w:r>
              <w:t>.</w:t>
            </w:r>
          </w:p>
          <w:p w14:paraId="39CEE721" w14:textId="77777777" w:rsidR="00BF18CF" w:rsidRDefault="00E51347">
            <w:r>
              <w:t xml:space="preserve">Louis, Olivier. « Bâtonnets de tranchefile, fabrication, matériel utilisé et dimensions. » Blogue. </w:t>
            </w:r>
            <w:r>
              <w:rPr>
                <w:i/>
              </w:rPr>
              <w:t>Reliure d’art dare</w:t>
            </w:r>
            <w:r>
              <w:t xml:space="preserve"> (blog), 28 septembre 2021.</w:t>
            </w:r>
            <w:hyperlink r:id="rId440">
              <w:r>
                <w:rPr>
                  <w:color w:val="4F81BD"/>
                </w:rPr>
                <w:t xml:space="preserve"> https://reliuredartdare.com/2021/09/batonnets-tranchefile-fabrication/</w:t>
              </w:r>
            </w:hyperlink>
            <w:r>
              <w:t>.</w:t>
            </w:r>
          </w:p>
          <w:p w14:paraId="51859DE0" w14:textId="77777777" w:rsidR="00BF18CF" w:rsidRPr="00EE61A5" w:rsidRDefault="00E51347">
            <w:pPr>
              <w:rPr>
                <w:lang w:val="en-CA"/>
              </w:rPr>
            </w:pPr>
            <w:r>
              <w:t xml:space="preserve">Smith, Shelagh, et Hélène Francoeur. </w:t>
            </w:r>
            <w:r w:rsidRPr="00EE61A5">
              <w:rPr>
                <w:i/>
                <w:lang w:val="en-CA"/>
              </w:rPr>
              <w:t>English to French Book Arts Terms</w:t>
            </w:r>
            <w:r w:rsidRPr="00EE61A5">
              <w:rPr>
                <w:lang w:val="en-CA"/>
              </w:rPr>
              <w:t>. Toronto, CA-ON: Canadian Bookbinders and Book Artists Guild, 2021.</w:t>
            </w:r>
            <w:hyperlink r:id="rId441">
              <w:r w:rsidRPr="00EE61A5">
                <w:rPr>
                  <w:color w:val="4F81BD"/>
                  <w:lang w:val="en-CA"/>
                </w:rPr>
                <w:t xml:space="preserve"> https://www.cbbag.ca/resources/Public/Book%20Arts%20ENG%20FRE%20Translation.pdf</w:t>
              </w:r>
            </w:hyperlink>
            <w:r w:rsidRPr="00EE61A5">
              <w:rPr>
                <w:lang w:val="en-CA"/>
              </w:rPr>
              <w:t>.</w:t>
            </w:r>
          </w:p>
        </w:tc>
      </w:tr>
    </w:tbl>
    <w:p w14:paraId="2A5FDFBD" w14:textId="77777777" w:rsidR="00BF18CF" w:rsidRDefault="00E51347">
      <w:pPr>
        <w:pStyle w:val="Heading3"/>
      </w:pPr>
      <w:bookmarkStart w:id="553" w:name="bookmark=id.2dvym10" w:colFirst="0" w:colLast="0"/>
      <w:bookmarkStart w:id="554" w:name="_Toc144361020"/>
      <w:bookmarkEnd w:id="553"/>
      <w:r>
        <w:t>P179 a eu pour prix de vente (a été le prix de vente de)</w:t>
      </w:r>
      <w:bookmarkEnd w:id="554"/>
    </w:p>
    <w:tbl>
      <w:tblPr>
        <w:tblStyle w:val="affffffffffffffffff6"/>
        <w:tblW w:w="10686"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96"/>
        <w:gridCol w:w="8590"/>
      </w:tblGrid>
      <w:tr w:rsidR="00BF18CF" w14:paraId="737CDF6C" w14:textId="77777777" w:rsidTr="00BF18CF">
        <w:tc>
          <w:tcPr>
            <w:tcW w:w="2096" w:type="dxa"/>
          </w:tcPr>
          <w:p w14:paraId="3B171A38"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90" w:type="dxa"/>
          </w:tcPr>
          <w:p w14:paraId="0055B7E8" w14:textId="77777777" w:rsidR="00BF18CF" w:rsidRDefault="00E51347">
            <w:r>
              <w:rPr>
                <w:rFonts w:ascii="Consolas" w:eastAsia="Consolas" w:hAnsi="Consolas" w:cs="Consolas"/>
                <w:sz w:val="22"/>
                <w:szCs w:val="22"/>
                <w:shd w:val="clear" w:color="auto" w:fill="EAEEF3"/>
              </w:rPr>
              <w:t>E96_Achat</w:t>
            </w:r>
          </w:p>
        </w:tc>
      </w:tr>
      <w:tr w:rsidR="00BF18CF" w14:paraId="126A9C3F" w14:textId="77777777" w:rsidTr="00BF18CF">
        <w:tc>
          <w:tcPr>
            <w:tcW w:w="2096" w:type="dxa"/>
          </w:tcPr>
          <w:p w14:paraId="18942F85" w14:textId="77777777" w:rsidR="00BF18CF" w:rsidRDefault="00E51347">
            <w:pPr>
              <w:pBdr>
                <w:top w:val="nil"/>
                <w:left w:val="nil"/>
                <w:bottom w:val="nil"/>
                <w:right w:val="nil"/>
                <w:between w:val="nil"/>
              </w:pBdr>
              <w:spacing w:before="36" w:after="36"/>
              <w:rPr>
                <w:color w:val="000000"/>
              </w:rPr>
            </w:pPr>
            <w:r>
              <w:rPr>
                <w:b/>
                <w:color w:val="000000"/>
              </w:rPr>
              <w:lastRenderedPageBreak/>
              <w:t>Portée</w:t>
            </w:r>
          </w:p>
        </w:tc>
        <w:tc>
          <w:tcPr>
            <w:tcW w:w="8590" w:type="dxa"/>
          </w:tcPr>
          <w:p w14:paraId="07EFB7CB" w14:textId="77777777" w:rsidR="00BF18CF" w:rsidRDefault="00E51347">
            <w:r>
              <w:rPr>
                <w:rFonts w:ascii="Consolas" w:eastAsia="Consolas" w:hAnsi="Consolas" w:cs="Consolas"/>
                <w:sz w:val="22"/>
                <w:szCs w:val="22"/>
                <w:shd w:val="clear" w:color="auto" w:fill="EAEEF3"/>
              </w:rPr>
              <w:t>E97_Valeur_monétaire</w:t>
            </w:r>
          </w:p>
        </w:tc>
      </w:tr>
      <w:tr w:rsidR="00BF18CF" w14:paraId="1CC63C31" w14:textId="77777777" w:rsidTr="00BF18CF">
        <w:tc>
          <w:tcPr>
            <w:tcW w:w="2096" w:type="dxa"/>
          </w:tcPr>
          <w:p w14:paraId="1EF8EAE4"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90" w:type="dxa"/>
          </w:tcPr>
          <w:p w14:paraId="4E57E3AD" w14:textId="77777777" w:rsidR="00BF18CF" w:rsidRDefault="00BF18CF">
            <w:pPr>
              <w:pBdr>
                <w:top w:val="nil"/>
                <w:left w:val="nil"/>
                <w:bottom w:val="nil"/>
                <w:right w:val="nil"/>
                <w:between w:val="nil"/>
              </w:pBdr>
              <w:spacing w:before="36" w:after="36"/>
              <w:rPr>
                <w:color w:val="000000"/>
              </w:rPr>
            </w:pPr>
          </w:p>
        </w:tc>
      </w:tr>
      <w:tr w:rsidR="00BF18CF" w14:paraId="1C57AC0F" w14:textId="77777777" w:rsidTr="00BF18CF">
        <w:tc>
          <w:tcPr>
            <w:tcW w:w="2096" w:type="dxa"/>
          </w:tcPr>
          <w:p w14:paraId="7BFFDD31"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90" w:type="dxa"/>
          </w:tcPr>
          <w:p w14:paraId="21D5A640" w14:textId="77777777" w:rsidR="00BF18CF" w:rsidRDefault="00BF18CF">
            <w:pPr>
              <w:pBdr>
                <w:top w:val="nil"/>
                <w:left w:val="nil"/>
                <w:bottom w:val="nil"/>
                <w:right w:val="nil"/>
                <w:between w:val="nil"/>
              </w:pBdr>
              <w:spacing w:before="36" w:after="36"/>
              <w:rPr>
                <w:color w:val="000000"/>
              </w:rPr>
            </w:pPr>
          </w:p>
        </w:tc>
      </w:tr>
      <w:tr w:rsidR="00BF18CF" w14:paraId="3F6B5B8C" w14:textId="77777777" w:rsidTr="00BF18CF">
        <w:tc>
          <w:tcPr>
            <w:tcW w:w="2096" w:type="dxa"/>
          </w:tcPr>
          <w:p w14:paraId="6A7087E0"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90" w:type="dxa"/>
          </w:tcPr>
          <w:p w14:paraId="7A1980B3" w14:textId="77777777" w:rsidR="00BF18CF" w:rsidRDefault="00E51347">
            <w:proofErr w:type="gramStart"/>
            <w:r>
              <w:t>plusieurs</w:t>
            </w:r>
            <w:proofErr w:type="gramEnd"/>
            <w:r>
              <w:t xml:space="preserve"> à plusieurs, nécessaire (1,n;0,n)</w:t>
            </w:r>
          </w:p>
        </w:tc>
      </w:tr>
      <w:tr w:rsidR="00BF18CF" w14:paraId="14908E0B" w14:textId="77777777" w:rsidTr="00BF18CF">
        <w:tc>
          <w:tcPr>
            <w:tcW w:w="2096" w:type="dxa"/>
          </w:tcPr>
          <w:p w14:paraId="14A3E1E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90" w:type="dxa"/>
          </w:tcPr>
          <w:p w14:paraId="6E1E1ECD" w14:textId="77777777" w:rsidR="00BF18CF" w:rsidRDefault="00E51347">
            <w:r>
              <w:t xml:space="preserve">Cette propriété établit la relation entre une instance de </w:t>
            </w:r>
            <w:r>
              <w:rPr>
                <w:rFonts w:ascii="Consolas" w:eastAsia="Consolas" w:hAnsi="Consolas" w:cs="Consolas"/>
                <w:sz w:val="22"/>
                <w:szCs w:val="22"/>
                <w:shd w:val="clear" w:color="auto" w:fill="EAEEF3"/>
              </w:rPr>
              <w:t>E96_Achat</w:t>
            </w:r>
            <w:r>
              <w:t xml:space="preserve"> et une instance de </w:t>
            </w:r>
            <w:r>
              <w:rPr>
                <w:rFonts w:ascii="Consolas" w:eastAsia="Consolas" w:hAnsi="Consolas" w:cs="Consolas"/>
                <w:sz w:val="22"/>
                <w:szCs w:val="22"/>
                <w:shd w:val="clear" w:color="auto" w:fill="EAEEF3"/>
              </w:rPr>
              <w:t>E97_Valeur_monétaire</w:t>
            </w:r>
            <w:r>
              <w:t xml:space="preserve"> qui forme une contrepartie pour la transaction. La valeur monétaire qui a été convenue peut changer au cours de l'activité d’achat.</w:t>
            </w:r>
          </w:p>
        </w:tc>
      </w:tr>
      <w:tr w:rsidR="00BF18CF" w14:paraId="422F0139" w14:textId="77777777" w:rsidTr="00BF18CF">
        <w:tc>
          <w:tcPr>
            <w:tcW w:w="2096" w:type="dxa"/>
          </w:tcPr>
          <w:p w14:paraId="08A6014F"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90" w:type="dxa"/>
          </w:tcPr>
          <w:p w14:paraId="638CE7D9" w14:textId="77777777" w:rsidR="00BF18CF" w:rsidRDefault="00E51347">
            <w:pPr>
              <w:numPr>
                <w:ilvl w:val="0"/>
                <w:numId w:val="19"/>
              </w:numPr>
            </w:pPr>
            <w:r>
              <w:t xml:space="preserve">La vente de l’œuvre de Vincent Van Gogh </w:t>
            </w:r>
            <w:r>
              <w:rPr>
                <w:i/>
              </w:rPr>
              <w:t>Nature morte : Vase avec quinze tournesols</w:t>
            </w:r>
            <w:r>
              <w:t xml:space="preserve"> le 30 mars 1987 (</w:t>
            </w:r>
            <w:r>
              <w:rPr>
                <w:rFonts w:ascii="Consolas" w:eastAsia="Consolas" w:hAnsi="Consolas" w:cs="Consolas"/>
                <w:sz w:val="22"/>
                <w:szCs w:val="22"/>
                <w:shd w:val="clear" w:color="auto" w:fill="EAEEF3"/>
              </w:rPr>
              <w:t>E96_Achat</w:t>
            </w:r>
            <w:r>
              <w:t>) a eu pour prix de vente (</w:t>
            </w:r>
            <w:r>
              <w:rPr>
                <w:rFonts w:ascii="Consolas" w:eastAsia="Consolas" w:hAnsi="Consolas" w:cs="Consolas"/>
                <w:sz w:val="22"/>
                <w:szCs w:val="22"/>
                <w:shd w:val="clear" w:color="auto" w:fill="EAEEF3"/>
              </w:rPr>
              <w:t>P179_a_eu_pour_prix_de_vente</w:t>
            </w:r>
            <w:r>
              <w:t xml:space="preserve">) le prix d’adjudication par Christie's pour </w:t>
            </w:r>
            <w:r>
              <w:rPr>
                <w:i/>
              </w:rPr>
              <w:t>Nature morte : Vase avec quinze tournesols</w:t>
            </w:r>
            <w:r>
              <w:t xml:space="preserve"> (</w:t>
            </w:r>
            <w:r>
              <w:rPr>
                <w:rFonts w:ascii="Consolas" w:eastAsia="Consolas" w:hAnsi="Consolas" w:cs="Consolas"/>
                <w:sz w:val="22"/>
                <w:szCs w:val="22"/>
                <w:shd w:val="clear" w:color="auto" w:fill="EAEEF3"/>
              </w:rPr>
              <w:t>E97_Valeur_monétaire</w:t>
            </w:r>
            <w:r>
              <w:t>)</w:t>
            </w:r>
          </w:p>
          <w:p w14:paraId="2FA759DB" w14:textId="77777777" w:rsidR="00BF18CF" w:rsidRDefault="00E51347">
            <w:pPr>
              <w:numPr>
                <w:ilvl w:val="0"/>
                <w:numId w:val="19"/>
              </w:numPr>
            </w:pPr>
            <w:r>
              <w:t>La vente de 10 okkas de clous par le capitaine A. Syrmas le 18 septembre 1895 (</w:t>
            </w:r>
            <w:r>
              <w:rPr>
                <w:rFonts w:ascii="Consolas" w:eastAsia="Consolas" w:hAnsi="Consolas" w:cs="Consolas"/>
                <w:sz w:val="22"/>
                <w:szCs w:val="22"/>
                <w:shd w:val="clear" w:color="auto" w:fill="EAEEF3"/>
              </w:rPr>
              <w:t>E96_Achat</w:t>
            </w:r>
            <w:r>
              <w:t>) a eu pour prix de vente (</w:t>
            </w:r>
            <w:r>
              <w:rPr>
                <w:rFonts w:ascii="Consolas" w:eastAsia="Consolas" w:hAnsi="Consolas" w:cs="Consolas"/>
                <w:sz w:val="22"/>
                <w:szCs w:val="22"/>
                <w:shd w:val="clear" w:color="auto" w:fill="EAEEF3"/>
              </w:rPr>
              <w:t>P179_a_eu_pour_prix_de_vente</w:t>
            </w:r>
            <w:r>
              <w:t>) 20 piastres (grosi) (</w:t>
            </w:r>
            <w:r>
              <w:rPr>
                <w:rFonts w:ascii="Consolas" w:eastAsia="Consolas" w:hAnsi="Consolas" w:cs="Consolas"/>
                <w:sz w:val="22"/>
                <w:szCs w:val="22"/>
                <w:shd w:val="clear" w:color="auto" w:fill="EAEEF3"/>
              </w:rPr>
              <w:t>E97_Valeur_monétaire</w:t>
            </w:r>
            <w:r>
              <w:t>)</w:t>
            </w:r>
          </w:p>
        </w:tc>
      </w:tr>
      <w:tr w:rsidR="00BF18CF" w14:paraId="2A85ED08" w14:textId="77777777" w:rsidTr="00BF18CF">
        <w:tc>
          <w:tcPr>
            <w:tcW w:w="2096" w:type="dxa"/>
          </w:tcPr>
          <w:p w14:paraId="204EB94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90" w:type="dxa"/>
          </w:tcPr>
          <w:p w14:paraId="0727B7C3" w14:textId="77777777" w:rsidR="00BF18CF" w:rsidRDefault="00E51347">
            <w:r>
              <w:t>P179(</w:t>
            </w:r>
            <w:proofErr w:type="gramStart"/>
            <w:r>
              <w:t>x,y</w:t>
            </w:r>
            <w:proofErr w:type="gramEnd"/>
            <w:r>
              <w:t>) ⇒ E96(x)</w:t>
            </w:r>
          </w:p>
          <w:p w14:paraId="19C15FD3" w14:textId="77777777" w:rsidR="00BF18CF" w:rsidRDefault="00E51347">
            <w:r>
              <w:t>P179(</w:t>
            </w:r>
            <w:proofErr w:type="gramStart"/>
            <w:r>
              <w:t>x,y</w:t>
            </w:r>
            <w:proofErr w:type="gramEnd"/>
            <w:r>
              <w:t>) ⇒ E97(y)</w:t>
            </w:r>
          </w:p>
        </w:tc>
      </w:tr>
      <w:tr w:rsidR="00BF18CF" w14:paraId="0B971DEE" w14:textId="77777777" w:rsidTr="00BF18CF">
        <w:tc>
          <w:tcPr>
            <w:tcW w:w="2096" w:type="dxa"/>
          </w:tcPr>
          <w:p w14:paraId="6EE31B6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90" w:type="dxa"/>
          </w:tcPr>
          <w:p w14:paraId="199F33E8" w14:textId="77777777" w:rsidR="00BF18CF" w:rsidRDefault="00BF18CF">
            <w:pPr>
              <w:pBdr>
                <w:top w:val="nil"/>
                <w:left w:val="nil"/>
                <w:bottom w:val="nil"/>
                <w:right w:val="nil"/>
                <w:between w:val="nil"/>
              </w:pBdr>
              <w:spacing w:before="36" w:after="36"/>
              <w:rPr>
                <w:color w:val="000000"/>
              </w:rPr>
            </w:pPr>
          </w:p>
        </w:tc>
      </w:tr>
      <w:tr w:rsidR="00BF18CF" w14:paraId="05B85296" w14:textId="77777777" w:rsidTr="00BF18CF">
        <w:tc>
          <w:tcPr>
            <w:tcW w:w="2096" w:type="dxa"/>
          </w:tcPr>
          <w:p w14:paraId="3F63F459" w14:textId="407ACAB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90" w:type="dxa"/>
          </w:tcPr>
          <w:p w14:paraId="78A1DFB5" w14:textId="77777777" w:rsidR="00BF18CF" w:rsidRDefault="00E51347">
            <w:r>
              <w:t>Le terme « okka » est une ancienne unité de mesure de poids, utilisé autrefois dans les régions de Turquie, Égypte, Hongerie et Roumanie.</w:t>
            </w:r>
          </w:p>
          <w:p w14:paraId="751019BD" w14:textId="77777777" w:rsidR="00BF18CF" w:rsidRDefault="00E51347">
            <w:r>
              <w:t>Le terme « grosi » est le nom grec d’une monnaie de l’empire ottoman équivalente au « gros »</w:t>
            </w:r>
          </w:p>
        </w:tc>
      </w:tr>
      <w:tr w:rsidR="00BF18CF" w:rsidRPr="000467B7" w14:paraId="48A8689B" w14:textId="77777777" w:rsidTr="00BF18CF">
        <w:tc>
          <w:tcPr>
            <w:tcW w:w="2096" w:type="dxa"/>
          </w:tcPr>
          <w:p w14:paraId="0B44FFC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90" w:type="dxa"/>
          </w:tcPr>
          <w:p w14:paraId="7114A950" w14:textId="77777777" w:rsidR="00BF18CF" w:rsidRPr="00EE61A5" w:rsidRDefault="00E51347">
            <w:pPr>
              <w:rPr>
                <w:lang w:val="en-CA"/>
              </w:rPr>
            </w:pPr>
            <w:r w:rsidRPr="00EE61A5">
              <w:rPr>
                <w:lang w:val="en-CA"/>
              </w:rPr>
              <w:t xml:space="preserve">Wikipédia. « Groschen ». Dans </w:t>
            </w:r>
            <w:r w:rsidRPr="00EE61A5">
              <w:rPr>
                <w:i/>
                <w:lang w:val="en-CA"/>
              </w:rPr>
              <w:t>Wikipedia</w:t>
            </w:r>
            <w:r w:rsidRPr="00EE61A5">
              <w:rPr>
                <w:lang w:val="en-CA"/>
              </w:rPr>
              <w:t>. San Francisco, US-CA: Wikipédia, 6 mai 2023.</w:t>
            </w:r>
            <w:hyperlink r:id="rId442">
              <w:r w:rsidRPr="00EE61A5">
                <w:rPr>
                  <w:color w:val="4F81BD"/>
                  <w:lang w:val="en-CA"/>
                </w:rPr>
                <w:t xml:space="preserve"> https://en.wikipedia.org/w/index.php?title=Groschen&amp;oldid=1153418826</w:t>
              </w:r>
            </w:hyperlink>
            <w:r w:rsidRPr="00EE61A5">
              <w:rPr>
                <w:lang w:val="en-CA"/>
              </w:rPr>
              <w:t>.</w:t>
            </w:r>
          </w:p>
          <w:p w14:paraId="40B05B39" w14:textId="77777777" w:rsidR="00BF18CF" w:rsidRPr="00EE61A5" w:rsidRDefault="00E51347">
            <w:pPr>
              <w:rPr>
                <w:lang w:val="en-CA"/>
              </w:rPr>
            </w:pPr>
            <w:r w:rsidRPr="00EE61A5">
              <w:rPr>
                <w:lang w:val="en-CA"/>
              </w:rPr>
              <w:t xml:space="preserve">———. « Oka ». Dans </w:t>
            </w:r>
            <w:r w:rsidRPr="00EE61A5">
              <w:rPr>
                <w:i/>
                <w:lang w:val="en-CA"/>
              </w:rPr>
              <w:t>Wiktionary</w:t>
            </w:r>
            <w:r w:rsidRPr="00EE61A5">
              <w:rPr>
                <w:lang w:val="en-CA"/>
              </w:rPr>
              <w:t>. San Francisco, US-CA: Wikipédia, 8 avril 2023.</w:t>
            </w:r>
            <w:hyperlink r:id="rId443">
              <w:r w:rsidRPr="00EE61A5">
                <w:rPr>
                  <w:color w:val="4F81BD"/>
                  <w:lang w:val="en-CA"/>
                </w:rPr>
                <w:t xml:space="preserve"> https://en.wiktionary.org/w/index.php?title=oka&amp;oldid=72628696</w:t>
              </w:r>
            </w:hyperlink>
            <w:r w:rsidRPr="00EE61A5">
              <w:rPr>
                <w:lang w:val="en-CA"/>
              </w:rPr>
              <w:t>.</w:t>
            </w:r>
          </w:p>
        </w:tc>
      </w:tr>
    </w:tbl>
    <w:p w14:paraId="7FC1E669" w14:textId="77777777" w:rsidR="00BF18CF" w:rsidRDefault="00E51347">
      <w:pPr>
        <w:pStyle w:val="Heading3"/>
      </w:pPr>
      <w:bookmarkStart w:id="555" w:name="bookmark=id.t18w8t" w:colFirst="0" w:colLast="0"/>
      <w:bookmarkStart w:id="556" w:name="_Toc144361021"/>
      <w:bookmarkEnd w:id="555"/>
      <w:r>
        <w:t>P180 a pour unité monétaire (était l’unité monétaire de)</w:t>
      </w:r>
      <w:bookmarkEnd w:id="556"/>
    </w:p>
    <w:tbl>
      <w:tblPr>
        <w:tblStyle w:val="affffffff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35"/>
        <w:gridCol w:w="8755"/>
      </w:tblGrid>
      <w:tr w:rsidR="00BF18CF" w14:paraId="482003FE" w14:textId="77777777" w:rsidTr="00BF18CF">
        <w:tc>
          <w:tcPr>
            <w:tcW w:w="1935" w:type="dxa"/>
          </w:tcPr>
          <w:p w14:paraId="4CB13DC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55" w:type="dxa"/>
          </w:tcPr>
          <w:p w14:paraId="469B1FCE" w14:textId="77777777" w:rsidR="00BF18CF" w:rsidRDefault="00E51347">
            <w:r>
              <w:rPr>
                <w:rFonts w:ascii="Consolas" w:eastAsia="Consolas" w:hAnsi="Consolas" w:cs="Consolas"/>
                <w:sz w:val="22"/>
                <w:szCs w:val="22"/>
                <w:shd w:val="clear" w:color="auto" w:fill="EAEEF3"/>
              </w:rPr>
              <w:t>E97_Valeur_monétaire</w:t>
            </w:r>
          </w:p>
        </w:tc>
      </w:tr>
      <w:tr w:rsidR="00BF18CF" w14:paraId="351A147D" w14:textId="77777777" w:rsidTr="00BF18CF">
        <w:tc>
          <w:tcPr>
            <w:tcW w:w="1935" w:type="dxa"/>
          </w:tcPr>
          <w:p w14:paraId="0F45FF2B"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55" w:type="dxa"/>
          </w:tcPr>
          <w:p w14:paraId="0B5ACA93" w14:textId="77777777" w:rsidR="00BF18CF" w:rsidRDefault="00E51347">
            <w:r>
              <w:rPr>
                <w:rFonts w:ascii="Consolas" w:eastAsia="Consolas" w:hAnsi="Consolas" w:cs="Consolas"/>
                <w:sz w:val="22"/>
                <w:szCs w:val="22"/>
                <w:shd w:val="clear" w:color="auto" w:fill="EAEEF3"/>
              </w:rPr>
              <w:t>E98_Unité_monétaire</w:t>
            </w:r>
          </w:p>
        </w:tc>
      </w:tr>
      <w:tr w:rsidR="00BF18CF" w14:paraId="2E4F7D49" w14:textId="77777777" w:rsidTr="00BF18CF">
        <w:tc>
          <w:tcPr>
            <w:tcW w:w="1935" w:type="dxa"/>
          </w:tcPr>
          <w:p w14:paraId="4490C3E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55" w:type="dxa"/>
          </w:tcPr>
          <w:p w14:paraId="00B802C9" w14:textId="77777777" w:rsidR="00BF18CF" w:rsidRDefault="00E51347">
            <w:r>
              <w:rPr>
                <w:rFonts w:ascii="Consolas" w:eastAsia="Consolas" w:hAnsi="Consolas" w:cs="Consolas"/>
                <w:sz w:val="22"/>
                <w:szCs w:val="22"/>
                <w:shd w:val="clear" w:color="auto" w:fill="EAEEF3"/>
              </w:rPr>
              <w:t>E54_Dimension</w:t>
            </w:r>
            <w:r>
              <w:t xml:space="preserve">. </w:t>
            </w:r>
            <w:r>
              <w:rPr>
                <w:rFonts w:ascii="Consolas" w:eastAsia="Consolas" w:hAnsi="Consolas" w:cs="Consolas"/>
                <w:sz w:val="22"/>
                <w:szCs w:val="22"/>
                <w:shd w:val="clear" w:color="auto" w:fill="EAEEF3"/>
              </w:rPr>
              <w:t>P91_a_pour_unité_de_mesure (est_l’unité_de_mesure_de)</w:t>
            </w:r>
            <w:r>
              <w:t xml:space="preserve"> : </w:t>
            </w:r>
            <w:r>
              <w:rPr>
                <w:rFonts w:ascii="Consolas" w:eastAsia="Consolas" w:hAnsi="Consolas" w:cs="Consolas"/>
                <w:sz w:val="22"/>
                <w:szCs w:val="22"/>
                <w:shd w:val="clear" w:color="auto" w:fill="EAEEF3"/>
              </w:rPr>
              <w:t>E58_Unité_de_mesure</w:t>
            </w:r>
          </w:p>
        </w:tc>
      </w:tr>
      <w:tr w:rsidR="00BF18CF" w14:paraId="0860D509" w14:textId="77777777" w:rsidTr="00BF18CF">
        <w:tc>
          <w:tcPr>
            <w:tcW w:w="1935" w:type="dxa"/>
          </w:tcPr>
          <w:p w14:paraId="3A863010"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55" w:type="dxa"/>
          </w:tcPr>
          <w:p w14:paraId="48EEB349" w14:textId="77777777" w:rsidR="00BF18CF" w:rsidRDefault="00BF18CF">
            <w:pPr>
              <w:pBdr>
                <w:top w:val="nil"/>
                <w:left w:val="nil"/>
                <w:bottom w:val="nil"/>
                <w:right w:val="nil"/>
                <w:between w:val="nil"/>
              </w:pBdr>
              <w:spacing w:before="36" w:after="36"/>
              <w:rPr>
                <w:color w:val="000000"/>
              </w:rPr>
            </w:pPr>
          </w:p>
        </w:tc>
      </w:tr>
      <w:tr w:rsidR="00BF18CF" w14:paraId="24108C56" w14:textId="77777777" w:rsidTr="00BF18CF">
        <w:tc>
          <w:tcPr>
            <w:tcW w:w="1935" w:type="dxa"/>
          </w:tcPr>
          <w:p w14:paraId="05D961C3"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755" w:type="dxa"/>
          </w:tcPr>
          <w:p w14:paraId="7F881EBF" w14:textId="77777777" w:rsidR="00BF18CF" w:rsidRDefault="00E51347">
            <w:proofErr w:type="gramStart"/>
            <w:r>
              <w:t>plusieurs</w:t>
            </w:r>
            <w:proofErr w:type="gramEnd"/>
            <w:r>
              <w:t xml:space="preserve"> à un, nécessaire (1,1:0,n)</w:t>
            </w:r>
          </w:p>
        </w:tc>
      </w:tr>
      <w:tr w:rsidR="00BF18CF" w14:paraId="396D6BB1" w14:textId="77777777" w:rsidTr="00BF18CF">
        <w:tc>
          <w:tcPr>
            <w:tcW w:w="1935" w:type="dxa"/>
          </w:tcPr>
          <w:p w14:paraId="29E477F7"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55" w:type="dxa"/>
          </w:tcPr>
          <w:p w14:paraId="3CDB0577" w14:textId="77777777" w:rsidR="00BF18CF" w:rsidRDefault="00E51347">
            <w:r>
              <w:t xml:space="preserve">Cette propriété établit la relation entre une instance de </w:t>
            </w:r>
            <w:r>
              <w:rPr>
                <w:rFonts w:ascii="Consolas" w:eastAsia="Consolas" w:hAnsi="Consolas" w:cs="Consolas"/>
                <w:sz w:val="22"/>
                <w:szCs w:val="22"/>
                <w:shd w:val="clear" w:color="auto" w:fill="EAEEF3"/>
              </w:rPr>
              <w:t>E97_Valeur_monétaire</w:t>
            </w:r>
            <w:r>
              <w:t xml:space="preserve"> et l’instance de </w:t>
            </w:r>
            <w:r>
              <w:rPr>
                <w:rFonts w:ascii="Consolas" w:eastAsia="Consolas" w:hAnsi="Consolas" w:cs="Consolas"/>
                <w:sz w:val="22"/>
                <w:szCs w:val="22"/>
                <w:shd w:val="clear" w:color="auto" w:fill="EAEEF3"/>
              </w:rPr>
              <w:t>E98_Unité_monétaire</w:t>
            </w:r>
            <w:r>
              <w:t xml:space="preserve"> dans laquelle elle est mesurée.</w:t>
            </w:r>
          </w:p>
        </w:tc>
      </w:tr>
      <w:tr w:rsidR="00BF18CF" w14:paraId="671F94CC" w14:textId="77777777" w:rsidTr="00BF18CF">
        <w:tc>
          <w:tcPr>
            <w:tcW w:w="1935" w:type="dxa"/>
          </w:tcPr>
          <w:p w14:paraId="35C92763"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55" w:type="dxa"/>
          </w:tcPr>
          <w:p w14:paraId="00F8E2C0" w14:textId="77777777" w:rsidR="00BF18CF" w:rsidRDefault="00E51347">
            <w:pPr>
              <w:numPr>
                <w:ilvl w:val="0"/>
                <w:numId w:val="19"/>
              </w:numPr>
            </w:pPr>
            <w:r>
              <w:t xml:space="preserve">Le prix d’adjudication par Christie's de l’œuvre peinte </w:t>
            </w:r>
            <w:r>
              <w:rPr>
                <w:i/>
              </w:rPr>
              <w:t>Vase avec quinze tournesols</w:t>
            </w:r>
            <w:r>
              <w:t xml:space="preserve"> (</w:t>
            </w:r>
            <w:r>
              <w:rPr>
                <w:rFonts w:ascii="Consolas" w:eastAsia="Consolas" w:hAnsi="Consolas" w:cs="Consolas"/>
                <w:sz w:val="22"/>
                <w:szCs w:val="22"/>
                <w:shd w:val="clear" w:color="auto" w:fill="EAEEF3"/>
              </w:rPr>
              <w:t>E97_Valeur_monétaire</w:t>
            </w:r>
            <w:r>
              <w:t>) a pour unité monétaire (</w:t>
            </w:r>
            <w:r>
              <w:rPr>
                <w:rFonts w:ascii="Consolas" w:eastAsia="Consolas" w:hAnsi="Consolas" w:cs="Consolas"/>
                <w:sz w:val="22"/>
                <w:szCs w:val="22"/>
                <w:shd w:val="clear" w:color="auto" w:fill="EAEEF3"/>
              </w:rPr>
              <w:t>P180_a_pour_unité_monétaire</w:t>
            </w:r>
            <w:r>
              <w:t>) livre sterling (</w:t>
            </w:r>
            <w:r>
              <w:rPr>
                <w:rFonts w:ascii="Consolas" w:eastAsia="Consolas" w:hAnsi="Consolas" w:cs="Consolas"/>
                <w:sz w:val="22"/>
                <w:szCs w:val="22"/>
                <w:shd w:val="clear" w:color="auto" w:fill="EAEEF3"/>
              </w:rPr>
              <w:t>E98_Unité_monétaire</w:t>
            </w:r>
            <w:r>
              <w:t>)</w:t>
            </w:r>
          </w:p>
        </w:tc>
      </w:tr>
      <w:tr w:rsidR="00BF18CF" w14:paraId="3A2145C2" w14:textId="77777777" w:rsidTr="00BF18CF">
        <w:tc>
          <w:tcPr>
            <w:tcW w:w="1935" w:type="dxa"/>
          </w:tcPr>
          <w:p w14:paraId="419C4707"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55" w:type="dxa"/>
          </w:tcPr>
          <w:p w14:paraId="235DB295" w14:textId="77777777" w:rsidR="00BF18CF" w:rsidRDefault="00E51347">
            <w:r>
              <w:t>P180(</w:t>
            </w:r>
            <w:proofErr w:type="gramStart"/>
            <w:r>
              <w:t>x,y</w:t>
            </w:r>
            <w:proofErr w:type="gramEnd"/>
            <w:r>
              <w:t>) ⇒ E97(x)</w:t>
            </w:r>
          </w:p>
          <w:p w14:paraId="5C98CC34" w14:textId="77777777" w:rsidR="00BF18CF" w:rsidRDefault="00E51347">
            <w:r>
              <w:t>P180(</w:t>
            </w:r>
            <w:proofErr w:type="gramStart"/>
            <w:r>
              <w:t>x,y</w:t>
            </w:r>
            <w:proofErr w:type="gramEnd"/>
            <w:r>
              <w:t>) ⇒ E98(y)</w:t>
            </w:r>
          </w:p>
          <w:p w14:paraId="6CDECB11" w14:textId="77777777" w:rsidR="00BF18CF" w:rsidRDefault="00E51347">
            <w:r>
              <w:t>P180(</w:t>
            </w:r>
            <w:proofErr w:type="gramStart"/>
            <w:r>
              <w:t>x,y</w:t>
            </w:r>
            <w:proofErr w:type="gramEnd"/>
            <w:r>
              <w:t>) ⇒ P91(x,y)</w:t>
            </w:r>
          </w:p>
        </w:tc>
      </w:tr>
      <w:tr w:rsidR="00BF18CF" w14:paraId="314EFD4A" w14:textId="77777777" w:rsidTr="00BF18CF">
        <w:tc>
          <w:tcPr>
            <w:tcW w:w="1935" w:type="dxa"/>
          </w:tcPr>
          <w:p w14:paraId="297E039C"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55" w:type="dxa"/>
          </w:tcPr>
          <w:p w14:paraId="625D533C" w14:textId="77777777" w:rsidR="00BF18CF" w:rsidRDefault="00BF18CF">
            <w:pPr>
              <w:pBdr>
                <w:top w:val="nil"/>
                <w:left w:val="nil"/>
                <w:bottom w:val="nil"/>
                <w:right w:val="nil"/>
                <w:between w:val="nil"/>
              </w:pBdr>
              <w:spacing w:before="36" w:after="36"/>
              <w:rPr>
                <w:color w:val="000000"/>
              </w:rPr>
            </w:pPr>
          </w:p>
        </w:tc>
      </w:tr>
      <w:tr w:rsidR="00BF18CF" w14:paraId="4CA2E922" w14:textId="77777777" w:rsidTr="00BF18CF">
        <w:tc>
          <w:tcPr>
            <w:tcW w:w="1935" w:type="dxa"/>
          </w:tcPr>
          <w:p w14:paraId="3E57C737" w14:textId="02137AE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55" w:type="dxa"/>
          </w:tcPr>
          <w:p w14:paraId="48825FD2" w14:textId="77777777" w:rsidR="00BF18CF" w:rsidRDefault="00BF18CF">
            <w:pPr>
              <w:pBdr>
                <w:top w:val="nil"/>
                <w:left w:val="nil"/>
                <w:bottom w:val="nil"/>
                <w:right w:val="nil"/>
                <w:between w:val="nil"/>
              </w:pBdr>
              <w:spacing w:before="36" w:after="36"/>
              <w:rPr>
                <w:color w:val="000000"/>
              </w:rPr>
            </w:pPr>
          </w:p>
        </w:tc>
      </w:tr>
      <w:tr w:rsidR="00BF18CF" w14:paraId="32A7D362" w14:textId="77777777" w:rsidTr="00BF18CF">
        <w:tc>
          <w:tcPr>
            <w:tcW w:w="1935" w:type="dxa"/>
          </w:tcPr>
          <w:p w14:paraId="20D6A222"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55" w:type="dxa"/>
          </w:tcPr>
          <w:p w14:paraId="6516B197" w14:textId="77777777" w:rsidR="00BF18CF" w:rsidRDefault="00BF18CF">
            <w:pPr>
              <w:pBdr>
                <w:top w:val="nil"/>
                <w:left w:val="nil"/>
                <w:bottom w:val="nil"/>
                <w:right w:val="nil"/>
                <w:between w:val="nil"/>
              </w:pBdr>
              <w:spacing w:before="36" w:after="36"/>
              <w:rPr>
                <w:color w:val="000000"/>
              </w:rPr>
            </w:pPr>
          </w:p>
        </w:tc>
      </w:tr>
    </w:tbl>
    <w:p w14:paraId="6B653529" w14:textId="77777777" w:rsidR="00BF18CF" w:rsidRDefault="00E51347">
      <w:pPr>
        <w:pStyle w:val="Heading3"/>
      </w:pPr>
      <w:bookmarkStart w:id="557" w:name="bookmark=id.3d0wewm" w:colFirst="0" w:colLast="0"/>
      <w:bookmarkStart w:id="558" w:name="_Toc144361022"/>
      <w:bookmarkEnd w:id="557"/>
      <w:r>
        <w:t>P182 se termine avant ou au moment du début de (commence après ou au moment de la fin de)</w:t>
      </w:r>
      <w:bookmarkEnd w:id="558"/>
    </w:p>
    <w:tbl>
      <w:tblPr>
        <w:tblStyle w:val="affffffffffffffffff8"/>
        <w:tblW w:w="10688"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168"/>
        <w:gridCol w:w="8520"/>
      </w:tblGrid>
      <w:tr w:rsidR="00BF18CF" w14:paraId="05ED1275" w14:textId="77777777" w:rsidTr="00BF18CF">
        <w:tc>
          <w:tcPr>
            <w:tcW w:w="2168" w:type="dxa"/>
          </w:tcPr>
          <w:p w14:paraId="24B54894"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20" w:type="dxa"/>
          </w:tcPr>
          <w:p w14:paraId="59AE11C8" w14:textId="77777777" w:rsidR="00BF18CF" w:rsidRDefault="00E51347">
            <w:r>
              <w:rPr>
                <w:rFonts w:ascii="Consolas" w:eastAsia="Consolas" w:hAnsi="Consolas" w:cs="Consolas"/>
                <w:sz w:val="22"/>
                <w:szCs w:val="22"/>
                <w:shd w:val="clear" w:color="auto" w:fill="EAEEF3"/>
              </w:rPr>
              <w:t>E2_Entité_temporelle</w:t>
            </w:r>
          </w:p>
        </w:tc>
      </w:tr>
      <w:tr w:rsidR="00BF18CF" w14:paraId="6781B487" w14:textId="77777777" w:rsidTr="00BF18CF">
        <w:tc>
          <w:tcPr>
            <w:tcW w:w="2168" w:type="dxa"/>
          </w:tcPr>
          <w:p w14:paraId="72E9BC16"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20" w:type="dxa"/>
          </w:tcPr>
          <w:p w14:paraId="0BE190EE" w14:textId="77777777" w:rsidR="00BF18CF" w:rsidRDefault="00E51347">
            <w:r>
              <w:rPr>
                <w:rFonts w:ascii="Consolas" w:eastAsia="Consolas" w:hAnsi="Consolas" w:cs="Consolas"/>
                <w:sz w:val="22"/>
                <w:szCs w:val="22"/>
                <w:shd w:val="clear" w:color="auto" w:fill="EAEEF3"/>
              </w:rPr>
              <w:t>E2_Entité_temporelle</w:t>
            </w:r>
          </w:p>
        </w:tc>
      </w:tr>
      <w:tr w:rsidR="00BF18CF" w14:paraId="4B7BC7FA" w14:textId="77777777" w:rsidTr="00BF18CF">
        <w:tc>
          <w:tcPr>
            <w:tcW w:w="2168" w:type="dxa"/>
          </w:tcPr>
          <w:p w14:paraId="75F7967A"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20" w:type="dxa"/>
          </w:tcPr>
          <w:p w14:paraId="3654B4B1"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P176_commence_avant_le_début_de (commence_après_le_début_de)</w:t>
            </w:r>
            <w:r>
              <w:t xml:space="preserve"> : </w:t>
            </w:r>
            <w:r>
              <w:rPr>
                <w:rFonts w:ascii="Consolas" w:eastAsia="Consolas" w:hAnsi="Consolas" w:cs="Consolas"/>
                <w:sz w:val="22"/>
                <w:szCs w:val="22"/>
                <w:shd w:val="clear" w:color="auto" w:fill="EAEEF3"/>
              </w:rPr>
              <w:t>E2_Entité_temporelle</w:t>
            </w:r>
          </w:p>
          <w:p w14:paraId="6AA4B334"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P185_se_termine_avant_la_fin_de (se_termine_après_la_fin_de)</w:t>
            </w:r>
            <w:r>
              <w:t xml:space="preserve"> : </w:t>
            </w:r>
            <w:r>
              <w:rPr>
                <w:rFonts w:ascii="Consolas" w:eastAsia="Consolas" w:hAnsi="Consolas" w:cs="Consolas"/>
                <w:sz w:val="22"/>
                <w:szCs w:val="22"/>
                <w:shd w:val="clear" w:color="auto" w:fill="EAEEF3"/>
              </w:rPr>
              <w:t>E2_Entité_temporelle</w:t>
            </w:r>
          </w:p>
        </w:tc>
      </w:tr>
      <w:tr w:rsidR="00BF18CF" w14:paraId="1844CAB3" w14:textId="77777777" w:rsidTr="00BF18CF">
        <w:tc>
          <w:tcPr>
            <w:tcW w:w="2168" w:type="dxa"/>
          </w:tcPr>
          <w:p w14:paraId="66B3A5D9"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20" w:type="dxa"/>
          </w:tcPr>
          <w:p w14:paraId="14EE627B"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P183_se_termine_avant_le_début_de (commence_après_la_fin_de)</w:t>
            </w:r>
            <w:r>
              <w:t xml:space="preserve"> : </w:t>
            </w:r>
            <w:r>
              <w:rPr>
                <w:rFonts w:ascii="Consolas" w:eastAsia="Consolas" w:hAnsi="Consolas" w:cs="Consolas"/>
                <w:sz w:val="22"/>
                <w:szCs w:val="22"/>
                <w:shd w:val="clear" w:color="auto" w:fill="EAEEF3"/>
              </w:rPr>
              <w:t>E2_Entité_temporelle</w:t>
            </w:r>
          </w:p>
        </w:tc>
      </w:tr>
      <w:tr w:rsidR="00BF18CF" w14:paraId="0424B7BE" w14:textId="77777777" w:rsidTr="00BF18CF">
        <w:tc>
          <w:tcPr>
            <w:tcW w:w="2168" w:type="dxa"/>
          </w:tcPr>
          <w:p w14:paraId="2220E97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20" w:type="dxa"/>
          </w:tcPr>
          <w:p w14:paraId="63A9CCDA" w14:textId="77777777" w:rsidR="00BF18CF" w:rsidRDefault="00E51347">
            <w:proofErr w:type="gramStart"/>
            <w:r>
              <w:t>plusieurs</w:t>
            </w:r>
            <w:proofErr w:type="gramEnd"/>
            <w:r>
              <w:t xml:space="preserve"> à plusieurs (0,n:0,n)</w:t>
            </w:r>
          </w:p>
        </w:tc>
      </w:tr>
      <w:tr w:rsidR="00BF18CF" w14:paraId="41B7FB8B" w14:textId="77777777" w:rsidTr="00BF18CF">
        <w:tc>
          <w:tcPr>
            <w:tcW w:w="2168" w:type="dxa"/>
          </w:tcPr>
          <w:p w14:paraId="0FA9A0C2"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20" w:type="dxa"/>
          </w:tcPr>
          <w:p w14:paraId="7988F6CF" w14:textId="77777777" w:rsidR="00BF18CF" w:rsidRDefault="00E51347">
            <w:r>
              <w:t xml:space="preserve">Cette propriété spécifie que l'étendue temporelle de l'instance du domaine (A) de </w:t>
            </w:r>
            <w:r>
              <w:rPr>
                <w:rFonts w:ascii="Consolas" w:eastAsia="Consolas" w:hAnsi="Consolas" w:cs="Consolas"/>
                <w:sz w:val="22"/>
                <w:szCs w:val="22"/>
                <w:shd w:val="clear" w:color="auto" w:fill="EAEEF3"/>
              </w:rPr>
              <w:t>E2_Entité_temporelle</w:t>
            </w:r>
            <w:r>
              <w:t xml:space="preserve"> se termine avant ou simultanément avec le début de l'étendue temporelle de l'instance de la portée (B) de </w:t>
            </w:r>
            <w:r>
              <w:rPr>
                <w:rFonts w:ascii="Consolas" w:eastAsia="Consolas" w:hAnsi="Consolas" w:cs="Consolas"/>
                <w:sz w:val="22"/>
                <w:szCs w:val="22"/>
                <w:shd w:val="clear" w:color="auto" w:fill="EAEEF3"/>
              </w:rPr>
              <w:t>E2_Entité_temporelle</w:t>
            </w:r>
            <w:r>
              <w:t>.</w:t>
            </w:r>
          </w:p>
          <w:p w14:paraId="16715638" w14:textId="77777777" w:rsidR="00BF18CF" w:rsidRDefault="00E51347">
            <w:r>
              <w:t>En d'autres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fin</w:t>
            </w:r>
            <w:r>
              <w:t xml:space="preserve"> ≤ B</w:t>
            </w:r>
            <w:r>
              <w:rPr>
                <w:vertAlign w:val="superscript"/>
              </w:rPr>
              <w:t>début</w:t>
            </w:r>
            <w:r>
              <w:t xml:space="preserve"> est vrai.</w:t>
            </w:r>
          </w:p>
          <w:p w14:paraId="15054EEE" w14:textId="77777777" w:rsidR="00BF18CF" w:rsidRDefault="00E51347">
            <w:r>
              <w:t>Cette propriété fait partie de l'ensemble des propriétés temporelles P173 à P176 et P182 à P185.</w:t>
            </w:r>
          </w:p>
          <w:p w14:paraId="07B1B6DD" w14:textId="77777777" w:rsidR="00BF18CF" w:rsidRDefault="00E51347">
            <w:r>
              <w:t>Cette propriété correspond à une disjonction (OU logique) des relations définies par l’algèbre des intervalles d’Allen suivantes [Allen, 1983] : {avant, rencontre}</w:t>
            </w:r>
          </w:p>
          <w:p w14:paraId="47C0EAD1" w14:textId="76DD4009" w:rsidR="00BF18CF" w:rsidRDefault="00103833">
            <w:r>
              <w:rPr>
                <w:noProof/>
              </w:rPr>
              <w:lastRenderedPageBreak/>
              <w:drawing>
                <wp:inline distT="0" distB="0" distL="0" distR="0" wp14:anchorId="2B242E2B" wp14:editId="14360151">
                  <wp:extent cx="5264150" cy="23215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264150" cy="2321560"/>
                          </a:xfrm>
                          <a:prstGeom prst="rect">
                            <a:avLst/>
                          </a:prstGeom>
                          <a:noFill/>
                          <a:ln>
                            <a:noFill/>
                          </a:ln>
                        </pic:spPr>
                      </pic:pic>
                    </a:graphicData>
                  </a:graphic>
                </wp:inline>
              </w:drawing>
            </w:r>
          </w:p>
          <w:p w14:paraId="4EFD260C" w14:textId="7D59A7F4" w:rsidR="00BF18CF" w:rsidRDefault="00E51347">
            <w:pPr>
              <w:rPr>
                <w:i/>
              </w:rPr>
            </w:pPr>
            <w:r>
              <w:rPr>
                <w:i/>
              </w:rPr>
              <w:t xml:space="preserve">Figure 16 : </w:t>
            </w:r>
            <w:r w:rsidR="00103833" w:rsidRPr="00103833">
              <w:rPr>
                <w:i/>
              </w:rPr>
              <w:t>L'entité temporelle A termine avant ou au moment du début de l'entité temporelle B. Ici, A est plus long que B.</w:t>
            </w:r>
          </w:p>
          <w:p w14:paraId="60A97732" w14:textId="1DCBE85B" w:rsidR="00BF18CF" w:rsidRDefault="00103833">
            <w:r>
              <w:rPr>
                <w:noProof/>
              </w:rPr>
              <w:drawing>
                <wp:inline distT="0" distB="0" distL="0" distR="0" wp14:anchorId="12E5635E" wp14:editId="6E9323A8">
                  <wp:extent cx="5264150" cy="2321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264150" cy="2321560"/>
                          </a:xfrm>
                          <a:prstGeom prst="rect">
                            <a:avLst/>
                          </a:prstGeom>
                          <a:noFill/>
                          <a:ln>
                            <a:noFill/>
                          </a:ln>
                        </pic:spPr>
                      </pic:pic>
                    </a:graphicData>
                  </a:graphic>
                </wp:inline>
              </w:drawing>
            </w:r>
          </w:p>
          <w:p w14:paraId="604E9506" w14:textId="1812D1FB" w:rsidR="00BF18CF" w:rsidRDefault="00E51347">
            <w:r>
              <w:rPr>
                <w:i/>
              </w:rPr>
              <w:t xml:space="preserve">Figure 17 : </w:t>
            </w:r>
            <w:r w:rsidR="00103833" w:rsidRPr="00103833">
              <w:rPr>
                <w:i/>
              </w:rPr>
              <w:t>L'entité temporelle A termine avant ou au moment du début de l'entité temporelle B. Ici, A est plus court que B.</w:t>
            </w:r>
          </w:p>
        </w:tc>
      </w:tr>
      <w:tr w:rsidR="00BF18CF" w14:paraId="0936707B" w14:textId="77777777" w:rsidTr="00BF18CF">
        <w:tc>
          <w:tcPr>
            <w:tcW w:w="2168" w:type="dxa"/>
          </w:tcPr>
          <w:p w14:paraId="4A39E0B5"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20" w:type="dxa"/>
          </w:tcPr>
          <w:p w14:paraId="296E5819" w14:textId="77777777" w:rsidR="00BF18CF" w:rsidRDefault="00BF18CF">
            <w:pPr>
              <w:pBdr>
                <w:top w:val="nil"/>
                <w:left w:val="nil"/>
                <w:bottom w:val="nil"/>
                <w:right w:val="nil"/>
                <w:between w:val="nil"/>
              </w:pBdr>
              <w:spacing w:before="36" w:after="36"/>
              <w:rPr>
                <w:color w:val="000000"/>
              </w:rPr>
            </w:pPr>
          </w:p>
        </w:tc>
      </w:tr>
      <w:tr w:rsidR="00BF18CF" w14:paraId="1469EC6A" w14:textId="77777777" w:rsidTr="00BF18CF">
        <w:tc>
          <w:tcPr>
            <w:tcW w:w="2168" w:type="dxa"/>
          </w:tcPr>
          <w:p w14:paraId="0885D768"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20" w:type="dxa"/>
          </w:tcPr>
          <w:p w14:paraId="11A57784" w14:textId="77777777" w:rsidR="00BF18CF" w:rsidRDefault="00E51347">
            <w:r>
              <w:t>P182(</w:t>
            </w:r>
            <w:proofErr w:type="gramStart"/>
            <w:r>
              <w:t>x,y</w:t>
            </w:r>
            <w:proofErr w:type="gramEnd"/>
            <w:r>
              <w:t>) ⇒ E2(x)</w:t>
            </w:r>
          </w:p>
          <w:p w14:paraId="13E6C86A" w14:textId="77777777" w:rsidR="00BF18CF" w:rsidRDefault="00E51347">
            <w:r>
              <w:t>P182(</w:t>
            </w:r>
            <w:proofErr w:type="gramStart"/>
            <w:r>
              <w:t>x,y</w:t>
            </w:r>
            <w:proofErr w:type="gramEnd"/>
            <w:r>
              <w:t>) ⇒ E2(y)</w:t>
            </w:r>
          </w:p>
          <w:p w14:paraId="17A34C99" w14:textId="77777777" w:rsidR="00BF18CF" w:rsidRDefault="00E51347">
            <w:r>
              <w:t>P182(</w:t>
            </w:r>
            <w:proofErr w:type="gramStart"/>
            <w:r>
              <w:t>x,y</w:t>
            </w:r>
            <w:proofErr w:type="gramEnd"/>
            <w:r>
              <w:t>) ⇒ P176(x,y)</w:t>
            </w:r>
          </w:p>
          <w:p w14:paraId="6EBE44FF" w14:textId="77777777" w:rsidR="00BF18CF" w:rsidRDefault="00E51347">
            <w:r>
              <w:t>P182(</w:t>
            </w:r>
            <w:proofErr w:type="gramStart"/>
            <w:r>
              <w:t>x,y</w:t>
            </w:r>
            <w:proofErr w:type="gramEnd"/>
            <w:r>
              <w:t>) ⇒ P185(x,y)</w:t>
            </w:r>
          </w:p>
        </w:tc>
      </w:tr>
      <w:tr w:rsidR="00BF18CF" w14:paraId="642E5E0E" w14:textId="77777777" w:rsidTr="00BF18CF">
        <w:tc>
          <w:tcPr>
            <w:tcW w:w="2168" w:type="dxa"/>
          </w:tcPr>
          <w:p w14:paraId="3E9F6910"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20" w:type="dxa"/>
          </w:tcPr>
          <w:p w14:paraId="048E5A64" w14:textId="77777777" w:rsidR="00BF18CF" w:rsidRDefault="00BF18CF">
            <w:pPr>
              <w:pBdr>
                <w:top w:val="nil"/>
                <w:left w:val="nil"/>
                <w:bottom w:val="nil"/>
                <w:right w:val="nil"/>
                <w:between w:val="nil"/>
              </w:pBdr>
              <w:spacing w:before="36" w:after="36"/>
              <w:rPr>
                <w:color w:val="000000"/>
              </w:rPr>
            </w:pPr>
          </w:p>
        </w:tc>
      </w:tr>
      <w:tr w:rsidR="00BF18CF" w14:paraId="27606A7D" w14:textId="77777777" w:rsidTr="00BF18CF">
        <w:tc>
          <w:tcPr>
            <w:tcW w:w="2168" w:type="dxa"/>
          </w:tcPr>
          <w:p w14:paraId="61DB33F9" w14:textId="695B7FB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20" w:type="dxa"/>
          </w:tcPr>
          <w:p w14:paraId="3165BF16" w14:textId="77777777" w:rsidR="00BF18CF" w:rsidRDefault="00BF18CF">
            <w:pPr>
              <w:pBdr>
                <w:top w:val="nil"/>
                <w:left w:val="nil"/>
                <w:bottom w:val="nil"/>
                <w:right w:val="nil"/>
                <w:between w:val="nil"/>
              </w:pBdr>
              <w:spacing w:before="36" w:after="36"/>
              <w:rPr>
                <w:color w:val="000000"/>
              </w:rPr>
            </w:pPr>
          </w:p>
        </w:tc>
      </w:tr>
      <w:tr w:rsidR="00BF18CF" w14:paraId="11CA6DA5" w14:textId="77777777" w:rsidTr="00BF18CF">
        <w:tc>
          <w:tcPr>
            <w:tcW w:w="2168" w:type="dxa"/>
          </w:tcPr>
          <w:p w14:paraId="38E1F96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20" w:type="dxa"/>
          </w:tcPr>
          <w:p w14:paraId="502AB765" w14:textId="77777777" w:rsidR="00BF18CF" w:rsidRDefault="00E51347">
            <w:r>
              <w:t xml:space="preserve">Wikipédia. « Algèbre des intervalles d’Allen ». Dans </w:t>
            </w:r>
            <w:r>
              <w:rPr>
                <w:i/>
              </w:rPr>
              <w:t>Wikipédia</w:t>
            </w:r>
            <w:r>
              <w:t>. San Francisco, US-CA: Wikipédia, 14 janvier 2021.</w:t>
            </w:r>
            <w:hyperlink r:id="rId446">
              <w:r>
                <w:rPr>
                  <w:color w:val="4F81BD"/>
                </w:rPr>
                <w:t xml:space="preserve"> https://fr.wikipedia.org/wiki/Alg%C3%A8bre_des_intervalles_d%27Allen</w:t>
              </w:r>
            </w:hyperlink>
            <w:r>
              <w:t>.</w:t>
            </w:r>
          </w:p>
        </w:tc>
      </w:tr>
    </w:tbl>
    <w:p w14:paraId="1DDCFF27" w14:textId="77777777" w:rsidR="00BF18CF" w:rsidRDefault="00E51347">
      <w:pPr>
        <w:pStyle w:val="Heading3"/>
      </w:pPr>
      <w:bookmarkStart w:id="559" w:name="bookmark=id.1s66p4f" w:colFirst="0" w:colLast="0"/>
      <w:bookmarkStart w:id="560" w:name="_Toc144361023"/>
      <w:bookmarkEnd w:id="559"/>
      <w:r>
        <w:lastRenderedPageBreak/>
        <w:t>P183 se termine avant le début de (commence après la fin de)</w:t>
      </w:r>
      <w:bookmarkEnd w:id="560"/>
    </w:p>
    <w:tbl>
      <w:tblPr>
        <w:tblStyle w:val="affffffffffffffffff9"/>
        <w:tblW w:w="10688"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168"/>
        <w:gridCol w:w="8520"/>
      </w:tblGrid>
      <w:tr w:rsidR="00BF18CF" w14:paraId="26C89006" w14:textId="77777777" w:rsidTr="00BF18CF">
        <w:tc>
          <w:tcPr>
            <w:tcW w:w="2168" w:type="dxa"/>
          </w:tcPr>
          <w:p w14:paraId="42353516"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20" w:type="dxa"/>
          </w:tcPr>
          <w:p w14:paraId="0E42767F" w14:textId="77777777" w:rsidR="00BF18CF" w:rsidRDefault="00E51347">
            <w:r>
              <w:rPr>
                <w:rFonts w:ascii="Consolas" w:eastAsia="Consolas" w:hAnsi="Consolas" w:cs="Consolas"/>
                <w:sz w:val="22"/>
                <w:szCs w:val="22"/>
                <w:shd w:val="clear" w:color="auto" w:fill="EAEEF3"/>
              </w:rPr>
              <w:t>E2_Entité_temporelle</w:t>
            </w:r>
          </w:p>
        </w:tc>
      </w:tr>
      <w:tr w:rsidR="00BF18CF" w14:paraId="2259C9CA" w14:textId="77777777" w:rsidTr="00BF18CF">
        <w:tc>
          <w:tcPr>
            <w:tcW w:w="2168" w:type="dxa"/>
          </w:tcPr>
          <w:p w14:paraId="7749FE4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20" w:type="dxa"/>
          </w:tcPr>
          <w:p w14:paraId="6CAC2023" w14:textId="77777777" w:rsidR="00BF18CF" w:rsidRDefault="00E51347">
            <w:r>
              <w:rPr>
                <w:rFonts w:ascii="Consolas" w:eastAsia="Consolas" w:hAnsi="Consolas" w:cs="Consolas"/>
                <w:sz w:val="22"/>
                <w:szCs w:val="22"/>
                <w:shd w:val="clear" w:color="auto" w:fill="EAEEF3"/>
              </w:rPr>
              <w:t>E2_Entité_temporelle</w:t>
            </w:r>
          </w:p>
        </w:tc>
      </w:tr>
      <w:tr w:rsidR="00BF18CF" w14:paraId="43FD3EE7" w14:textId="77777777" w:rsidTr="00BF18CF">
        <w:tc>
          <w:tcPr>
            <w:tcW w:w="2168" w:type="dxa"/>
          </w:tcPr>
          <w:p w14:paraId="699F1396"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20" w:type="dxa"/>
          </w:tcPr>
          <w:p w14:paraId="16BF4D18"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P182_se_termine_avant_ou_au_moment_du_début_de (commence_après_ou_au_moment_de_la_fin_de)</w:t>
            </w:r>
            <w:r>
              <w:t xml:space="preserve"> : </w:t>
            </w:r>
            <w:r>
              <w:rPr>
                <w:rFonts w:ascii="Consolas" w:eastAsia="Consolas" w:hAnsi="Consolas" w:cs="Consolas"/>
                <w:sz w:val="22"/>
                <w:szCs w:val="22"/>
                <w:shd w:val="clear" w:color="auto" w:fill="EAEEF3"/>
              </w:rPr>
              <w:t>E2_Entité_temporelle</w:t>
            </w:r>
          </w:p>
        </w:tc>
      </w:tr>
      <w:tr w:rsidR="00BF18CF" w14:paraId="535A548B" w14:textId="77777777" w:rsidTr="00BF18CF">
        <w:tc>
          <w:tcPr>
            <w:tcW w:w="2168" w:type="dxa"/>
          </w:tcPr>
          <w:p w14:paraId="6562EBB3"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20" w:type="dxa"/>
          </w:tcPr>
          <w:p w14:paraId="1EF90C51" w14:textId="77777777" w:rsidR="00BF18CF" w:rsidRDefault="00BF18CF">
            <w:pPr>
              <w:pBdr>
                <w:top w:val="nil"/>
                <w:left w:val="nil"/>
                <w:bottom w:val="nil"/>
                <w:right w:val="nil"/>
                <w:between w:val="nil"/>
              </w:pBdr>
              <w:spacing w:before="36" w:after="36"/>
              <w:rPr>
                <w:color w:val="000000"/>
              </w:rPr>
            </w:pPr>
          </w:p>
        </w:tc>
      </w:tr>
      <w:tr w:rsidR="00BF18CF" w14:paraId="7FF25D27" w14:textId="77777777" w:rsidTr="00BF18CF">
        <w:tc>
          <w:tcPr>
            <w:tcW w:w="2168" w:type="dxa"/>
          </w:tcPr>
          <w:p w14:paraId="4B6A3F86"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20" w:type="dxa"/>
          </w:tcPr>
          <w:p w14:paraId="4613C827" w14:textId="77777777" w:rsidR="00BF18CF" w:rsidRDefault="00E51347">
            <w:proofErr w:type="gramStart"/>
            <w:r>
              <w:t>plusieurs</w:t>
            </w:r>
            <w:proofErr w:type="gramEnd"/>
            <w:r>
              <w:t xml:space="preserve"> à plusieurs (0,n:0,n)</w:t>
            </w:r>
          </w:p>
        </w:tc>
      </w:tr>
      <w:tr w:rsidR="00BF18CF" w14:paraId="77DE0AE7" w14:textId="77777777" w:rsidTr="00BF18CF">
        <w:tc>
          <w:tcPr>
            <w:tcW w:w="2168" w:type="dxa"/>
          </w:tcPr>
          <w:p w14:paraId="0FEC8AF8"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20" w:type="dxa"/>
          </w:tcPr>
          <w:p w14:paraId="009C11DB" w14:textId="77777777" w:rsidR="00BF18CF" w:rsidRDefault="00E51347">
            <w:r>
              <w:t xml:space="preserve">Cette propriété spécifie que l'étendue temporelle de l'instance du domaine (A) de </w:t>
            </w:r>
            <w:r>
              <w:rPr>
                <w:rFonts w:ascii="Consolas" w:eastAsia="Consolas" w:hAnsi="Consolas" w:cs="Consolas"/>
                <w:sz w:val="22"/>
                <w:szCs w:val="22"/>
                <w:shd w:val="clear" w:color="auto" w:fill="EAEEF3"/>
              </w:rPr>
              <w:t>E2_Entité_temporelle</w:t>
            </w:r>
            <w:r>
              <w:t xml:space="preserve"> se termine définitivement avant le début de l'étendue temporelle de l'instance de la portée (B) de </w:t>
            </w:r>
            <w:r>
              <w:rPr>
                <w:rFonts w:ascii="Consolas" w:eastAsia="Consolas" w:hAnsi="Consolas" w:cs="Consolas"/>
                <w:sz w:val="22"/>
                <w:szCs w:val="22"/>
                <w:shd w:val="clear" w:color="auto" w:fill="EAEEF3"/>
              </w:rPr>
              <w:t>E2_Entité_temporelle</w:t>
            </w:r>
            <w:r>
              <w:t>.</w:t>
            </w:r>
          </w:p>
          <w:p w14:paraId="7E65B627" w14:textId="77777777" w:rsidR="00BF18CF" w:rsidRDefault="00E51347">
            <w:r>
              <w:t>En d'autres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fin</w:t>
            </w:r>
            <w:r>
              <w:t xml:space="preserve"> &lt; B</w:t>
            </w:r>
            <w:r>
              <w:rPr>
                <w:vertAlign w:val="superscript"/>
              </w:rPr>
              <w:t>début</w:t>
            </w:r>
            <w:r>
              <w:t xml:space="preserve"> est vrai.</w:t>
            </w:r>
          </w:p>
          <w:p w14:paraId="1F09EDD5" w14:textId="77777777" w:rsidR="00BF18CF" w:rsidRDefault="00E51347">
            <w:r>
              <w:t>Cette propriété fait partie de l'ensemble des propriétés temporelles P173 à P176 et P182 à P185.</w:t>
            </w:r>
          </w:p>
          <w:p w14:paraId="5AF5C68A" w14:textId="77777777" w:rsidR="00BF18CF" w:rsidRDefault="00E51347">
            <w:r>
              <w:t>Cette propriété correspond à la relation temporelle définie par l’algèbre des intervalles d’Allen [Allen, 1983] : {avant}</w:t>
            </w:r>
          </w:p>
          <w:p w14:paraId="21CE84E2" w14:textId="77777777" w:rsidR="00BF18CF" w:rsidRDefault="00E51347">
            <w:r>
              <w:t>Cette propriété est transitive.</w:t>
            </w:r>
          </w:p>
          <w:p w14:paraId="0ACCA966" w14:textId="77777777" w:rsidR="00BF18CF" w:rsidRDefault="00E51347">
            <w:r>
              <w:rPr>
                <w:noProof/>
              </w:rPr>
              <w:drawing>
                <wp:inline distT="0" distB="0" distL="0" distR="0" wp14:anchorId="503E6383" wp14:editId="047C774E">
                  <wp:extent cx="5270500" cy="2216150"/>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7"/>
                          <a:srcRect/>
                          <a:stretch>
                            <a:fillRect/>
                          </a:stretch>
                        </pic:blipFill>
                        <pic:spPr>
                          <a:xfrm>
                            <a:off x="0" y="0"/>
                            <a:ext cx="5270500" cy="2216150"/>
                          </a:xfrm>
                          <a:prstGeom prst="rect">
                            <a:avLst/>
                          </a:prstGeom>
                          <a:ln/>
                        </pic:spPr>
                      </pic:pic>
                    </a:graphicData>
                  </a:graphic>
                </wp:inline>
              </w:drawing>
            </w:r>
          </w:p>
          <w:p w14:paraId="688B529E" w14:textId="77777777" w:rsidR="00BF18CF" w:rsidRDefault="00E51347">
            <w:r>
              <w:rPr>
                <w:i/>
              </w:rPr>
              <w:t>Figure 18 : L'entité temporelle A termine avant le début de l'entité temporelle B. Ici, A est plus long que B.</w:t>
            </w:r>
          </w:p>
          <w:p w14:paraId="43ED69D0" w14:textId="77777777" w:rsidR="00BF18CF" w:rsidRDefault="00E51347">
            <w:pPr>
              <w:rPr>
                <w:i/>
              </w:rPr>
            </w:pPr>
            <w:r>
              <w:rPr>
                <w:i/>
                <w:noProof/>
              </w:rPr>
              <w:lastRenderedPageBreak/>
              <w:drawing>
                <wp:inline distT="0" distB="0" distL="0" distR="0" wp14:anchorId="35F98F3A" wp14:editId="41F87E22">
                  <wp:extent cx="5270500" cy="2152650"/>
                  <wp:effectExtent l="0" t="0" r="0" b="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8"/>
                          <a:srcRect/>
                          <a:stretch>
                            <a:fillRect/>
                          </a:stretch>
                        </pic:blipFill>
                        <pic:spPr>
                          <a:xfrm>
                            <a:off x="0" y="0"/>
                            <a:ext cx="5270500" cy="2152650"/>
                          </a:xfrm>
                          <a:prstGeom prst="rect">
                            <a:avLst/>
                          </a:prstGeom>
                          <a:ln/>
                        </pic:spPr>
                      </pic:pic>
                    </a:graphicData>
                  </a:graphic>
                </wp:inline>
              </w:drawing>
            </w:r>
          </w:p>
          <w:p w14:paraId="0601386B" w14:textId="77777777" w:rsidR="00BF18CF" w:rsidRDefault="00E51347">
            <w:r>
              <w:rPr>
                <w:i/>
              </w:rPr>
              <w:t>Figure 19 : L'entité temporelle A termine avant le début de l'entité temporelle B. Ici, A est plus court que B.</w:t>
            </w:r>
          </w:p>
        </w:tc>
      </w:tr>
      <w:tr w:rsidR="00BF18CF" w14:paraId="2348B9DE" w14:textId="77777777" w:rsidTr="00BF18CF">
        <w:tc>
          <w:tcPr>
            <w:tcW w:w="2168" w:type="dxa"/>
          </w:tcPr>
          <w:p w14:paraId="1C553C4D"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20" w:type="dxa"/>
          </w:tcPr>
          <w:p w14:paraId="0CF71D88" w14:textId="77777777" w:rsidR="00BF18CF" w:rsidRDefault="00E51347">
            <w:pPr>
              <w:numPr>
                <w:ilvl w:val="0"/>
                <w:numId w:val="19"/>
              </w:numPr>
            </w:pPr>
            <w:r>
              <w:t>Gisle prenant ses fonctions d'évêque de Linköping en 1139 EC (</w:t>
            </w:r>
            <w:r>
              <w:rPr>
                <w:rFonts w:ascii="Consolas" w:eastAsia="Consolas" w:hAnsi="Consolas" w:cs="Consolas"/>
                <w:sz w:val="22"/>
                <w:szCs w:val="22"/>
                <w:shd w:val="clear" w:color="auto" w:fill="EAEEF3"/>
              </w:rPr>
              <w:t>E7_Activité</w:t>
            </w:r>
            <w:r>
              <w:t>) se termine avant le début de (</w:t>
            </w:r>
            <w:r>
              <w:rPr>
                <w:rFonts w:ascii="Consolas" w:eastAsia="Consolas" w:hAnsi="Consolas" w:cs="Consolas"/>
                <w:sz w:val="22"/>
                <w:szCs w:val="22"/>
                <w:shd w:val="clear" w:color="auto" w:fill="EAEEF3"/>
              </w:rPr>
              <w:t>P183_se_termine_avant_le_début_de</w:t>
            </w:r>
            <w:r>
              <w:t xml:space="preserve">) la composition de la saga </w:t>
            </w:r>
            <w:r>
              <w:rPr>
                <w:i/>
              </w:rPr>
              <w:t>Guta</w:t>
            </w:r>
            <w:r>
              <w:t xml:space="preserve"> (</w:t>
            </w:r>
            <w:r>
              <w:rPr>
                <w:rFonts w:ascii="Consolas" w:eastAsia="Consolas" w:hAnsi="Consolas" w:cs="Consolas"/>
                <w:sz w:val="22"/>
                <w:szCs w:val="22"/>
                <w:shd w:val="clear" w:color="auto" w:fill="EAEEF3"/>
              </w:rPr>
              <w:t>E65_Création</w:t>
            </w:r>
            <w:r>
              <w:t>) (Peel, 1999)</w:t>
            </w:r>
          </w:p>
          <w:p w14:paraId="7F34AFC9" w14:textId="77777777" w:rsidR="00BF18CF" w:rsidRDefault="00E51347">
            <w:pPr>
              <w:numPr>
                <w:ilvl w:val="0"/>
                <w:numId w:val="19"/>
              </w:numPr>
            </w:pPr>
            <w:r>
              <w:t>Troie VII (</w:t>
            </w:r>
            <w:r>
              <w:rPr>
                <w:rFonts w:ascii="Consolas" w:eastAsia="Consolas" w:hAnsi="Consolas" w:cs="Consolas"/>
                <w:sz w:val="22"/>
                <w:szCs w:val="22"/>
                <w:shd w:val="clear" w:color="auto" w:fill="EAEEF3"/>
              </w:rPr>
              <w:t>E4_Période</w:t>
            </w:r>
            <w:r>
              <w:t>) se termine avant le début de (</w:t>
            </w:r>
            <w:r>
              <w:rPr>
                <w:rFonts w:ascii="Consolas" w:eastAsia="Consolas" w:hAnsi="Consolas" w:cs="Consolas"/>
                <w:sz w:val="22"/>
                <w:szCs w:val="22"/>
                <w:shd w:val="clear" w:color="auto" w:fill="EAEEF3"/>
              </w:rPr>
              <w:t>P183_se_termine_avant_le_début_de</w:t>
            </w:r>
            <w:r>
              <w:t>) Troie VIII (</w:t>
            </w:r>
            <w:r>
              <w:rPr>
                <w:rFonts w:ascii="Consolas" w:eastAsia="Consolas" w:hAnsi="Consolas" w:cs="Consolas"/>
                <w:sz w:val="22"/>
                <w:szCs w:val="22"/>
                <w:shd w:val="clear" w:color="auto" w:fill="EAEEF3"/>
              </w:rPr>
              <w:t>E4_Période</w:t>
            </w:r>
            <w:r>
              <w:t>) [inhabitée depuis environ 200 ans]</w:t>
            </w:r>
          </w:p>
        </w:tc>
      </w:tr>
      <w:tr w:rsidR="00BF18CF" w14:paraId="0502927A" w14:textId="77777777" w:rsidTr="00BF18CF">
        <w:tc>
          <w:tcPr>
            <w:tcW w:w="2168" w:type="dxa"/>
          </w:tcPr>
          <w:p w14:paraId="380F3943"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20" w:type="dxa"/>
          </w:tcPr>
          <w:p w14:paraId="3B14A159" w14:textId="77777777" w:rsidR="00BF18CF" w:rsidRDefault="00E51347">
            <w:r>
              <w:t>P183(</w:t>
            </w:r>
            <w:proofErr w:type="gramStart"/>
            <w:r>
              <w:t>x,y</w:t>
            </w:r>
            <w:proofErr w:type="gramEnd"/>
            <w:r>
              <w:t>) ⇒ E2(x)</w:t>
            </w:r>
          </w:p>
          <w:p w14:paraId="217E9D4A" w14:textId="77777777" w:rsidR="00BF18CF" w:rsidRDefault="00E51347">
            <w:r>
              <w:t>P183(</w:t>
            </w:r>
            <w:proofErr w:type="gramStart"/>
            <w:r>
              <w:t>x,y</w:t>
            </w:r>
            <w:proofErr w:type="gramEnd"/>
            <w:r>
              <w:t>) ⇒ E2(y)</w:t>
            </w:r>
          </w:p>
          <w:p w14:paraId="1164DE14" w14:textId="77777777" w:rsidR="00BF18CF" w:rsidRDefault="00E51347">
            <w:r>
              <w:t>P183(</w:t>
            </w:r>
            <w:proofErr w:type="gramStart"/>
            <w:r>
              <w:t>x,y</w:t>
            </w:r>
            <w:proofErr w:type="gramEnd"/>
            <w:r>
              <w:t>) ⇒ P182(x,y)</w:t>
            </w:r>
          </w:p>
          <w:p w14:paraId="65A84F99" w14:textId="77777777" w:rsidR="00BF18CF" w:rsidRDefault="00E51347">
            <w:r>
              <w:t>[P183(</w:t>
            </w:r>
            <w:proofErr w:type="gramStart"/>
            <w:r>
              <w:t>x,y</w:t>
            </w:r>
            <w:proofErr w:type="gramEnd"/>
            <w:r>
              <w:t>) ∧ P183(y,z)] ⇒ P183(x,z)</w:t>
            </w:r>
          </w:p>
        </w:tc>
      </w:tr>
      <w:tr w:rsidR="00BF18CF" w14:paraId="789290CB" w14:textId="77777777" w:rsidTr="00BF18CF">
        <w:tc>
          <w:tcPr>
            <w:tcW w:w="2168" w:type="dxa"/>
          </w:tcPr>
          <w:p w14:paraId="4EBA096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20" w:type="dxa"/>
          </w:tcPr>
          <w:p w14:paraId="52072E93" w14:textId="77777777" w:rsidR="00BF18CF" w:rsidRDefault="00BF18CF">
            <w:pPr>
              <w:pBdr>
                <w:top w:val="nil"/>
                <w:left w:val="nil"/>
                <w:bottom w:val="nil"/>
                <w:right w:val="nil"/>
                <w:between w:val="nil"/>
              </w:pBdr>
              <w:spacing w:before="36" w:after="36"/>
              <w:rPr>
                <w:color w:val="000000"/>
              </w:rPr>
            </w:pPr>
          </w:p>
        </w:tc>
      </w:tr>
      <w:tr w:rsidR="00BF18CF" w14:paraId="2BA9AE60" w14:textId="77777777" w:rsidTr="00BF18CF">
        <w:tc>
          <w:tcPr>
            <w:tcW w:w="2168" w:type="dxa"/>
          </w:tcPr>
          <w:p w14:paraId="29C9C252" w14:textId="5C24D51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20" w:type="dxa"/>
          </w:tcPr>
          <w:p w14:paraId="3C307FF5" w14:textId="77777777" w:rsidR="00BF18CF" w:rsidRDefault="00BF18CF">
            <w:pPr>
              <w:pBdr>
                <w:top w:val="nil"/>
                <w:left w:val="nil"/>
                <w:bottom w:val="nil"/>
                <w:right w:val="nil"/>
                <w:between w:val="nil"/>
              </w:pBdr>
              <w:spacing w:before="36" w:after="36"/>
              <w:rPr>
                <w:color w:val="000000"/>
              </w:rPr>
            </w:pPr>
          </w:p>
        </w:tc>
      </w:tr>
      <w:tr w:rsidR="00BF18CF" w14:paraId="2F43A005" w14:textId="77777777" w:rsidTr="00BF18CF">
        <w:tc>
          <w:tcPr>
            <w:tcW w:w="2168" w:type="dxa"/>
          </w:tcPr>
          <w:p w14:paraId="2793609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20" w:type="dxa"/>
          </w:tcPr>
          <w:p w14:paraId="5BED0773" w14:textId="77777777" w:rsidR="00BF18CF" w:rsidRDefault="00E51347">
            <w:r>
              <w:t xml:space="preserve">Wikipédia. « Algèbre des intervalles d’Allen ». Dans </w:t>
            </w:r>
            <w:r>
              <w:rPr>
                <w:i/>
              </w:rPr>
              <w:t>Wikipédia</w:t>
            </w:r>
            <w:r>
              <w:t>. San Francisco, US-CA: Wikipédia, 14 janvier 2021.</w:t>
            </w:r>
            <w:hyperlink r:id="rId449">
              <w:r>
                <w:rPr>
                  <w:color w:val="4F81BD"/>
                </w:rPr>
                <w:t xml:space="preserve"> https://fr.wikipedia.org/wiki/Alg%C3%A8bre_des_intervalles_d%27Allen</w:t>
              </w:r>
            </w:hyperlink>
            <w:r>
              <w:t>.</w:t>
            </w:r>
          </w:p>
        </w:tc>
      </w:tr>
    </w:tbl>
    <w:p w14:paraId="505EA01B" w14:textId="77777777" w:rsidR="00BF18CF" w:rsidRDefault="00E51347">
      <w:pPr>
        <w:pStyle w:val="Heading3"/>
      </w:pPr>
      <w:bookmarkStart w:id="561" w:name="bookmark=id.4c5u7s8" w:colFirst="0" w:colLast="0"/>
      <w:bookmarkStart w:id="562" w:name="_Toc144361024"/>
      <w:bookmarkEnd w:id="561"/>
      <w:r>
        <w:t>P184 se termine avant ou au moment de la fin de (se termine au moment de ou après la fin de)</w:t>
      </w:r>
      <w:bookmarkEnd w:id="562"/>
    </w:p>
    <w:tbl>
      <w:tblPr>
        <w:tblStyle w:val="affffffffffffffffffa"/>
        <w:tblW w:w="10688"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168"/>
        <w:gridCol w:w="8520"/>
      </w:tblGrid>
      <w:tr w:rsidR="00BF18CF" w14:paraId="69E346BC" w14:textId="77777777" w:rsidTr="00BF18CF">
        <w:tc>
          <w:tcPr>
            <w:tcW w:w="2168" w:type="dxa"/>
          </w:tcPr>
          <w:p w14:paraId="5930FFCD"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20" w:type="dxa"/>
          </w:tcPr>
          <w:p w14:paraId="47D24D10" w14:textId="77777777" w:rsidR="00BF18CF" w:rsidRDefault="00E51347">
            <w:r>
              <w:rPr>
                <w:rFonts w:ascii="Consolas" w:eastAsia="Consolas" w:hAnsi="Consolas" w:cs="Consolas"/>
                <w:sz w:val="22"/>
                <w:szCs w:val="22"/>
                <w:shd w:val="clear" w:color="auto" w:fill="EAEEF3"/>
              </w:rPr>
              <w:t>E2_Entité_temporelle</w:t>
            </w:r>
          </w:p>
        </w:tc>
      </w:tr>
      <w:tr w:rsidR="00BF18CF" w14:paraId="5D8FB4FB" w14:textId="77777777" w:rsidTr="00BF18CF">
        <w:tc>
          <w:tcPr>
            <w:tcW w:w="2168" w:type="dxa"/>
          </w:tcPr>
          <w:p w14:paraId="4F1D980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20" w:type="dxa"/>
          </w:tcPr>
          <w:p w14:paraId="3D5E1671" w14:textId="77777777" w:rsidR="00BF18CF" w:rsidRDefault="00E51347">
            <w:r>
              <w:rPr>
                <w:rFonts w:ascii="Consolas" w:eastAsia="Consolas" w:hAnsi="Consolas" w:cs="Consolas"/>
                <w:sz w:val="22"/>
                <w:szCs w:val="22"/>
                <w:shd w:val="clear" w:color="auto" w:fill="EAEEF3"/>
              </w:rPr>
              <w:t>E2_Entité_temporelle</w:t>
            </w:r>
          </w:p>
        </w:tc>
      </w:tr>
      <w:tr w:rsidR="00BF18CF" w14:paraId="070B5DBF" w14:textId="77777777" w:rsidTr="00BF18CF">
        <w:tc>
          <w:tcPr>
            <w:tcW w:w="2168" w:type="dxa"/>
          </w:tcPr>
          <w:p w14:paraId="6D1EE968"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20" w:type="dxa"/>
          </w:tcPr>
          <w:p w14:paraId="55ED2E05"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P184_se_termine_avant_ou_au_moment_de_la_fin_de (se_termine_au_moment_ou_après_la_fin_de)</w:t>
            </w:r>
            <w:r>
              <w:t xml:space="preserve"> : </w:t>
            </w:r>
            <w:r>
              <w:rPr>
                <w:rFonts w:ascii="Consolas" w:eastAsia="Consolas" w:hAnsi="Consolas" w:cs="Consolas"/>
                <w:sz w:val="22"/>
                <w:szCs w:val="22"/>
                <w:shd w:val="clear" w:color="auto" w:fill="EAEEF3"/>
              </w:rPr>
              <w:t>E2_Entité_temporelle</w:t>
            </w:r>
          </w:p>
        </w:tc>
      </w:tr>
      <w:tr w:rsidR="00BF18CF" w14:paraId="4323F000" w14:textId="77777777" w:rsidTr="00BF18CF">
        <w:tc>
          <w:tcPr>
            <w:tcW w:w="2168" w:type="dxa"/>
          </w:tcPr>
          <w:p w14:paraId="5A181963" w14:textId="77777777" w:rsidR="00BF18CF" w:rsidRDefault="00E51347">
            <w:pPr>
              <w:pBdr>
                <w:top w:val="nil"/>
                <w:left w:val="nil"/>
                <w:bottom w:val="nil"/>
                <w:right w:val="nil"/>
                <w:between w:val="nil"/>
              </w:pBdr>
              <w:spacing w:before="36" w:after="36"/>
              <w:rPr>
                <w:color w:val="000000"/>
              </w:rPr>
            </w:pPr>
            <w:r>
              <w:rPr>
                <w:b/>
                <w:color w:val="000000"/>
              </w:rPr>
              <w:lastRenderedPageBreak/>
              <w:t>Super-propriété de</w:t>
            </w:r>
          </w:p>
        </w:tc>
        <w:tc>
          <w:tcPr>
            <w:tcW w:w="8520" w:type="dxa"/>
          </w:tcPr>
          <w:p w14:paraId="6992E339"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P182_se_termine_avant_ou_au_moment_du_début_de (commence_après_ou_au_moment_de_la_fin_de)</w:t>
            </w:r>
            <w:r>
              <w:t xml:space="preserve"> : </w:t>
            </w:r>
            <w:r>
              <w:rPr>
                <w:rFonts w:ascii="Consolas" w:eastAsia="Consolas" w:hAnsi="Consolas" w:cs="Consolas"/>
                <w:sz w:val="22"/>
                <w:szCs w:val="22"/>
                <w:shd w:val="clear" w:color="auto" w:fill="EAEEF3"/>
              </w:rPr>
              <w:t>E2_Entité_temporelle</w:t>
            </w:r>
          </w:p>
        </w:tc>
      </w:tr>
      <w:tr w:rsidR="00BF18CF" w14:paraId="322B6CB1" w14:textId="77777777" w:rsidTr="00BF18CF">
        <w:tc>
          <w:tcPr>
            <w:tcW w:w="2168" w:type="dxa"/>
          </w:tcPr>
          <w:p w14:paraId="54BB1839"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20" w:type="dxa"/>
          </w:tcPr>
          <w:p w14:paraId="289D35F3" w14:textId="77777777" w:rsidR="00BF18CF" w:rsidRDefault="00E51347">
            <w:proofErr w:type="gramStart"/>
            <w:r>
              <w:t>plusieurs</w:t>
            </w:r>
            <w:proofErr w:type="gramEnd"/>
            <w:r>
              <w:t xml:space="preserve"> à plusieurs (0,n:0,n)</w:t>
            </w:r>
          </w:p>
        </w:tc>
      </w:tr>
      <w:tr w:rsidR="00BF18CF" w14:paraId="50450623" w14:textId="77777777" w:rsidTr="00BF18CF">
        <w:tc>
          <w:tcPr>
            <w:tcW w:w="2168" w:type="dxa"/>
          </w:tcPr>
          <w:p w14:paraId="46F58BB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20" w:type="dxa"/>
          </w:tcPr>
          <w:p w14:paraId="54FE5F12" w14:textId="77777777" w:rsidR="00BF18CF" w:rsidRDefault="00E51347">
            <w:r>
              <w:t xml:space="preserve">Cette propriété précise que l’étendue temporelle de l’instance du domaine (A) de </w:t>
            </w:r>
            <w:r>
              <w:rPr>
                <w:rFonts w:ascii="Consolas" w:eastAsia="Consolas" w:hAnsi="Consolas" w:cs="Consolas"/>
                <w:sz w:val="22"/>
                <w:szCs w:val="22"/>
                <w:shd w:val="clear" w:color="auto" w:fill="EAEEF3"/>
              </w:rPr>
              <w:t>E2_Entité_temporelle</w:t>
            </w:r>
            <w:r>
              <w:t xml:space="preserve"> se termine avant ou au moment de la fin de l’instance de la portée (B) de </w:t>
            </w:r>
            <w:r>
              <w:rPr>
                <w:rFonts w:ascii="Consolas" w:eastAsia="Consolas" w:hAnsi="Consolas" w:cs="Consolas"/>
                <w:sz w:val="22"/>
                <w:szCs w:val="22"/>
                <w:shd w:val="clear" w:color="auto" w:fill="EAEEF3"/>
              </w:rPr>
              <w:t>E2_Entité_temporelle</w:t>
            </w:r>
            <w:r>
              <w:t>.</w:t>
            </w:r>
          </w:p>
          <w:p w14:paraId="3D922316" w14:textId="77777777" w:rsidR="00BF18CF" w:rsidRDefault="00E51347">
            <w:r>
              <w:t>En d’autres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fin</w:t>
            </w:r>
            <w:r>
              <w:t xml:space="preserve"> ≤ B</w:t>
            </w:r>
            <w:r>
              <w:rPr>
                <w:vertAlign w:val="superscript"/>
              </w:rPr>
              <w:t>fin</w:t>
            </w:r>
            <w:r>
              <w:t xml:space="preserve"> est vrai.</w:t>
            </w:r>
          </w:p>
          <w:p w14:paraId="2A58CBE6" w14:textId="77777777" w:rsidR="00BF18CF" w:rsidRDefault="00E51347">
            <w:r>
              <w:t>Cette propriété fait partie de l’ensemble des propriétés temporelles P173 à P176 et P182 à P185.</w:t>
            </w:r>
          </w:p>
          <w:p w14:paraId="2B930648" w14:textId="77777777" w:rsidR="00BF18CF" w:rsidRDefault="00E51347">
            <w:r>
              <w:t>Cette propriété correspond à une disjonction (OU logique) des relations définies par l’algèbre des intervalles d’Allen suivantes [Allen, 1983] : {se déroule avant, rencontre, chevauche, termine par, démarre, est égal à, se déroule pendant, termine}</w:t>
            </w:r>
          </w:p>
          <w:p w14:paraId="4264B5D3" w14:textId="54D94BFD" w:rsidR="00BF18CF" w:rsidRDefault="00BC239A">
            <w:r>
              <w:rPr>
                <w:noProof/>
              </w:rPr>
              <w:drawing>
                <wp:inline distT="0" distB="0" distL="0" distR="0" wp14:anchorId="638713CC" wp14:editId="59D82A3D">
                  <wp:extent cx="5264150" cy="2359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264150" cy="2359660"/>
                          </a:xfrm>
                          <a:prstGeom prst="rect">
                            <a:avLst/>
                          </a:prstGeom>
                          <a:noFill/>
                          <a:ln>
                            <a:noFill/>
                          </a:ln>
                        </pic:spPr>
                      </pic:pic>
                    </a:graphicData>
                  </a:graphic>
                </wp:inline>
              </w:drawing>
            </w:r>
          </w:p>
          <w:p w14:paraId="2CA025F0" w14:textId="5B2740C6" w:rsidR="00BF18CF" w:rsidRDefault="00E51347">
            <w:pPr>
              <w:rPr>
                <w:i/>
              </w:rPr>
            </w:pPr>
            <w:r>
              <w:rPr>
                <w:i/>
              </w:rPr>
              <w:t xml:space="preserve">Figure 20 : </w:t>
            </w:r>
            <w:r w:rsidR="00BC239A" w:rsidRPr="00BC239A">
              <w:rPr>
                <w:i/>
              </w:rPr>
              <w:t>L'entité temporelle A termine avant ou au moment de la fin de l'entité temporelle B. Ici, A est plus long que B.</w:t>
            </w:r>
          </w:p>
          <w:p w14:paraId="16DC2A34" w14:textId="57B5F934" w:rsidR="00BF18CF" w:rsidRDefault="00BC239A">
            <w:r>
              <w:rPr>
                <w:noProof/>
              </w:rPr>
              <w:drawing>
                <wp:inline distT="0" distB="0" distL="0" distR="0" wp14:anchorId="35660609" wp14:editId="388EC205">
                  <wp:extent cx="5264150" cy="23215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264150" cy="2321560"/>
                          </a:xfrm>
                          <a:prstGeom prst="rect">
                            <a:avLst/>
                          </a:prstGeom>
                          <a:noFill/>
                          <a:ln>
                            <a:noFill/>
                          </a:ln>
                        </pic:spPr>
                      </pic:pic>
                    </a:graphicData>
                  </a:graphic>
                </wp:inline>
              </w:drawing>
            </w:r>
          </w:p>
          <w:p w14:paraId="174BC158" w14:textId="6BAD1CA1" w:rsidR="00BF18CF" w:rsidRDefault="00E51347">
            <w:r>
              <w:rPr>
                <w:i/>
              </w:rPr>
              <w:lastRenderedPageBreak/>
              <w:t xml:space="preserve">Figure 21 : </w:t>
            </w:r>
            <w:r w:rsidR="00BC239A" w:rsidRPr="00BC239A">
              <w:rPr>
                <w:i/>
              </w:rPr>
              <w:t>L'entité temporelle A termine avant ou au moment de la fin de l'entité temporelle B. Ici, A est plus court que B.</w:t>
            </w:r>
          </w:p>
        </w:tc>
      </w:tr>
      <w:tr w:rsidR="00BF18CF" w14:paraId="007D1D3E" w14:textId="77777777" w:rsidTr="00BF18CF">
        <w:tc>
          <w:tcPr>
            <w:tcW w:w="2168" w:type="dxa"/>
          </w:tcPr>
          <w:p w14:paraId="03095D43"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20" w:type="dxa"/>
          </w:tcPr>
          <w:p w14:paraId="194B8013" w14:textId="77777777" w:rsidR="00BF18CF" w:rsidRDefault="00BF18CF">
            <w:pPr>
              <w:pBdr>
                <w:top w:val="nil"/>
                <w:left w:val="nil"/>
                <w:bottom w:val="nil"/>
                <w:right w:val="nil"/>
                <w:between w:val="nil"/>
              </w:pBdr>
              <w:spacing w:before="36" w:after="36"/>
              <w:rPr>
                <w:color w:val="000000"/>
              </w:rPr>
            </w:pPr>
          </w:p>
        </w:tc>
      </w:tr>
      <w:tr w:rsidR="00BF18CF" w14:paraId="2DFE044F" w14:textId="77777777" w:rsidTr="00BF18CF">
        <w:tc>
          <w:tcPr>
            <w:tcW w:w="2168" w:type="dxa"/>
          </w:tcPr>
          <w:p w14:paraId="5AD790D0"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20" w:type="dxa"/>
          </w:tcPr>
          <w:p w14:paraId="1ADB6BBC" w14:textId="77777777" w:rsidR="00BF18CF" w:rsidRDefault="00E51347">
            <w:r>
              <w:t>P184(</w:t>
            </w:r>
            <w:proofErr w:type="gramStart"/>
            <w:r>
              <w:t>x,y</w:t>
            </w:r>
            <w:proofErr w:type="gramEnd"/>
            <w:r>
              <w:t>) ⇒ E2(x)</w:t>
            </w:r>
          </w:p>
          <w:p w14:paraId="6EC0C703" w14:textId="77777777" w:rsidR="00BF18CF" w:rsidRDefault="00E51347">
            <w:r>
              <w:t>P184(</w:t>
            </w:r>
            <w:proofErr w:type="gramStart"/>
            <w:r>
              <w:t>x,y</w:t>
            </w:r>
            <w:proofErr w:type="gramEnd"/>
            <w:r>
              <w:t>) ⇒ E2(y)</w:t>
            </w:r>
          </w:p>
          <w:p w14:paraId="749FB55F" w14:textId="77777777" w:rsidR="00BF18CF" w:rsidRDefault="00E51347">
            <w:r>
              <w:t>P184(</w:t>
            </w:r>
            <w:proofErr w:type="gramStart"/>
            <w:r>
              <w:t>x,y</w:t>
            </w:r>
            <w:proofErr w:type="gramEnd"/>
            <w:r>
              <w:t>) ⇒ P174(x,y)</w:t>
            </w:r>
          </w:p>
        </w:tc>
      </w:tr>
      <w:tr w:rsidR="00BF18CF" w14:paraId="6CB123E8" w14:textId="77777777" w:rsidTr="00BF18CF">
        <w:tc>
          <w:tcPr>
            <w:tcW w:w="2168" w:type="dxa"/>
          </w:tcPr>
          <w:p w14:paraId="04F81BD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20" w:type="dxa"/>
          </w:tcPr>
          <w:p w14:paraId="3D5122CF" w14:textId="77777777" w:rsidR="00BF18CF" w:rsidRDefault="00BF18CF">
            <w:pPr>
              <w:pBdr>
                <w:top w:val="nil"/>
                <w:left w:val="nil"/>
                <w:bottom w:val="nil"/>
                <w:right w:val="nil"/>
                <w:between w:val="nil"/>
              </w:pBdr>
              <w:spacing w:before="36" w:after="36"/>
              <w:rPr>
                <w:color w:val="000000"/>
              </w:rPr>
            </w:pPr>
          </w:p>
        </w:tc>
      </w:tr>
      <w:tr w:rsidR="00BF18CF" w14:paraId="4360CF9E" w14:textId="77777777" w:rsidTr="00BF18CF">
        <w:tc>
          <w:tcPr>
            <w:tcW w:w="2168" w:type="dxa"/>
          </w:tcPr>
          <w:p w14:paraId="62BB6AC6" w14:textId="6717241D"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20" w:type="dxa"/>
          </w:tcPr>
          <w:p w14:paraId="4AFC128F" w14:textId="77777777" w:rsidR="00BF18CF" w:rsidRDefault="00BF18CF">
            <w:pPr>
              <w:pBdr>
                <w:top w:val="nil"/>
                <w:left w:val="nil"/>
                <w:bottom w:val="nil"/>
                <w:right w:val="nil"/>
                <w:between w:val="nil"/>
              </w:pBdr>
              <w:spacing w:before="36" w:after="36"/>
              <w:rPr>
                <w:color w:val="000000"/>
              </w:rPr>
            </w:pPr>
          </w:p>
        </w:tc>
      </w:tr>
      <w:tr w:rsidR="00BF18CF" w14:paraId="4CD00EAA" w14:textId="77777777" w:rsidTr="00BF18CF">
        <w:tc>
          <w:tcPr>
            <w:tcW w:w="2168" w:type="dxa"/>
          </w:tcPr>
          <w:p w14:paraId="7409A7CD"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20" w:type="dxa"/>
          </w:tcPr>
          <w:p w14:paraId="317767A6" w14:textId="77777777" w:rsidR="00BF18CF" w:rsidRDefault="00E51347">
            <w:r>
              <w:t xml:space="preserve">Wikipédia. « Algèbre des intervalles d’Allen ». Dans </w:t>
            </w:r>
            <w:r>
              <w:rPr>
                <w:i/>
              </w:rPr>
              <w:t>Wikipédia</w:t>
            </w:r>
            <w:r>
              <w:t>. San Francisco, US-CA: Wikipédia, 14 janvier 2021.</w:t>
            </w:r>
            <w:hyperlink r:id="rId452">
              <w:r>
                <w:rPr>
                  <w:color w:val="4F81BD"/>
                </w:rPr>
                <w:t xml:space="preserve"> https://fr.wikipedia.org/wiki/Alg%C3%A8bre_des_intervalles_d%27Allen</w:t>
              </w:r>
            </w:hyperlink>
            <w:r>
              <w:t>.</w:t>
            </w:r>
          </w:p>
        </w:tc>
      </w:tr>
    </w:tbl>
    <w:p w14:paraId="64CF74E9" w14:textId="77777777" w:rsidR="00BF18CF" w:rsidRDefault="00E51347">
      <w:pPr>
        <w:pStyle w:val="Heading3"/>
      </w:pPr>
      <w:bookmarkStart w:id="563" w:name="bookmark=id.2rb4i01" w:colFirst="0" w:colLast="0"/>
      <w:bookmarkStart w:id="564" w:name="_Toc144361025"/>
      <w:bookmarkEnd w:id="563"/>
      <w:r>
        <w:t>P185 se termine avant la fin de (se termine après la fin de)</w:t>
      </w:r>
      <w:bookmarkEnd w:id="564"/>
    </w:p>
    <w:tbl>
      <w:tblPr>
        <w:tblStyle w:val="affffffffffffffffffb"/>
        <w:tblW w:w="10688"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168"/>
        <w:gridCol w:w="8520"/>
      </w:tblGrid>
      <w:tr w:rsidR="00BF18CF" w14:paraId="7FD82234" w14:textId="77777777" w:rsidTr="00BF18CF">
        <w:tc>
          <w:tcPr>
            <w:tcW w:w="2168" w:type="dxa"/>
          </w:tcPr>
          <w:p w14:paraId="05C4F0BB"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20" w:type="dxa"/>
          </w:tcPr>
          <w:p w14:paraId="6F53E07E" w14:textId="77777777" w:rsidR="00BF18CF" w:rsidRDefault="00E51347">
            <w:r>
              <w:rPr>
                <w:rFonts w:ascii="Consolas" w:eastAsia="Consolas" w:hAnsi="Consolas" w:cs="Consolas"/>
                <w:sz w:val="22"/>
                <w:szCs w:val="22"/>
                <w:shd w:val="clear" w:color="auto" w:fill="EAEEF3"/>
              </w:rPr>
              <w:t>E2_Entité_temporelle</w:t>
            </w:r>
          </w:p>
        </w:tc>
      </w:tr>
      <w:tr w:rsidR="00BF18CF" w14:paraId="59E44945" w14:textId="77777777" w:rsidTr="00BF18CF">
        <w:tc>
          <w:tcPr>
            <w:tcW w:w="2168" w:type="dxa"/>
          </w:tcPr>
          <w:p w14:paraId="21A51C67"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20" w:type="dxa"/>
          </w:tcPr>
          <w:p w14:paraId="563F6A77" w14:textId="77777777" w:rsidR="00BF18CF" w:rsidRDefault="00E51347">
            <w:r>
              <w:rPr>
                <w:rFonts w:ascii="Consolas" w:eastAsia="Consolas" w:hAnsi="Consolas" w:cs="Consolas"/>
                <w:sz w:val="22"/>
                <w:szCs w:val="22"/>
                <w:shd w:val="clear" w:color="auto" w:fill="EAEEF3"/>
              </w:rPr>
              <w:t>E2_Entité_temporelle</w:t>
            </w:r>
          </w:p>
        </w:tc>
      </w:tr>
      <w:tr w:rsidR="00BF18CF" w14:paraId="51177272" w14:textId="77777777" w:rsidTr="00BF18CF">
        <w:tc>
          <w:tcPr>
            <w:tcW w:w="2168" w:type="dxa"/>
          </w:tcPr>
          <w:p w14:paraId="25DBC771"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20" w:type="dxa"/>
          </w:tcPr>
          <w:p w14:paraId="7B7EF8B0"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P174_commence_avant_la_fin_de (se_termine_après_le_début_de)</w:t>
            </w:r>
            <w:r>
              <w:t xml:space="preserve"> : </w:t>
            </w:r>
            <w:r>
              <w:rPr>
                <w:rFonts w:ascii="Consolas" w:eastAsia="Consolas" w:hAnsi="Consolas" w:cs="Consolas"/>
                <w:sz w:val="22"/>
                <w:szCs w:val="22"/>
                <w:shd w:val="clear" w:color="auto" w:fill="EAEEF3"/>
              </w:rPr>
              <w:t>E2_Entité_temporelle</w:t>
            </w:r>
          </w:p>
        </w:tc>
      </w:tr>
      <w:tr w:rsidR="00BF18CF" w14:paraId="6AC94EC8" w14:textId="77777777" w:rsidTr="00BF18CF">
        <w:tc>
          <w:tcPr>
            <w:tcW w:w="2168" w:type="dxa"/>
          </w:tcPr>
          <w:p w14:paraId="0B8E58A8"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20" w:type="dxa"/>
          </w:tcPr>
          <w:p w14:paraId="6EEBE551" w14:textId="77777777" w:rsidR="00BF18CF" w:rsidRDefault="00E51347">
            <w:r>
              <w:rPr>
                <w:rFonts w:ascii="Consolas" w:eastAsia="Consolas" w:hAnsi="Consolas" w:cs="Consolas"/>
                <w:sz w:val="22"/>
                <w:szCs w:val="22"/>
                <w:shd w:val="clear" w:color="auto" w:fill="EAEEF3"/>
              </w:rPr>
              <w:t>E2_Entité_temporelle</w:t>
            </w:r>
            <w:r>
              <w:t xml:space="preserve">. </w:t>
            </w:r>
            <w:r>
              <w:rPr>
                <w:rFonts w:ascii="Consolas" w:eastAsia="Consolas" w:hAnsi="Consolas" w:cs="Consolas"/>
                <w:sz w:val="22"/>
                <w:szCs w:val="22"/>
                <w:shd w:val="clear" w:color="auto" w:fill="EAEEF3"/>
              </w:rPr>
              <w:t>P185_se_termine_avant_la_fin_de (se_termine_après_la_fin_de)</w:t>
            </w:r>
            <w:r>
              <w:t xml:space="preserve"> : </w:t>
            </w:r>
            <w:r>
              <w:rPr>
                <w:rFonts w:ascii="Consolas" w:eastAsia="Consolas" w:hAnsi="Consolas" w:cs="Consolas"/>
                <w:sz w:val="22"/>
                <w:szCs w:val="22"/>
                <w:shd w:val="clear" w:color="auto" w:fill="EAEEF3"/>
              </w:rPr>
              <w:t>E2_Entité_temporelle</w:t>
            </w:r>
          </w:p>
        </w:tc>
      </w:tr>
      <w:tr w:rsidR="00BF18CF" w14:paraId="6FF584B0" w14:textId="77777777" w:rsidTr="00BF18CF">
        <w:tc>
          <w:tcPr>
            <w:tcW w:w="2168" w:type="dxa"/>
          </w:tcPr>
          <w:p w14:paraId="47E0405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20" w:type="dxa"/>
          </w:tcPr>
          <w:p w14:paraId="011078C3" w14:textId="77777777" w:rsidR="00BF18CF" w:rsidRDefault="00E51347">
            <w:proofErr w:type="gramStart"/>
            <w:r>
              <w:t>plusieurs</w:t>
            </w:r>
            <w:proofErr w:type="gramEnd"/>
            <w:r>
              <w:t xml:space="preserve"> à plusieurs (0,n:0,n)</w:t>
            </w:r>
          </w:p>
        </w:tc>
      </w:tr>
      <w:tr w:rsidR="00BF18CF" w14:paraId="53E01141" w14:textId="77777777" w:rsidTr="00BF18CF">
        <w:tc>
          <w:tcPr>
            <w:tcW w:w="2168" w:type="dxa"/>
          </w:tcPr>
          <w:p w14:paraId="38F0487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20" w:type="dxa"/>
          </w:tcPr>
          <w:p w14:paraId="75185A89" w14:textId="77777777" w:rsidR="00BF18CF" w:rsidRDefault="00E51347">
            <w:r>
              <w:t xml:space="preserve">Cette propriété précise que l’étendue temporelle de l’instance du domaine (A) de </w:t>
            </w:r>
            <w:r>
              <w:rPr>
                <w:rFonts w:ascii="Consolas" w:eastAsia="Consolas" w:hAnsi="Consolas" w:cs="Consolas"/>
                <w:sz w:val="22"/>
                <w:szCs w:val="22"/>
                <w:shd w:val="clear" w:color="auto" w:fill="EAEEF3"/>
              </w:rPr>
              <w:t>E2_Entité_temporelle</w:t>
            </w:r>
            <w:r>
              <w:t xml:space="preserve"> se termine définitivement avant la fin de l’instance de la portée (B) de </w:t>
            </w:r>
            <w:r>
              <w:rPr>
                <w:rFonts w:ascii="Consolas" w:eastAsia="Consolas" w:hAnsi="Consolas" w:cs="Consolas"/>
                <w:sz w:val="22"/>
                <w:szCs w:val="22"/>
                <w:shd w:val="clear" w:color="auto" w:fill="EAEEF3"/>
              </w:rPr>
              <w:t>E2_Entité_temporelle</w:t>
            </w:r>
            <w:r>
              <w:t>.</w:t>
            </w:r>
          </w:p>
          <w:p w14:paraId="42563627" w14:textId="77777777" w:rsidR="00BF18CF" w:rsidRDefault="00E51347">
            <w:r>
              <w:t>En d’autres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fin</w:t>
            </w:r>
            <w:r>
              <w:t xml:space="preserve"> &lt; B</w:t>
            </w:r>
            <w:r>
              <w:rPr>
                <w:vertAlign w:val="superscript"/>
              </w:rPr>
              <w:t>fin</w:t>
            </w:r>
            <w:r>
              <w:t xml:space="preserve"> est vrai.</w:t>
            </w:r>
          </w:p>
          <w:p w14:paraId="00683DBB" w14:textId="77777777" w:rsidR="00BF18CF" w:rsidRDefault="00E51347">
            <w:r>
              <w:t>Cette propriété fait partie de l’ensemble des propriétés temporelles P173 à P176 et P182 à P185.</w:t>
            </w:r>
          </w:p>
          <w:p w14:paraId="3A14CDF4" w14:textId="77777777" w:rsidR="00BF18CF" w:rsidRDefault="00E51347">
            <w:r>
              <w:t>Cette propriété correspond à une disjonction (OU logique) des relations définies par l’algèbre des intervalles d’Allen suivantes [Allen, 1983] : {se déroule avant, rencontre, chevauche, démarre, se déroule pendant}.</w:t>
            </w:r>
          </w:p>
          <w:p w14:paraId="4B2DEB20" w14:textId="77777777" w:rsidR="00BF18CF" w:rsidRDefault="00E51347">
            <w:r>
              <w:t>Cette propriété est transitive.</w:t>
            </w:r>
          </w:p>
          <w:p w14:paraId="3BA1F88D" w14:textId="77777777" w:rsidR="00BF18CF" w:rsidRDefault="00E51347">
            <w:r>
              <w:rPr>
                <w:noProof/>
              </w:rPr>
              <w:lastRenderedPageBreak/>
              <w:drawing>
                <wp:inline distT="0" distB="0" distL="0" distR="0" wp14:anchorId="03706A96" wp14:editId="0AB5A435">
                  <wp:extent cx="5270500" cy="257175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3"/>
                          <a:srcRect/>
                          <a:stretch>
                            <a:fillRect/>
                          </a:stretch>
                        </pic:blipFill>
                        <pic:spPr>
                          <a:xfrm>
                            <a:off x="0" y="0"/>
                            <a:ext cx="5270500" cy="2571750"/>
                          </a:xfrm>
                          <a:prstGeom prst="rect">
                            <a:avLst/>
                          </a:prstGeom>
                          <a:ln/>
                        </pic:spPr>
                      </pic:pic>
                    </a:graphicData>
                  </a:graphic>
                </wp:inline>
              </w:drawing>
            </w:r>
          </w:p>
          <w:p w14:paraId="4FC90F77" w14:textId="77777777" w:rsidR="00BF18CF" w:rsidRDefault="00E51347">
            <w:pPr>
              <w:rPr>
                <w:i/>
              </w:rPr>
            </w:pPr>
            <w:r>
              <w:rPr>
                <w:i/>
              </w:rPr>
              <w:t>Figure 22 : L'entité temporelle A termine avant la fin de l'entité temporelle B. Ici, A est plus long que B.</w:t>
            </w:r>
          </w:p>
          <w:p w14:paraId="6F6324B0" w14:textId="77777777" w:rsidR="00BF18CF" w:rsidRDefault="00E51347">
            <w:r>
              <w:rPr>
                <w:i/>
                <w:noProof/>
              </w:rPr>
              <w:drawing>
                <wp:inline distT="0" distB="0" distL="0" distR="0" wp14:anchorId="75694311" wp14:editId="623EDDC2">
                  <wp:extent cx="5060950" cy="260985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4"/>
                          <a:srcRect/>
                          <a:stretch>
                            <a:fillRect/>
                          </a:stretch>
                        </pic:blipFill>
                        <pic:spPr>
                          <a:xfrm>
                            <a:off x="0" y="0"/>
                            <a:ext cx="5060950" cy="2609850"/>
                          </a:xfrm>
                          <a:prstGeom prst="rect">
                            <a:avLst/>
                          </a:prstGeom>
                          <a:ln/>
                        </pic:spPr>
                      </pic:pic>
                    </a:graphicData>
                  </a:graphic>
                </wp:inline>
              </w:drawing>
            </w:r>
          </w:p>
          <w:p w14:paraId="498379AF" w14:textId="77777777" w:rsidR="00BF18CF" w:rsidRDefault="00E51347">
            <w:r>
              <w:rPr>
                <w:i/>
              </w:rPr>
              <w:t>Figure 23 : L'entité temporelle A termine avant la fin de l'entité temporelle B. Ici, A est plus court que B.</w:t>
            </w:r>
          </w:p>
        </w:tc>
      </w:tr>
      <w:tr w:rsidR="00BF18CF" w14:paraId="6CAB2D98" w14:textId="77777777" w:rsidTr="00BF18CF">
        <w:tc>
          <w:tcPr>
            <w:tcW w:w="2168" w:type="dxa"/>
          </w:tcPr>
          <w:p w14:paraId="5602CCEB"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20" w:type="dxa"/>
          </w:tcPr>
          <w:p w14:paraId="447C3933" w14:textId="77777777" w:rsidR="00BF18CF" w:rsidRDefault="00BF18CF">
            <w:pPr>
              <w:pBdr>
                <w:top w:val="nil"/>
                <w:left w:val="nil"/>
                <w:bottom w:val="nil"/>
                <w:right w:val="nil"/>
                <w:between w:val="nil"/>
              </w:pBdr>
              <w:spacing w:before="36" w:after="36"/>
              <w:rPr>
                <w:color w:val="000000"/>
              </w:rPr>
            </w:pPr>
          </w:p>
        </w:tc>
      </w:tr>
      <w:tr w:rsidR="00BF18CF" w14:paraId="7ECCC81A" w14:textId="77777777" w:rsidTr="00BF18CF">
        <w:tc>
          <w:tcPr>
            <w:tcW w:w="2168" w:type="dxa"/>
          </w:tcPr>
          <w:p w14:paraId="7E0118C6"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20" w:type="dxa"/>
          </w:tcPr>
          <w:p w14:paraId="0B206E2D" w14:textId="77777777" w:rsidR="00BF18CF" w:rsidRDefault="00E51347">
            <w:r>
              <w:t>P185(</w:t>
            </w:r>
            <w:proofErr w:type="gramStart"/>
            <w:r>
              <w:t>x,y</w:t>
            </w:r>
            <w:proofErr w:type="gramEnd"/>
            <w:r>
              <w:t>) ⇒ E2(x)</w:t>
            </w:r>
          </w:p>
          <w:p w14:paraId="762F6CC4" w14:textId="77777777" w:rsidR="00BF18CF" w:rsidRDefault="00E51347">
            <w:r>
              <w:t>P185(</w:t>
            </w:r>
            <w:proofErr w:type="gramStart"/>
            <w:r>
              <w:t>x,y</w:t>
            </w:r>
            <w:proofErr w:type="gramEnd"/>
            <w:r>
              <w:t>) ⇒ E2(y)</w:t>
            </w:r>
          </w:p>
          <w:p w14:paraId="146C92CB" w14:textId="77777777" w:rsidR="00BF18CF" w:rsidRDefault="00E51347">
            <w:r>
              <w:t>P185(</w:t>
            </w:r>
            <w:proofErr w:type="gramStart"/>
            <w:r>
              <w:t>x,y</w:t>
            </w:r>
            <w:proofErr w:type="gramEnd"/>
            <w:r>
              <w:t>) ⇒ P184(x,y)</w:t>
            </w:r>
          </w:p>
          <w:p w14:paraId="24482554" w14:textId="77777777" w:rsidR="00BF18CF" w:rsidRDefault="00E51347">
            <w:r>
              <w:t>[P185(</w:t>
            </w:r>
            <w:proofErr w:type="gramStart"/>
            <w:r>
              <w:t>x,y</w:t>
            </w:r>
            <w:proofErr w:type="gramEnd"/>
            <w:r>
              <w:t>) ∧ P185(y,z)] ⇒ P185(x,z)</w:t>
            </w:r>
          </w:p>
        </w:tc>
      </w:tr>
      <w:tr w:rsidR="00BF18CF" w14:paraId="0ACB05EB" w14:textId="77777777" w:rsidTr="00BF18CF">
        <w:tc>
          <w:tcPr>
            <w:tcW w:w="2168" w:type="dxa"/>
          </w:tcPr>
          <w:p w14:paraId="11257D51"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20" w:type="dxa"/>
          </w:tcPr>
          <w:p w14:paraId="6645473E" w14:textId="77777777" w:rsidR="00BF18CF" w:rsidRDefault="00BF18CF">
            <w:pPr>
              <w:pBdr>
                <w:top w:val="nil"/>
                <w:left w:val="nil"/>
                <w:bottom w:val="nil"/>
                <w:right w:val="nil"/>
                <w:between w:val="nil"/>
              </w:pBdr>
              <w:spacing w:before="36" w:after="36"/>
              <w:rPr>
                <w:color w:val="000000"/>
              </w:rPr>
            </w:pPr>
          </w:p>
        </w:tc>
      </w:tr>
      <w:tr w:rsidR="00BF18CF" w14:paraId="1D85DD74" w14:textId="77777777" w:rsidTr="00BF18CF">
        <w:tc>
          <w:tcPr>
            <w:tcW w:w="2168" w:type="dxa"/>
          </w:tcPr>
          <w:p w14:paraId="29AECD88" w14:textId="62F8465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20" w:type="dxa"/>
          </w:tcPr>
          <w:p w14:paraId="320FA6FC" w14:textId="77777777" w:rsidR="00BF18CF" w:rsidRDefault="00BF18CF">
            <w:pPr>
              <w:pBdr>
                <w:top w:val="nil"/>
                <w:left w:val="nil"/>
                <w:bottom w:val="nil"/>
                <w:right w:val="nil"/>
                <w:between w:val="nil"/>
              </w:pBdr>
              <w:spacing w:before="36" w:after="36"/>
              <w:rPr>
                <w:color w:val="000000"/>
              </w:rPr>
            </w:pPr>
          </w:p>
        </w:tc>
      </w:tr>
      <w:tr w:rsidR="00BF18CF" w14:paraId="4AD6E6D2" w14:textId="77777777" w:rsidTr="00BF18CF">
        <w:tc>
          <w:tcPr>
            <w:tcW w:w="2168" w:type="dxa"/>
          </w:tcPr>
          <w:p w14:paraId="338D5EB1" w14:textId="77777777" w:rsidR="00BF18CF" w:rsidRDefault="00E51347">
            <w:pPr>
              <w:pBdr>
                <w:top w:val="nil"/>
                <w:left w:val="nil"/>
                <w:bottom w:val="nil"/>
                <w:right w:val="nil"/>
                <w:between w:val="nil"/>
              </w:pBdr>
              <w:spacing w:before="36" w:after="36"/>
              <w:rPr>
                <w:color w:val="000000"/>
              </w:rPr>
            </w:pPr>
            <w:r>
              <w:rPr>
                <w:b/>
                <w:i/>
                <w:color w:val="000000"/>
              </w:rPr>
              <w:lastRenderedPageBreak/>
              <w:t>Références</w:t>
            </w:r>
          </w:p>
        </w:tc>
        <w:tc>
          <w:tcPr>
            <w:tcW w:w="8520" w:type="dxa"/>
          </w:tcPr>
          <w:p w14:paraId="517684F1" w14:textId="77777777" w:rsidR="00BF18CF" w:rsidRDefault="00E51347">
            <w:r>
              <w:t xml:space="preserve">Wikipédia. « Algèbre des intervalles d’Allen ». Dans </w:t>
            </w:r>
            <w:r>
              <w:rPr>
                <w:i/>
              </w:rPr>
              <w:t>Wikipédia</w:t>
            </w:r>
            <w:r>
              <w:t>. San Francisco, US-CA: Wikipédia, 14 janvier 2021.</w:t>
            </w:r>
            <w:hyperlink r:id="rId455">
              <w:r>
                <w:rPr>
                  <w:color w:val="4F81BD"/>
                </w:rPr>
                <w:t xml:space="preserve"> https://fr.wikipedia.org/wiki/Alg%C3%A8bre_des_intervalles_d%27Allen</w:t>
              </w:r>
            </w:hyperlink>
            <w:r>
              <w:t>.</w:t>
            </w:r>
          </w:p>
        </w:tc>
      </w:tr>
    </w:tbl>
    <w:p w14:paraId="3161D4E4" w14:textId="77777777" w:rsidR="00BF18CF" w:rsidRDefault="00E51347">
      <w:pPr>
        <w:pStyle w:val="Heading3"/>
      </w:pPr>
      <w:bookmarkStart w:id="565" w:name="bookmark=id.16ges7u" w:colFirst="0" w:colLast="0"/>
      <w:bookmarkStart w:id="566" w:name="_Toc144361026"/>
      <w:bookmarkEnd w:id="565"/>
      <w:r>
        <w:t>P186 a produit la chose du type (est produit par)</w:t>
      </w:r>
      <w:bookmarkEnd w:id="566"/>
    </w:p>
    <w:tbl>
      <w:tblPr>
        <w:tblStyle w:val="affffffff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911"/>
        <w:gridCol w:w="8779"/>
      </w:tblGrid>
      <w:tr w:rsidR="00BF18CF" w14:paraId="1CAC65D5" w14:textId="77777777" w:rsidTr="00BF18CF">
        <w:tc>
          <w:tcPr>
            <w:tcW w:w="1911" w:type="dxa"/>
          </w:tcPr>
          <w:p w14:paraId="1130F710"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79" w:type="dxa"/>
          </w:tcPr>
          <w:p w14:paraId="1E82D830" w14:textId="77777777" w:rsidR="00BF18CF" w:rsidRDefault="00E51347">
            <w:r>
              <w:rPr>
                <w:rFonts w:ascii="Consolas" w:eastAsia="Consolas" w:hAnsi="Consolas" w:cs="Consolas"/>
                <w:sz w:val="22"/>
                <w:szCs w:val="22"/>
                <w:shd w:val="clear" w:color="auto" w:fill="EAEEF3"/>
              </w:rPr>
              <w:t>E12_Production</w:t>
            </w:r>
          </w:p>
        </w:tc>
      </w:tr>
      <w:tr w:rsidR="00BF18CF" w14:paraId="2379244D" w14:textId="77777777" w:rsidTr="00BF18CF">
        <w:tc>
          <w:tcPr>
            <w:tcW w:w="1911" w:type="dxa"/>
          </w:tcPr>
          <w:p w14:paraId="1CCB5F4B"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79" w:type="dxa"/>
          </w:tcPr>
          <w:p w14:paraId="41137B97" w14:textId="77777777" w:rsidR="00BF18CF" w:rsidRDefault="00E51347">
            <w:r>
              <w:rPr>
                <w:rFonts w:ascii="Consolas" w:eastAsia="Consolas" w:hAnsi="Consolas" w:cs="Consolas"/>
                <w:sz w:val="22"/>
                <w:szCs w:val="22"/>
                <w:shd w:val="clear" w:color="auto" w:fill="EAEEF3"/>
              </w:rPr>
              <w:t>E99_Modèle_de_produit</w:t>
            </w:r>
          </w:p>
        </w:tc>
      </w:tr>
      <w:tr w:rsidR="00BF18CF" w14:paraId="785D8D8D" w14:textId="77777777" w:rsidTr="00BF18CF">
        <w:tc>
          <w:tcPr>
            <w:tcW w:w="1911" w:type="dxa"/>
          </w:tcPr>
          <w:p w14:paraId="79726CA5"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79" w:type="dxa"/>
          </w:tcPr>
          <w:p w14:paraId="35BEEB81" w14:textId="77777777" w:rsidR="00BF18CF" w:rsidRDefault="00BF18CF">
            <w:pPr>
              <w:pBdr>
                <w:top w:val="nil"/>
                <w:left w:val="nil"/>
                <w:bottom w:val="nil"/>
                <w:right w:val="nil"/>
                <w:between w:val="nil"/>
              </w:pBdr>
              <w:spacing w:before="36" w:after="36"/>
              <w:rPr>
                <w:color w:val="000000"/>
              </w:rPr>
            </w:pPr>
          </w:p>
        </w:tc>
      </w:tr>
      <w:tr w:rsidR="00BF18CF" w14:paraId="7B78FFB5" w14:textId="77777777" w:rsidTr="00BF18CF">
        <w:tc>
          <w:tcPr>
            <w:tcW w:w="1911" w:type="dxa"/>
          </w:tcPr>
          <w:p w14:paraId="380C445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79" w:type="dxa"/>
          </w:tcPr>
          <w:p w14:paraId="49A5DF6C" w14:textId="77777777" w:rsidR="00BF18CF" w:rsidRDefault="00BF18CF">
            <w:pPr>
              <w:pBdr>
                <w:top w:val="nil"/>
                <w:left w:val="nil"/>
                <w:bottom w:val="nil"/>
                <w:right w:val="nil"/>
                <w:between w:val="nil"/>
              </w:pBdr>
              <w:spacing w:before="36" w:after="36"/>
              <w:rPr>
                <w:color w:val="000000"/>
              </w:rPr>
            </w:pPr>
          </w:p>
        </w:tc>
      </w:tr>
      <w:tr w:rsidR="00BF18CF" w14:paraId="08757E77" w14:textId="77777777" w:rsidTr="00BF18CF">
        <w:tc>
          <w:tcPr>
            <w:tcW w:w="1911" w:type="dxa"/>
          </w:tcPr>
          <w:p w14:paraId="6BF6BBE9"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779" w:type="dxa"/>
          </w:tcPr>
          <w:p w14:paraId="7393CEE8" w14:textId="77777777" w:rsidR="00BF18CF" w:rsidRDefault="00E51347">
            <w:proofErr w:type="gramStart"/>
            <w:r>
              <w:t>plusieurs</w:t>
            </w:r>
            <w:proofErr w:type="gramEnd"/>
            <w:r>
              <w:t xml:space="preserve"> à plusieurs (0,n:0,n)</w:t>
            </w:r>
          </w:p>
        </w:tc>
      </w:tr>
      <w:tr w:rsidR="00BF18CF" w14:paraId="22275E15" w14:textId="77777777" w:rsidTr="00BF18CF">
        <w:tc>
          <w:tcPr>
            <w:tcW w:w="1911" w:type="dxa"/>
          </w:tcPr>
          <w:p w14:paraId="1E81492A"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79" w:type="dxa"/>
          </w:tcPr>
          <w:p w14:paraId="60E090FF" w14:textId="77777777" w:rsidR="00BF18CF" w:rsidRDefault="00E51347">
            <w:r>
              <w:t xml:space="preserve">Cette propriété associe une instance de </w:t>
            </w:r>
            <w:r>
              <w:rPr>
                <w:rFonts w:ascii="Consolas" w:eastAsia="Consolas" w:hAnsi="Consolas" w:cs="Consolas"/>
                <w:sz w:val="22"/>
                <w:szCs w:val="22"/>
                <w:shd w:val="clear" w:color="auto" w:fill="EAEEF3"/>
              </w:rPr>
              <w:t>E12_Production</w:t>
            </w:r>
            <w:r>
              <w:t xml:space="preserve"> avec l’instance de </w:t>
            </w:r>
            <w:r>
              <w:rPr>
                <w:rFonts w:ascii="Consolas" w:eastAsia="Consolas" w:hAnsi="Consolas" w:cs="Consolas"/>
                <w:sz w:val="22"/>
                <w:szCs w:val="22"/>
                <w:shd w:val="clear" w:color="auto" w:fill="EAEEF3"/>
              </w:rPr>
              <w:t>E99_Modèle_de_produit</w:t>
            </w:r>
            <w:r>
              <w:t xml:space="preserve"> qui identifie le modèle de la chose produite.</w:t>
            </w:r>
          </w:p>
        </w:tc>
      </w:tr>
      <w:tr w:rsidR="00BF18CF" w14:paraId="1755677F" w14:textId="77777777" w:rsidTr="00BF18CF">
        <w:tc>
          <w:tcPr>
            <w:tcW w:w="1911" w:type="dxa"/>
          </w:tcPr>
          <w:p w14:paraId="5B50FE21"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79" w:type="dxa"/>
          </w:tcPr>
          <w:p w14:paraId="4D322229" w14:textId="77777777" w:rsidR="00BF18CF" w:rsidRDefault="00E51347">
            <w:pPr>
              <w:numPr>
                <w:ilvl w:val="0"/>
                <w:numId w:val="19"/>
              </w:numPr>
            </w:pPr>
            <w:r>
              <w:t>L’activité de production de l’usine Volkswagen entre 1949 et 1953 (</w:t>
            </w:r>
            <w:r>
              <w:rPr>
                <w:rFonts w:ascii="Consolas" w:eastAsia="Consolas" w:hAnsi="Consolas" w:cs="Consolas"/>
                <w:sz w:val="22"/>
                <w:szCs w:val="22"/>
                <w:shd w:val="clear" w:color="auto" w:fill="EAEEF3"/>
              </w:rPr>
              <w:t>E12_Production</w:t>
            </w:r>
            <w:r>
              <w:t>) a produit une chose du type (</w:t>
            </w:r>
            <w:r>
              <w:rPr>
                <w:rFonts w:ascii="Consolas" w:eastAsia="Consolas" w:hAnsi="Consolas" w:cs="Consolas"/>
                <w:sz w:val="22"/>
                <w:szCs w:val="22"/>
                <w:shd w:val="clear" w:color="auto" w:fill="EAEEF3"/>
              </w:rPr>
              <w:t>P186_a_produit_la_chose_du_type</w:t>
            </w:r>
            <w:r>
              <w:t>) Volkswagen Type 11 (Beetle) (</w:t>
            </w:r>
            <w:r>
              <w:rPr>
                <w:rFonts w:ascii="Consolas" w:eastAsia="Consolas" w:hAnsi="Consolas" w:cs="Consolas"/>
                <w:sz w:val="22"/>
                <w:szCs w:val="22"/>
                <w:shd w:val="clear" w:color="auto" w:fill="EAEEF3"/>
              </w:rPr>
              <w:t>E99_Modèle_de_produit</w:t>
            </w:r>
            <w:r>
              <w:t>) (Rieger, 2013)</w:t>
            </w:r>
          </w:p>
        </w:tc>
      </w:tr>
      <w:tr w:rsidR="00BF18CF" w14:paraId="6702A79E" w14:textId="77777777" w:rsidTr="00BF18CF">
        <w:tc>
          <w:tcPr>
            <w:tcW w:w="1911" w:type="dxa"/>
          </w:tcPr>
          <w:p w14:paraId="42703C7E"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79" w:type="dxa"/>
          </w:tcPr>
          <w:p w14:paraId="66CD80F1" w14:textId="77777777" w:rsidR="00BF18CF" w:rsidRDefault="00E51347">
            <w:r>
              <w:t>P186(</w:t>
            </w:r>
            <w:proofErr w:type="gramStart"/>
            <w:r>
              <w:t>x,y</w:t>
            </w:r>
            <w:proofErr w:type="gramEnd"/>
            <w:r>
              <w:t>) ⇒ E12(x)</w:t>
            </w:r>
          </w:p>
          <w:p w14:paraId="74D88F37" w14:textId="77777777" w:rsidR="00BF18CF" w:rsidRDefault="00E51347">
            <w:r>
              <w:t>P186(</w:t>
            </w:r>
            <w:proofErr w:type="gramStart"/>
            <w:r>
              <w:t>x,y</w:t>
            </w:r>
            <w:proofErr w:type="gramEnd"/>
            <w:r>
              <w:t>) ⇒ E99(y)</w:t>
            </w:r>
          </w:p>
          <w:p w14:paraId="32FB1FE0" w14:textId="77777777" w:rsidR="00BF18CF" w:rsidRDefault="00E51347">
            <w:r>
              <w:t>P186(</w:t>
            </w:r>
            <w:proofErr w:type="gramStart"/>
            <w:r>
              <w:t>x,y</w:t>
            </w:r>
            <w:proofErr w:type="gramEnd"/>
            <w:r>
              <w:t>) ⇒ (∃z) [E24(z) ∧ P108(x,z) ∧ P2(z,y)]</w:t>
            </w:r>
          </w:p>
        </w:tc>
      </w:tr>
      <w:tr w:rsidR="00BF18CF" w14:paraId="7A6F08E7" w14:textId="77777777" w:rsidTr="00BF18CF">
        <w:tc>
          <w:tcPr>
            <w:tcW w:w="1911" w:type="dxa"/>
          </w:tcPr>
          <w:p w14:paraId="6BE55108"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79" w:type="dxa"/>
          </w:tcPr>
          <w:p w14:paraId="57628AAE" w14:textId="77777777" w:rsidR="00BF18CF" w:rsidRDefault="00BF18CF">
            <w:pPr>
              <w:pBdr>
                <w:top w:val="nil"/>
                <w:left w:val="nil"/>
                <w:bottom w:val="nil"/>
                <w:right w:val="nil"/>
                <w:between w:val="nil"/>
              </w:pBdr>
              <w:spacing w:before="36" w:after="36"/>
              <w:rPr>
                <w:color w:val="000000"/>
              </w:rPr>
            </w:pPr>
          </w:p>
        </w:tc>
      </w:tr>
      <w:tr w:rsidR="00BF18CF" w14:paraId="735FFE39" w14:textId="77777777" w:rsidTr="00BF18CF">
        <w:tc>
          <w:tcPr>
            <w:tcW w:w="1911" w:type="dxa"/>
          </w:tcPr>
          <w:p w14:paraId="10B58201" w14:textId="1A5AE7AE"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79" w:type="dxa"/>
          </w:tcPr>
          <w:p w14:paraId="1E490C0D" w14:textId="77777777" w:rsidR="00BF18CF" w:rsidRDefault="00BF18CF">
            <w:pPr>
              <w:pBdr>
                <w:top w:val="nil"/>
                <w:left w:val="nil"/>
                <w:bottom w:val="nil"/>
                <w:right w:val="nil"/>
                <w:between w:val="nil"/>
              </w:pBdr>
              <w:spacing w:before="36" w:after="36"/>
              <w:rPr>
                <w:color w:val="000000"/>
              </w:rPr>
            </w:pPr>
          </w:p>
        </w:tc>
      </w:tr>
      <w:tr w:rsidR="00BF18CF" w14:paraId="1E0463B9" w14:textId="77777777" w:rsidTr="00BF18CF">
        <w:tc>
          <w:tcPr>
            <w:tcW w:w="1911" w:type="dxa"/>
          </w:tcPr>
          <w:p w14:paraId="44A8D70E"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79" w:type="dxa"/>
          </w:tcPr>
          <w:p w14:paraId="1C4F01CA" w14:textId="77777777" w:rsidR="00BF18CF" w:rsidRDefault="00BF18CF">
            <w:pPr>
              <w:pBdr>
                <w:top w:val="nil"/>
                <w:left w:val="nil"/>
                <w:bottom w:val="nil"/>
                <w:right w:val="nil"/>
                <w:between w:val="nil"/>
              </w:pBdr>
              <w:spacing w:before="36" w:after="36"/>
              <w:rPr>
                <w:color w:val="000000"/>
              </w:rPr>
            </w:pPr>
          </w:p>
        </w:tc>
      </w:tr>
    </w:tbl>
    <w:p w14:paraId="297272AC" w14:textId="77777777" w:rsidR="00BF18CF" w:rsidRDefault="00E51347">
      <w:pPr>
        <w:pStyle w:val="Heading3"/>
      </w:pPr>
      <w:bookmarkStart w:id="567" w:name="bookmark=id.3qg2avn" w:colFirst="0" w:colLast="0"/>
      <w:bookmarkStart w:id="568" w:name="_Toc144361027"/>
      <w:bookmarkEnd w:id="567"/>
      <w:r>
        <w:t>P187 a pour plan de production (est le plan de production de)</w:t>
      </w:r>
      <w:bookmarkEnd w:id="568"/>
    </w:p>
    <w:tbl>
      <w:tblPr>
        <w:tblStyle w:val="affffffff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4"/>
        <w:gridCol w:w="8816"/>
      </w:tblGrid>
      <w:tr w:rsidR="00BF18CF" w14:paraId="74258E92" w14:textId="77777777" w:rsidTr="00BF18CF">
        <w:tc>
          <w:tcPr>
            <w:tcW w:w="1874" w:type="dxa"/>
          </w:tcPr>
          <w:p w14:paraId="26A5E86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16" w:type="dxa"/>
          </w:tcPr>
          <w:p w14:paraId="45D0BE69" w14:textId="77777777" w:rsidR="00BF18CF" w:rsidRDefault="00E51347">
            <w:r>
              <w:rPr>
                <w:rFonts w:ascii="Consolas" w:eastAsia="Consolas" w:hAnsi="Consolas" w:cs="Consolas"/>
                <w:sz w:val="22"/>
                <w:szCs w:val="22"/>
                <w:shd w:val="clear" w:color="auto" w:fill="EAEEF3"/>
              </w:rPr>
              <w:t>E99_Modèle_de_produit</w:t>
            </w:r>
          </w:p>
        </w:tc>
      </w:tr>
      <w:tr w:rsidR="00BF18CF" w14:paraId="0F20F31A" w14:textId="77777777" w:rsidTr="00BF18CF">
        <w:tc>
          <w:tcPr>
            <w:tcW w:w="1874" w:type="dxa"/>
          </w:tcPr>
          <w:p w14:paraId="5FDB5B5E"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16" w:type="dxa"/>
          </w:tcPr>
          <w:p w14:paraId="7D4D0760" w14:textId="77777777" w:rsidR="00BF18CF" w:rsidRDefault="00E51347">
            <w:r>
              <w:rPr>
                <w:rFonts w:ascii="Consolas" w:eastAsia="Consolas" w:hAnsi="Consolas" w:cs="Consolas"/>
                <w:sz w:val="22"/>
                <w:szCs w:val="22"/>
                <w:shd w:val="clear" w:color="auto" w:fill="EAEEF3"/>
              </w:rPr>
              <w:t>E29_Conceptualisation_ou_procédure</w:t>
            </w:r>
          </w:p>
        </w:tc>
      </w:tr>
      <w:tr w:rsidR="00BF18CF" w14:paraId="3FD35382" w14:textId="77777777" w:rsidTr="00BF18CF">
        <w:tc>
          <w:tcPr>
            <w:tcW w:w="1874" w:type="dxa"/>
          </w:tcPr>
          <w:p w14:paraId="7E1ADE6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16" w:type="dxa"/>
          </w:tcPr>
          <w:p w14:paraId="67D3B4FE" w14:textId="77777777" w:rsidR="00BF18CF" w:rsidRDefault="00BF18CF">
            <w:pPr>
              <w:pBdr>
                <w:top w:val="nil"/>
                <w:left w:val="nil"/>
                <w:bottom w:val="nil"/>
                <w:right w:val="nil"/>
                <w:between w:val="nil"/>
              </w:pBdr>
              <w:spacing w:before="36" w:after="36"/>
              <w:rPr>
                <w:color w:val="000000"/>
              </w:rPr>
            </w:pPr>
          </w:p>
        </w:tc>
      </w:tr>
      <w:tr w:rsidR="00BF18CF" w14:paraId="55B1F8C4" w14:textId="77777777" w:rsidTr="00BF18CF">
        <w:tc>
          <w:tcPr>
            <w:tcW w:w="1874" w:type="dxa"/>
          </w:tcPr>
          <w:p w14:paraId="293776E6"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16" w:type="dxa"/>
          </w:tcPr>
          <w:p w14:paraId="4FD912C5" w14:textId="77777777" w:rsidR="00BF18CF" w:rsidRDefault="00BF18CF">
            <w:pPr>
              <w:pBdr>
                <w:top w:val="nil"/>
                <w:left w:val="nil"/>
                <w:bottom w:val="nil"/>
                <w:right w:val="nil"/>
                <w:between w:val="nil"/>
              </w:pBdr>
              <w:spacing w:before="36" w:after="36"/>
              <w:rPr>
                <w:color w:val="000000"/>
              </w:rPr>
            </w:pPr>
          </w:p>
        </w:tc>
      </w:tr>
      <w:tr w:rsidR="00BF18CF" w14:paraId="65D44432" w14:textId="77777777" w:rsidTr="00BF18CF">
        <w:tc>
          <w:tcPr>
            <w:tcW w:w="1874" w:type="dxa"/>
          </w:tcPr>
          <w:p w14:paraId="27A151F1"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16" w:type="dxa"/>
          </w:tcPr>
          <w:p w14:paraId="72D1631D" w14:textId="77777777" w:rsidR="00BF18CF" w:rsidRDefault="00E51347">
            <w:proofErr w:type="gramStart"/>
            <w:r>
              <w:t>un</w:t>
            </w:r>
            <w:proofErr w:type="gramEnd"/>
            <w:r>
              <w:t xml:space="preserve"> à plusieurs (1,n:1,1)</w:t>
            </w:r>
          </w:p>
        </w:tc>
      </w:tr>
      <w:tr w:rsidR="00BF18CF" w14:paraId="360B2AC1" w14:textId="77777777" w:rsidTr="00BF18CF">
        <w:tc>
          <w:tcPr>
            <w:tcW w:w="1874" w:type="dxa"/>
          </w:tcPr>
          <w:p w14:paraId="1B492B53"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16" w:type="dxa"/>
          </w:tcPr>
          <w:p w14:paraId="610FDDFA" w14:textId="77777777" w:rsidR="00BF18CF" w:rsidRDefault="00E51347">
            <w:r>
              <w:t xml:space="preserve">Cette propriété associe une instance de </w:t>
            </w:r>
            <w:r>
              <w:rPr>
                <w:rFonts w:ascii="Consolas" w:eastAsia="Consolas" w:hAnsi="Consolas" w:cs="Consolas"/>
                <w:sz w:val="22"/>
                <w:szCs w:val="22"/>
                <w:shd w:val="clear" w:color="auto" w:fill="EAEEF3"/>
              </w:rPr>
              <w:t>E99_Modèle_de_produit</w:t>
            </w:r>
            <w:r>
              <w:t xml:space="preserve"> à une instance de </w:t>
            </w:r>
            <w:r>
              <w:rPr>
                <w:rFonts w:ascii="Consolas" w:eastAsia="Consolas" w:hAnsi="Consolas" w:cs="Consolas"/>
                <w:sz w:val="22"/>
                <w:szCs w:val="22"/>
                <w:shd w:val="clear" w:color="auto" w:fill="EAEEF3"/>
              </w:rPr>
              <w:t>E29_Conceptualisation_ou_procédure</w:t>
            </w:r>
            <w:r>
              <w:t xml:space="preserve"> qui détermine la production d'instances de </w:t>
            </w:r>
            <w:r>
              <w:rPr>
                <w:rFonts w:ascii="Consolas" w:eastAsia="Consolas" w:hAnsi="Consolas" w:cs="Consolas"/>
                <w:sz w:val="22"/>
                <w:szCs w:val="22"/>
                <w:shd w:val="clear" w:color="auto" w:fill="EAEEF3"/>
              </w:rPr>
              <w:t>E18_Chose_matérielle</w:t>
            </w:r>
            <w:r>
              <w:t xml:space="preserve"> dans son entièreté. Les instances de </w:t>
            </w:r>
            <w:r>
              <w:rPr>
                <w:rFonts w:ascii="Consolas" w:eastAsia="Consolas" w:hAnsi="Consolas" w:cs="Consolas"/>
                <w:sz w:val="22"/>
                <w:szCs w:val="22"/>
                <w:shd w:val="clear" w:color="auto" w:fill="EAEEF3"/>
              </w:rPr>
              <w:t>E18_Chose_matérielle</w:t>
            </w:r>
            <w:r>
              <w:t xml:space="preserve"> qui résultent de ce processus sont considérées comme des </w:t>
            </w:r>
            <w:r>
              <w:lastRenderedPageBreak/>
              <w:t xml:space="preserve">exemples de cette instance de </w:t>
            </w:r>
            <w:r>
              <w:rPr>
                <w:rFonts w:ascii="Consolas" w:eastAsia="Consolas" w:hAnsi="Consolas" w:cs="Consolas"/>
                <w:sz w:val="22"/>
                <w:szCs w:val="22"/>
                <w:shd w:val="clear" w:color="auto" w:fill="EAEEF3"/>
              </w:rPr>
              <w:t>E99_Modèle_de_produit</w:t>
            </w:r>
            <w:r>
              <w:t xml:space="preserve"> tant que le processus spécifié a été correctement exécuté.</w:t>
            </w:r>
          </w:p>
          <w:p w14:paraId="38C39CF5" w14:textId="77777777" w:rsidR="00BF18CF" w:rsidRDefault="00E51347">
            <w:r>
              <w:t xml:space="preserve">Il est important de noter que l'instance de </w:t>
            </w:r>
            <w:r>
              <w:rPr>
                <w:rFonts w:ascii="Consolas" w:eastAsia="Consolas" w:hAnsi="Consolas" w:cs="Consolas"/>
                <w:sz w:val="22"/>
                <w:szCs w:val="22"/>
                <w:shd w:val="clear" w:color="auto" w:fill="EAEEF3"/>
              </w:rPr>
              <w:t>E29_Conceptualisation_ou_procédure</w:t>
            </w:r>
            <w:r>
              <w:t xml:space="preserve"> peut ne pas être fixée dans une forme écrite ou graphique. Ainsi, elle peut nécessiter l'utilisation de modèles ou d'outils qui sont spécifiques à son modèle de produit.</w:t>
            </w:r>
          </w:p>
          <w:p w14:paraId="43693460" w14:textId="77777777" w:rsidR="00BF18CF" w:rsidRDefault="00E51347">
            <w:r>
              <w:t xml:space="preserve">Une même instance de </w:t>
            </w:r>
            <w:r>
              <w:rPr>
                <w:rFonts w:ascii="Consolas" w:eastAsia="Consolas" w:hAnsi="Consolas" w:cs="Consolas"/>
                <w:sz w:val="22"/>
                <w:szCs w:val="22"/>
                <w:shd w:val="clear" w:color="auto" w:fill="EAEEF3"/>
              </w:rPr>
              <w:t>E99_Modèle_de_produit</w:t>
            </w:r>
            <w:r>
              <w:t xml:space="preserve"> peut être associée à de nombreux plans différents.</w:t>
            </w:r>
          </w:p>
        </w:tc>
      </w:tr>
      <w:tr w:rsidR="00BF18CF" w14:paraId="5ABAD258" w14:textId="77777777" w:rsidTr="00BF18CF">
        <w:tc>
          <w:tcPr>
            <w:tcW w:w="1874" w:type="dxa"/>
          </w:tcPr>
          <w:p w14:paraId="65740CD2"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16" w:type="dxa"/>
          </w:tcPr>
          <w:p w14:paraId="301CC4E8" w14:textId="77777777" w:rsidR="00BF18CF" w:rsidRDefault="00E51347">
            <w:pPr>
              <w:numPr>
                <w:ilvl w:val="0"/>
                <w:numId w:val="19"/>
              </w:numPr>
            </w:pPr>
            <w:r>
              <w:t>Les plans de production (</w:t>
            </w:r>
            <w:r>
              <w:rPr>
                <w:rFonts w:ascii="Consolas" w:eastAsia="Consolas" w:hAnsi="Consolas" w:cs="Consolas"/>
                <w:sz w:val="22"/>
                <w:szCs w:val="22"/>
                <w:shd w:val="clear" w:color="auto" w:fill="EAEEF3"/>
              </w:rPr>
              <w:t>E29_Conceptualisation_ou_procédure</w:t>
            </w:r>
            <w:r>
              <w:t>) de la Volkswagen « Type 11 (Coccinelle) » (</w:t>
            </w:r>
            <w:r>
              <w:rPr>
                <w:rFonts w:ascii="Consolas" w:eastAsia="Consolas" w:hAnsi="Consolas" w:cs="Consolas"/>
                <w:sz w:val="22"/>
                <w:szCs w:val="22"/>
                <w:shd w:val="clear" w:color="auto" w:fill="EAEEF3"/>
              </w:rPr>
              <w:t>E99_Modèle_de_produit</w:t>
            </w:r>
            <w:r>
              <w:t>) (Rieger, 2013)</w:t>
            </w:r>
          </w:p>
        </w:tc>
      </w:tr>
      <w:tr w:rsidR="00BF18CF" w14:paraId="2CA6D91D" w14:textId="77777777" w:rsidTr="00BF18CF">
        <w:tc>
          <w:tcPr>
            <w:tcW w:w="1874" w:type="dxa"/>
          </w:tcPr>
          <w:p w14:paraId="4C24608C"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16" w:type="dxa"/>
          </w:tcPr>
          <w:p w14:paraId="2A98A7E3" w14:textId="77777777" w:rsidR="00BF18CF" w:rsidRDefault="00E51347">
            <w:r>
              <w:t>P187(</w:t>
            </w:r>
            <w:proofErr w:type="gramStart"/>
            <w:r>
              <w:t>x,y</w:t>
            </w:r>
            <w:proofErr w:type="gramEnd"/>
            <w:r>
              <w:t>) ⇒ E99(x)</w:t>
            </w:r>
          </w:p>
          <w:p w14:paraId="3D6D7ED0" w14:textId="77777777" w:rsidR="00BF18CF" w:rsidRDefault="00E51347">
            <w:r>
              <w:t>P187(</w:t>
            </w:r>
            <w:proofErr w:type="gramStart"/>
            <w:r>
              <w:t>x,y</w:t>
            </w:r>
            <w:proofErr w:type="gramEnd"/>
            <w:r>
              <w:t>) ⇒ E29(y)</w:t>
            </w:r>
          </w:p>
        </w:tc>
      </w:tr>
      <w:tr w:rsidR="00BF18CF" w14:paraId="59CA01B8" w14:textId="77777777" w:rsidTr="00BF18CF">
        <w:tc>
          <w:tcPr>
            <w:tcW w:w="1874" w:type="dxa"/>
          </w:tcPr>
          <w:p w14:paraId="17E4086D"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16" w:type="dxa"/>
          </w:tcPr>
          <w:p w14:paraId="2223FDBD" w14:textId="77777777" w:rsidR="00BF18CF" w:rsidRDefault="00BF18CF">
            <w:pPr>
              <w:pBdr>
                <w:top w:val="nil"/>
                <w:left w:val="nil"/>
                <w:bottom w:val="nil"/>
                <w:right w:val="nil"/>
                <w:between w:val="nil"/>
              </w:pBdr>
              <w:spacing w:before="36" w:after="36"/>
              <w:rPr>
                <w:color w:val="000000"/>
              </w:rPr>
            </w:pPr>
          </w:p>
        </w:tc>
      </w:tr>
      <w:tr w:rsidR="00BF18CF" w14:paraId="49B8F192" w14:textId="77777777" w:rsidTr="00BF18CF">
        <w:tc>
          <w:tcPr>
            <w:tcW w:w="1874" w:type="dxa"/>
          </w:tcPr>
          <w:p w14:paraId="35B0C351" w14:textId="641D957B"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16" w:type="dxa"/>
          </w:tcPr>
          <w:p w14:paraId="5941BB3D" w14:textId="77777777" w:rsidR="00BF18CF" w:rsidRDefault="00BF18CF">
            <w:pPr>
              <w:pBdr>
                <w:top w:val="nil"/>
                <w:left w:val="nil"/>
                <w:bottom w:val="nil"/>
                <w:right w:val="nil"/>
                <w:between w:val="nil"/>
              </w:pBdr>
              <w:spacing w:before="36" w:after="36"/>
              <w:rPr>
                <w:color w:val="000000"/>
              </w:rPr>
            </w:pPr>
          </w:p>
        </w:tc>
      </w:tr>
      <w:tr w:rsidR="00BF18CF" w14:paraId="6020F8F8" w14:textId="77777777" w:rsidTr="00BF18CF">
        <w:tc>
          <w:tcPr>
            <w:tcW w:w="1874" w:type="dxa"/>
          </w:tcPr>
          <w:p w14:paraId="571842C8"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16" w:type="dxa"/>
          </w:tcPr>
          <w:p w14:paraId="58C6DD34" w14:textId="77777777" w:rsidR="00BF18CF" w:rsidRDefault="00BF18CF">
            <w:pPr>
              <w:pBdr>
                <w:top w:val="nil"/>
                <w:left w:val="nil"/>
                <w:bottom w:val="nil"/>
                <w:right w:val="nil"/>
                <w:between w:val="nil"/>
              </w:pBdr>
              <w:spacing w:before="36" w:after="36"/>
              <w:rPr>
                <w:color w:val="000000"/>
              </w:rPr>
            </w:pPr>
          </w:p>
        </w:tc>
      </w:tr>
    </w:tbl>
    <w:p w14:paraId="6BFC1D34" w14:textId="77777777" w:rsidR="00BF18CF" w:rsidRDefault="00E51347">
      <w:pPr>
        <w:pStyle w:val="Heading3"/>
      </w:pPr>
      <w:bookmarkStart w:id="569" w:name="bookmark=id.25lcl3g" w:colFirst="0" w:colLast="0"/>
      <w:bookmarkStart w:id="570" w:name="_Toc144361028"/>
      <w:bookmarkEnd w:id="569"/>
      <w:r>
        <w:t>P188 nécessite l'outil (est l'outil de production de)</w:t>
      </w:r>
      <w:bookmarkEnd w:id="570"/>
    </w:p>
    <w:tbl>
      <w:tblPr>
        <w:tblStyle w:val="affffffffffffffffffe"/>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081"/>
        <w:gridCol w:w="8609"/>
      </w:tblGrid>
      <w:tr w:rsidR="00BF18CF" w14:paraId="59FDB296" w14:textId="77777777" w:rsidTr="00BF18CF">
        <w:tc>
          <w:tcPr>
            <w:tcW w:w="2081" w:type="dxa"/>
          </w:tcPr>
          <w:p w14:paraId="41F94F4C"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609" w:type="dxa"/>
          </w:tcPr>
          <w:p w14:paraId="1463F6BF" w14:textId="77777777" w:rsidR="00BF18CF" w:rsidRDefault="00E51347">
            <w:r>
              <w:rPr>
                <w:rFonts w:ascii="Consolas" w:eastAsia="Consolas" w:hAnsi="Consolas" w:cs="Consolas"/>
                <w:sz w:val="22"/>
                <w:szCs w:val="22"/>
                <w:shd w:val="clear" w:color="auto" w:fill="EAEEF3"/>
              </w:rPr>
              <w:t>E99_Modèle_de_produit</w:t>
            </w:r>
          </w:p>
        </w:tc>
      </w:tr>
      <w:tr w:rsidR="00BF18CF" w14:paraId="38508C95" w14:textId="77777777" w:rsidTr="00BF18CF">
        <w:tc>
          <w:tcPr>
            <w:tcW w:w="2081" w:type="dxa"/>
          </w:tcPr>
          <w:p w14:paraId="74B8FCFB"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609" w:type="dxa"/>
          </w:tcPr>
          <w:p w14:paraId="77CE16E0" w14:textId="77777777" w:rsidR="00BF18CF" w:rsidRDefault="00E51347">
            <w:r>
              <w:rPr>
                <w:rFonts w:ascii="Consolas" w:eastAsia="Consolas" w:hAnsi="Consolas" w:cs="Consolas"/>
                <w:sz w:val="22"/>
                <w:szCs w:val="22"/>
                <w:shd w:val="clear" w:color="auto" w:fill="EAEEF3"/>
              </w:rPr>
              <w:t>E19_Objet_matériel</w:t>
            </w:r>
          </w:p>
        </w:tc>
      </w:tr>
      <w:tr w:rsidR="00BF18CF" w14:paraId="11418B46" w14:textId="77777777" w:rsidTr="00BF18CF">
        <w:tc>
          <w:tcPr>
            <w:tcW w:w="2081" w:type="dxa"/>
          </w:tcPr>
          <w:p w14:paraId="052DF7B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609" w:type="dxa"/>
          </w:tcPr>
          <w:p w14:paraId="4F83E052" w14:textId="77777777" w:rsidR="00BF18CF" w:rsidRDefault="00BF18CF">
            <w:pPr>
              <w:pBdr>
                <w:top w:val="nil"/>
                <w:left w:val="nil"/>
                <w:bottom w:val="nil"/>
                <w:right w:val="nil"/>
                <w:between w:val="nil"/>
              </w:pBdr>
              <w:spacing w:before="36" w:after="36"/>
              <w:rPr>
                <w:color w:val="000000"/>
              </w:rPr>
            </w:pPr>
          </w:p>
        </w:tc>
      </w:tr>
      <w:tr w:rsidR="00BF18CF" w14:paraId="35658A6E" w14:textId="77777777" w:rsidTr="00BF18CF">
        <w:tc>
          <w:tcPr>
            <w:tcW w:w="2081" w:type="dxa"/>
          </w:tcPr>
          <w:p w14:paraId="1A88BBF9"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609" w:type="dxa"/>
          </w:tcPr>
          <w:p w14:paraId="0A9FF423" w14:textId="77777777" w:rsidR="00BF18CF" w:rsidRDefault="00BF18CF">
            <w:pPr>
              <w:pBdr>
                <w:top w:val="nil"/>
                <w:left w:val="nil"/>
                <w:bottom w:val="nil"/>
                <w:right w:val="nil"/>
                <w:between w:val="nil"/>
              </w:pBdr>
              <w:spacing w:before="36" w:after="36"/>
              <w:rPr>
                <w:color w:val="000000"/>
              </w:rPr>
            </w:pPr>
          </w:p>
        </w:tc>
      </w:tr>
      <w:tr w:rsidR="00BF18CF" w14:paraId="4F1542B9" w14:textId="77777777" w:rsidTr="00BF18CF">
        <w:tc>
          <w:tcPr>
            <w:tcW w:w="2081" w:type="dxa"/>
          </w:tcPr>
          <w:p w14:paraId="137C5BC8"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609" w:type="dxa"/>
          </w:tcPr>
          <w:p w14:paraId="24D9B584" w14:textId="77777777" w:rsidR="00BF18CF" w:rsidRDefault="00E51347">
            <w:proofErr w:type="gramStart"/>
            <w:r>
              <w:t>un</w:t>
            </w:r>
            <w:proofErr w:type="gramEnd"/>
            <w:r>
              <w:t xml:space="preserve"> à plusieurs (1,n:1,1)</w:t>
            </w:r>
          </w:p>
        </w:tc>
      </w:tr>
      <w:tr w:rsidR="00BF18CF" w14:paraId="0481AADC" w14:textId="77777777" w:rsidTr="00BF18CF">
        <w:tc>
          <w:tcPr>
            <w:tcW w:w="2081" w:type="dxa"/>
          </w:tcPr>
          <w:p w14:paraId="7DAD8EC4"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609" w:type="dxa"/>
          </w:tcPr>
          <w:p w14:paraId="064AF410" w14:textId="77777777" w:rsidR="00BF18CF" w:rsidRDefault="00E51347">
            <w:r>
              <w:t xml:space="preserve">Cette propriété associe une instance de </w:t>
            </w:r>
            <w:r>
              <w:rPr>
                <w:rFonts w:ascii="Consolas" w:eastAsia="Consolas" w:hAnsi="Consolas" w:cs="Consolas"/>
                <w:sz w:val="22"/>
                <w:szCs w:val="22"/>
                <w:shd w:val="clear" w:color="auto" w:fill="EAEEF3"/>
              </w:rPr>
              <w:t>E99_Modèle_de_produit</w:t>
            </w:r>
            <w:r>
              <w:t xml:space="preserve"> à une instance de </w:t>
            </w:r>
            <w:r>
              <w:rPr>
                <w:rFonts w:ascii="Consolas" w:eastAsia="Consolas" w:hAnsi="Consolas" w:cs="Consolas"/>
                <w:sz w:val="22"/>
                <w:szCs w:val="22"/>
                <w:shd w:val="clear" w:color="auto" w:fill="EAEEF3"/>
              </w:rPr>
              <w:t>E19_Objet_matériel</w:t>
            </w:r>
            <w:r>
              <w:t xml:space="preserve"> nécessaire à la production d'une instance de </w:t>
            </w:r>
            <w:r>
              <w:rPr>
                <w:rFonts w:ascii="Consolas" w:eastAsia="Consolas" w:hAnsi="Consolas" w:cs="Consolas"/>
                <w:sz w:val="22"/>
                <w:szCs w:val="22"/>
                <w:shd w:val="clear" w:color="auto" w:fill="EAEEF3"/>
              </w:rPr>
              <w:t>E18_Chose_matérielle</w:t>
            </w:r>
            <w:r>
              <w:t xml:space="preserve">. Lorsque le processus de production est exécuté adéquatement – conformément au plan et en utilisant l'instance indiquée de </w:t>
            </w:r>
            <w:r>
              <w:rPr>
                <w:rFonts w:ascii="Consolas" w:eastAsia="Consolas" w:hAnsi="Consolas" w:cs="Consolas"/>
                <w:sz w:val="22"/>
                <w:szCs w:val="22"/>
                <w:shd w:val="clear" w:color="auto" w:fill="EAEEF3"/>
              </w:rPr>
              <w:t>E19_Objet_matériel</w:t>
            </w:r>
            <w:r>
              <w:t xml:space="preserve"> – l'instance de </w:t>
            </w:r>
            <w:r>
              <w:rPr>
                <w:rFonts w:ascii="Consolas" w:eastAsia="Consolas" w:hAnsi="Consolas" w:cs="Consolas"/>
                <w:sz w:val="22"/>
                <w:szCs w:val="22"/>
                <w:shd w:val="clear" w:color="auto" w:fill="EAEEF3"/>
              </w:rPr>
              <w:t>E18_Chose_matérielle</w:t>
            </w:r>
            <w:r>
              <w:t xml:space="preserve"> qui en résulte est considérée comme des exemples de cette instance de </w:t>
            </w:r>
            <w:r>
              <w:rPr>
                <w:rFonts w:ascii="Consolas" w:eastAsia="Consolas" w:hAnsi="Consolas" w:cs="Consolas"/>
                <w:sz w:val="22"/>
                <w:szCs w:val="22"/>
                <w:shd w:val="clear" w:color="auto" w:fill="EAEEF3"/>
              </w:rPr>
              <w:t>E99_Modèle_de_produit</w:t>
            </w:r>
            <w:r>
              <w:t xml:space="preserve">. Cette instance de </w:t>
            </w:r>
            <w:r>
              <w:rPr>
                <w:rFonts w:ascii="Consolas" w:eastAsia="Consolas" w:hAnsi="Consolas" w:cs="Consolas"/>
                <w:sz w:val="22"/>
                <w:szCs w:val="22"/>
                <w:shd w:val="clear" w:color="auto" w:fill="EAEEF3"/>
              </w:rPr>
              <w:t>E19_Objet_matériel</w:t>
            </w:r>
            <w:r>
              <w:t xml:space="preserve"> peut avoir des caractéristiques distinctes qui sont transformées en caractéristiques typiques de l'instance résultante de </w:t>
            </w:r>
            <w:r>
              <w:rPr>
                <w:rFonts w:ascii="Consolas" w:eastAsia="Consolas" w:hAnsi="Consolas" w:cs="Consolas"/>
                <w:sz w:val="22"/>
                <w:szCs w:val="22"/>
                <w:shd w:val="clear" w:color="auto" w:fill="EAEEF3"/>
              </w:rPr>
              <w:t>E18_Chose_matérielle</w:t>
            </w:r>
            <w:r>
              <w:t>, comme c'est le cas de modèles ou de moules.</w:t>
            </w:r>
          </w:p>
        </w:tc>
      </w:tr>
      <w:tr w:rsidR="00BF18CF" w14:paraId="1940AC3E" w14:textId="77777777" w:rsidTr="00BF18CF">
        <w:tc>
          <w:tcPr>
            <w:tcW w:w="2081" w:type="dxa"/>
          </w:tcPr>
          <w:p w14:paraId="7D84715E"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609" w:type="dxa"/>
          </w:tcPr>
          <w:p w14:paraId="5CFE0CDF" w14:textId="77777777" w:rsidR="00BF18CF" w:rsidRDefault="00E51347">
            <w:pPr>
              <w:numPr>
                <w:ilvl w:val="0"/>
                <w:numId w:val="19"/>
              </w:numPr>
            </w:pPr>
            <w:r>
              <w:t>Le moule (</w:t>
            </w:r>
            <w:r>
              <w:rPr>
                <w:rFonts w:ascii="Consolas" w:eastAsia="Consolas" w:hAnsi="Consolas" w:cs="Consolas"/>
                <w:sz w:val="22"/>
                <w:szCs w:val="22"/>
                <w:shd w:val="clear" w:color="auto" w:fill="EAEEF3"/>
              </w:rPr>
              <w:t>E19_Objet_matériel</w:t>
            </w:r>
            <w:r>
              <w:t>) du coffre à bagages de la Volkswagen « Type 11 (Coccinelle) » (</w:t>
            </w:r>
            <w:r>
              <w:rPr>
                <w:rFonts w:ascii="Consolas" w:eastAsia="Consolas" w:hAnsi="Consolas" w:cs="Consolas"/>
                <w:sz w:val="22"/>
                <w:szCs w:val="22"/>
                <w:shd w:val="clear" w:color="auto" w:fill="EAEEF3"/>
              </w:rPr>
              <w:t>E99_Modèle_de_produit</w:t>
            </w:r>
            <w:r>
              <w:t>) (https://upload.wikimedia.org/wikipedia/commons/thumb/b/b5/Volkswagen_Type_1_(Auto_classique_St._Lazare_%2710).jpg/220px-</w:t>
            </w:r>
            <w:r>
              <w:lastRenderedPageBreak/>
              <w:t>Volkswagen_Type_1_(Auto_classique_St._Lazare_%2710).jpg) (Rieger, 2013)</w:t>
            </w:r>
          </w:p>
        </w:tc>
      </w:tr>
      <w:tr w:rsidR="00BF18CF" w14:paraId="268F36C3" w14:textId="77777777" w:rsidTr="00BF18CF">
        <w:tc>
          <w:tcPr>
            <w:tcW w:w="2081" w:type="dxa"/>
          </w:tcPr>
          <w:p w14:paraId="611C8935"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609" w:type="dxa"/>
          </w:tcPr>
          <w:p w14:paraId="1EC8A96C" w14:textId="77777777" w:rsidR="00BF18CF" w:rsidRDefault="00E51347">
            <w:r>
              <w:t>P188(</w:t>
            </w:r>
            <w:proofErr w:type="gramStart"/>
            <w:r>
              <w:t>x,y</w:t>
            </w:r>
            <w:proofErr w:type="gramEnd"/>
            <w:r>
              <w:t>) ⇒ E99(x)</w:t>
            </w:r>
          </w:p>
          <w:p w14:paraId="13184EAE" w14:textId="77777777" w:rsidR="00BF18CF" w:rsidRDefault="00E51347">
            <w:r>
              <w:t>P188(</w:t>
            </w:r>
            <w:proofErr w:type="gramStart"/>
            <w:r>
              <w:t>x,y</w:t>
            </w:r>
            <w:proofErr w:type="gramEnd"/>
            <w:r>
              <w:t>) ⇒ E19(y)</w:t>
            </w:r>
          </w:p>
        </w:tc>
      </w:tr>
      <w:tr w:rsidR="00BF18CF" w14:paraId="462F519A" w14:textId="77777777" w:rsidTr="00BF18CF">
        <w:tc>
          <w:tcPr>
            <w:tcW w:w="2081" w:type="dxa"/>
          </w:tcPr>
          <w:p w14:paraId="5F34B09A"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609" w:type="dxa"/>
          </w:tcPr>
          <w:p w14:paraId="0367F504" w14:textId="77777777" w:rsidR="00BF18CF" w:rsidRDefault="00BF18CF">
            <w:pPr>
              <w:pBdr>
                <w:top w:val="nil"/>
                <w:left w:val="nil"/>
                <w:bottom w:val="nil"/>
                <w:right w:val="nil"/>
                <w:between w:val="nil"/>
              </w:pBdr>
              <w:spacing w:before="36" w:after="36"/>
              <w:rPr>
                <w:color w:val="000000"/>
              </w:rPr>
            </w:pPr>
          </w:p>
        </w:tc>
      </w:tr>
      <w:tr w:rsidR="00BF18CF" w14:paraId="2EC10B2F" w14:textId="77777777" w:rsidTr="00BF18CF">
        <w:tc>
          <w:tcPr>
            <w:tcW w:w="2081" w:type="dxa"/>
          </w:tcPr>
          <w:p w14:paraId="205A4ECC" w14:textId="3C2BD485" w:rsidR="00BF18CF" w:rsidRDefault="00F27208">
            <w:pPr>
              <w:pBdr>
                <w:top w:val="nil"/>
                <w:left w:val="nil"/>
                <w:bottom w:val="nil"/>
                <w:right w:val="nil"/>
                <w:between w:val="nil"/>
              </w:pBdr>
              <w:spacing w:before="36" w:after="36"/>
              <w:rPr>
                <w:color w:val="000000"/>
              </w:rPr>
            </w:pPr>
            <w:r>
              <w:rPr>
                <w:b/>
                <w:i/>
                <w:color w:val="000000"/>
              </w:rPr>
              <w:t>Note de traduction</w:t>
            </w:r>
          </w:p>
        </w:tc>
        <w:tc>
          <w:tcPr>
            <w:tcW w:w="8609" w:type="dxa"/>
          </w:tcPr>
          <w:p w14:paraId="438DB762" w14:textId="77777777" w:rsidR="00BF18CF" w:rsidRDefault="00BF18CF">
            <w:pPr>
              <w:pBdr>
                <w:top w:val="nil"/>
                <w:left w:val="nil"/>
                <w:bottom w:val="nil"/>
                <w:right w:val="nil"/>
                <w:between w:val="nil"/>
              </w:pBdr>
              <w:spacing w:before="36" w:after="36"/>
              <w:rPr>
                <w:color w:val="000000"/>
              </w:rPr>
            </w:pPr>
          </w:p>
        </w:tc>
      </w:tr>
      <w:tr w:rsidR="00BF18CF" w14:paraId="2961CC0F" w14:textId="77777777" w:rsidTr="00BF18CF">
        <w:tc>
          <w:tcPr>
            <w:tcW w:w="2081" w:type="dxa"/>
          </w:tcPr>
          <w:p w14:paraId="3ED6E915"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609" w:type="dxa"/>
          </w:tcPr>
          <w:p w14:paraId="55B8B0C1" w14:textId="77777777" w:rsidR="00BF18CF" w:rsidRDefault="00BF18CF">
            <w:pPr>
              <w:pBdr>
                <w:top w:val="nil"/>
                <w:left w:val="nil"/>
                <w:bottom w:val="nil"/>
                <w:right w:val="nil"/>
                <w:between w:val="nil"/>
              </w:pBdr>
              <w:spacing w:before="36" w:after="36"/>
              <w:rPr>
                <w:color w:val="000000"/>
              </w:rPr>
            </w:pPr>
          </w:p>
        </w:tc>
      </w:tr>
    </w:tbl>
    <w:p w14:paraId="27DE1D2A" w14:textId="77777777" w:rsidR="00BF18CF" w:rsidRDefault="00E51347">
      <w:pPr>
        <w:pStyle w:val="Heading3"/>
      </w:pPr>
      <w:bookmarkStart w:id="571" w:name="bookmark=id.kqmvb9" w:colFirst="0" w:colLast="0"/>
      <w:bookmarkStart w:id="572" w:name="_Toc144361029"/>
      <w:bookmarkEnd w:id="571"/>
      <w:r>
        <w:t>P189 approxime (est approximé par)</w:t>
      </w:r>
      <w:bookmarkEnd w:id="572"/>
    </w:p>
    <w:tbl>
      <w:tblPr>
        <w:tblStyle w:val="afffffffffffffffffff"/>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70"/>
        <w:gridCol w:w="8820"/>
      </w:tblGrid>
      <w:tr w:rsidR="00BF18CF" w14:paraId="752734C0" w14:textId="77777777" w:rsidTr="00BF18CF">
        <w:tc>
          <w:tcPr>
            <w:tcW w:w="1870" w:type="dxa"/>
          </w:tcPr>
          <w:p w14:paraId="0F11933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20" w:type="dxa"/>
          </w:tcPr>
          <w:p w14:paraId="3048D52F" w14:textId="77777777" w:rsidR="00BF18CF" w:rsidRDefault="00E51347">
            <w:r>
              <w:rPr>
                <w:rFonts w:ascii="Consolas" w:eastAsia="Consolas" w:hAnsi="Consolas" w:cs="Consolas"/>
                <w:sz w:val="22"/>
                <w:szCs w:val="22"/>
                <w:shd w:val="clear" w:color="auto" w:fill="EAEEF3"/>
              </w:rPr>
              <w:t>E53_Lieu</w:t>
            </w:r>
          </w:p>
        </w:tc>
      </w:tr>
      <w:tr w:rsidR="00BF18CF" w14:paraId="732D8AAE" w14:textId="77777777" w:rsidTr="00BF18CF">
        <w:tc>
          <w:tcPr>
            <w:tcW w:w="1870" w:type="dxa"/>
          </w:tcPr>
          <w:p w14:paraId="7C1FB14B"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20" w:type="dxa"/>
          </w:tcPr>
          <w:p w14:paraId="66E17AB6" w14:textId="77777777" w:rsidR="00BF18CF" w:rsidRDefault="00E51347">
            <w:r>
              <w:rPr>
                <w:rFonts w:ascii="Consolas" w:eastAsia="Consolas" w:hAnsi="Consolas" w:cs="Consolas"/>
                <w:sz w:val="22"/>
                <w:szCs w:val="22"/>
                <w:shd w:val="clear" w:color="auto" w:fill="EAEEF3"/>
              </w:rPr>
              <w:t>E53_Lieu</w:t>
            </w:r>
          </w:p>
        </w:tc>
      </w:tr>
      <w:tr w:rsidR="00BF18CF" w14:paraId="4066404C" w14:textId="77777777" w:rsidTr="00BF18CF">
        <w:tc>
          <w:tcPr>
            <w:tcW w:w="1870" w:type="dxa"/>
          </w:tcPr>
          <w:p w14:paraId="352E2B0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20" w:type="dxa"/>
          </w:tcPr>
          <w:p w14:paraId="47346728" w14:textId="77777777" w:rsidR="00BF18CF" w:rsidRDefault="00BF18CF">
            <w:pPr>
              <w:pBdr>
                <w:top w:val="nil"/>
                <w:left w:val="nil"/>
                <w:bottom w:val="nil"/>
                <w:right w:val="nil"/>
                <w:between w:val="nil"/>
              </w:pBdr>
              <w:spacing w:before="36" w:after="36"/>
              <w:rPr>
                <w:color w:val="000000"/>
              </w:rPr>
            </w:pPr>
          </w:p>
        </w:tc>
      </w:tr>
      <w:tr w:rsidR="00BF18CF" w14:paraId="70E2EC24" w14:textId="77777777" w:rsidTr="00BF18CF">
        <w:tc>
          <w:tcPr>
            <w:tcW w:w="1870" w:type="dxa"/>
          </w:tcPr>
          <w:p w14:paraId="2DBD8A7D"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20" w:type="dxa"/>
          </w:tcPr>
          <w:p w14:paraId="5B769FF2" w14:textId="77777777" w:rsidR="00BF18CF" w:rsidRDefault="00BF18CF">
            <w:pPr>
              <w:pBdr>
                <w:top w:val="nil"/>
                <w:left w:val="nil"/>
                <w:bottom w:val="nil"/>
                <w:right w:val="nil"/>
                <w:between w:val="nil"/>
              </w:pBdr>
              <w:spacing w:before="36" w:after="36"/>
              <w:rPr>
                <w:color w:val="000000"/>
              </w:rPr>
            </w:pPr>
          </w:p>
        </w:tc>
      </w:tr>
      <w:tr w:rsidR="00BF18CF" w14:paraId="0A9AC5EF" w14:textId="77777777" w:rsidTr="00BF18CF">
        <w:tc>
          <w:tcPr>
            <w:tcW w:w="1870" w:type="dxa"/>
          </w:tcPr>
          <w:p w14:paraId="4C8A0A21"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20" w:type="dxa"/>
          </w:tcPr>
          <w:p w14:paraId="66B360F0" w14:textId="77777777" w:rsidR="00BF18CF" w:rsidRDefault="00E51347">
            <w:proofErr w:type="gramStart"/>
            <w:r>
              <w:t>plusieurs</w:t>
            </w:r>
            <w:proofErr w:type="gramEnd"/>
            <w:r>
              <w:t xml:space="preserve"> à plusieurs (0,n:0,n)</w:t>
            </w:r>
          </w:p>
        </w:tc>
      </w:tr>
      <w:tr w:rsidR="00BF18CF" w14:paraId="15046D07" w14:textId="77777777" w:rsidTr="00BF18CF">
        <w:tc>
          <w:tcPr>
            <w:tcW w:w="1870" w:type="dxa"/>
          </w:tcPr>
          <w:p w14:paraId="6EA82721"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20" w:type="dxa"/>
          </w:tcPr>
          <w:p w14:paraId="43F21DDD" w14:textId="77777777" w:rsidR="00BF18CF" w:rsidRDefault="00E51347">
            <w:r>
              <w:t xml:space="preserve">Cette propriété associe une instance de </w:t>
            </w:r>
            <w:r>
              <w:rPr>
                <w:rFonts w:ascii="Consolas" w:eastAsia="Consolas" w:hAnsi="Consolas" w:cs="Consolas"/>
                <w:sz w:val="22"/>
                <w:szCs w:val="22"/>
                <w:shd w:val="clear" w:color="auto" w:fill="EAEEF3"/>
              </w:rPr>
              <w:t>E53_Lieu</w:t>
            </w:r>
            <w:r>
              <w:t xml:space="preserve"> à une autre instance de </w:t>
            </w:r>
            <w:r>
              <w:rPr>
                <w:rFonts w:ascii="Consolas" w:eastAsia="Consolas" w:hAnsi="Consolas" w:cs="Consolas"/>
                <w:sz w:val="22"/>
                <w:szCs w:val="22"/>
                <w:shd w:val="clear" w:color="auto" w:fill="EAEEF3"/>
              </w:rPr>
              <w:t>E53_Lieu</w:t>
            </w:r>
            <w:r>
              <w:t xml:space="preserve"> qui est définie dans le même espace de référence et qui est utilisée pour approximer la première. La propriété n'indique pas nécessairement la qualité ou l'exactitude de cette approximation, mais plutôt l'utilisation de la première instance de lieu pour approximer la seconde.</w:t>
            </w:r>
          </w:p>
          <w:p w14:paraId="3A70914F" w14:textId="77777777" w:rsidR="00BF18CF" w:rsidRDefault="00E51347">
            <w:r>
              <w:t>Dans les pratiques courantes en documentation, les lieux ou points de rencontre, par exemple en archéologie, en botanique ou en zoologie, sont souvent liés au village, à la rivière ou à tout autre lieu nommé le plus proche sans que la relation avec ce lieu soit détaillée, par exemple s'il est situé dans le village ou à une certaine distance du lieu spécifié. Dans ce cas, le lieu « phénoménal » indiqué dans la documentation peut être considéré comme une approximation du lieu de rencontre réel sans connaissances plus spécifiques.</w:t>
            </w:r>
          </w:p>
          <w:p w14:paraId="0B835E5E" w14:textId="77777777" w:rsidR="00BF18CF" w:rsidRDefault="00E51347">
            <w:r>
              <w:t xml:space="preserve">Dans la documentation plus récente, l'information sur les coordonnées de points est souvent fournie à partir de mesures GPS ou d'un géoréférencement provenant d'une carte. Cette information sur les coordonnées de points n'indique pas le lieu réel du point de rencontre, mais l'approxime plutôt avec un lieu « déclaratif ». L'exactitude de cette information dépend de la méthodologie utilisée lors de la création de ces coordonnées. Elle peut dépendre de limitations techniques comme la précision du GPS, mais également de la méthode par laquelle la position GPS est définie par rapport à la caractéristique mesurée. Si la méthodologie est connue, un écart maximal par rapport au point mesuré peut être calculé et le point de rencontre ou la caractéristique de ce lieu peut être lié à l'aire résultante en utilisant une instance de </w:t>
            </w:r>
            <w:r>
              <w:rPr>
                <w:rFonts w:ascii="Consolas" w:eastAsia="Consolas" w:hAnsi="Consolas" w:cs="Consolas"/>
                <w:sz w:val="22"/>
                <w:szCs w:val="22"/>
                <w:shd w:val="clear" w:color="auto" w:fill="EAEEF3"/>
              </w:rPr>
              <w:t>P171_quelque_part_dans</w:t>
            </w:r>
            <w:r>
              <w:t>.</w:t>
            </w:r>
          </w:p>
          <w:p w14:paraId="49C7E762" w14:textId="77777777" w:rsidR="00BF18CF" w:rsidRDefault="00E51347">
            <w:r>
              <w:t>Cette propriété n'est pas transitive.</w:t>
            </w:r>
          </w:p>
        </w:tc>
      </w:tr>
      <w:tr w:rsidR="00BF18CF" w14:paraId="6E40DDE1" w14:textId="77777777" w:rsidTr="00BF18CF">
        <w:tc>
          <w:tcPr>
            <w:tcW w:w="1870" w:type="dxa"/>
          </w:tcPr>
          <w:p w14:paraId="65D75186"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820" w:type="dxa"/>
          </w:tcPr>
          <w:p w14:paraId="105F736D" w14:textId="77777777" w:rsidR="00BF18CF" w:rsidRDefault="00E51347">
            <w:pPr>
              <w:numPr>
                <w:ilvl w:val="0"/>
                <w:numId w:val="19"/>
              </w:numPr>
            </w:pPr>
            <w:r>
              <w:t>[40°31'17.9"N 21°15'48.3"E] approxime (</w:t>
            </w:r>
            <w:r>
              <w:rPr>
                <w:rFonts w:ascii="Consolas" w:eastAsia="Consolas" w:hAnsi="Consolas" w:cs="Consolas"/>
                <w:sz w:val="22"/>
                <w:szCs w:val="22"/>
                <w:shd w:val="clear" w:color="auto" w:fill="EAEEF3"/>
              </w:rPr>
              <w:t>P189_approxime</w:t>
            </w:r>
            <w:r>
              <w:t>) Kastoria, en Grèce, dont l'identifiant du Getty Thesaurus of Geographic Names (TGN) est 7010880 (coordonnées de https://sws.geonames.org/735927)</w:t>
            </w:r>
          </w:p>
          <w:p w14:paraId="38DBC5BC" w14:textId="77777777" w:rsidR="00BF18CF" w:rsidRDefault="00E51347">
            <w:pPr>
              <w:numPr>
                <w:ilvl w:val="0"/>
                <w:numId w:val="19"/>
              </w:numPr>
            </w:pPr>
            <w:r>
              <w:t>[40°31'00.1"N 21°16'00.1"E] approxime (</w:t>
            </w:r>
            <w:r>
              <w:rPr>
                <w:rFonts w:ascii="Consolas" w:eastAsia="Consolas" w:hAnsi="Consolas" w:cs="Consolas"/>
                <w:sz w:val="22"/>
                <w:szCs w:val="22"/>
                <w:shd w:val="clear" w:color="auto" w:fill="EAEEF3"/>
              </w:rPr>
              <w:t>P189_approxime</w:t>
            </w:r>
            <w:r>
              <w:t>) Kastoria, en Grèce, dont l'identifiant du Getty Thesaurus of Geographic Names (TGN) est 7010880 (coordonnées de http://vocab.getty.edu/page/tgn/7010880)</w:t>
            </w:r>
          </w:p>
          <w:p w14:paraId="623D8C6B" w14:textId="77777777" w:rsidR="00BF18CF" w:rsidRDefault="00E51347">
            <w:pPr>
              <w:numPr>
                <w:ilvl w:val="0"/>
                <w:numId w:val="19"/>
              </w:numPr>
            </w:pPr>
            <w:r>
              <w:t>[40°04'60.0"N 22°21'00.0"E] approxime (</w:t>
            </w:r>
            <w:r>
              <w:rPr>
                <w:rFonts w:ascii="Consolas" w:eastAsia="Consolas" w:hAnsi="Consolas" w:cs="Consolas"/>
                <w:sz w:val="22"/>
                <w:szCs w:val="22"/>
                <w:shd w:val="clear" w:color="auto" w:fill="EAEEF3"/>
              </w:rPr>
              <w:t>P189_approxime</w:t>
            </w:r>
            <w:r>
              <w:t>) le Parc national du Mont Olympe, en Grèce (coordonnées de https://www.geonames.org/6941814)</w:t>
            </w:r>
          </w:p>
        </w:tc>
      </w:tr>
      <w:tr w:rsidR="00BF18CF" w14:paraId="7DD384FA" w14:textId="77777777" w:rsidTr="00BF18CF">
        <w:tc>
          <w:tcPr>
            <w:tcW w:w="1870" w:type="dxa"/>
          </w:tcPr>
          <w:p w14:paraId="498CE7FD"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820" w:type="dxa"/>
          </w:tcPr>
          <w:p w14:paraId="3DACBA70" w14:textId="77777777" w:rsidR="00BF18CF" w:rsidRDefault="00E51347">
            <w:r>
              <w:t>P189(</w:t>
            </w:r>
            <w:proofErr w:type="gramStart"/>
            <w:r>
              <w:t>x,y</w:t>
            </w:r>
            <w:proofErr w:type="gramEnd"/>
            <w:r>
              <w:t>) ⇒ E53(x)</w:t>
            </w:r>
          </w:p>
          <w:p w14:paraId="26793940" w14:textId="77777777" w:rsidR="00BF18CF" w:rsidRDefault="00E51347">
            <w:r>
              <w:t>P189(</w:t>
            </w:r>
            <w:proofErr w:type="gramStart"/>
            <w:r>
              <w:t>x,y</w:t>
            </w:r>
            <w:proofErr w:type="gramEnd"/>
            <w:r>
              <w:t>) ⇒ E53 (y)</w:t>
            </w:r>
          </w:p>
          <w:p w14:paraId="13960892" w14:textId="77777777" w:rsidR="00BF18CF" w:rsidRDefault="00E51347">
            <w:r>
              <w:t>P189 (</w:t>
            </w:r>
            <w:proofErr w:type="gramStart"/>
            <w:r>
              <w:t>x,y</w:t>
            </w:r>
            <w:proofErr w:type="gramEnd"/>
            <w:r>
              <w:t>,z) ⇒ [P189(x,y) ∧ E55(z)]</w:t>
            </w:r>
          </w:p>
        </w:tc>
      </w:tr>
      <w:tr w:rsidR="00BF18CF" w14:paraId="4A1410F6" w14:textId="77777777" w:rsidTr="00BF18CF">
        <w:tc>
          <w:tcPr>
            <w:tcW w:w="1870" w:type="dxa"/>
          </w:tcPr>
          <w:p w14:paraId="36A17703"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20" w:type="dxa"/>
          </w:tcPr>
          <w:p w14:paraId="6B5F823B" w14:textId="77777777" w:rsidR="00BF18CF" w:rsidRDefault="00E51347">
            <w:r>
              <w:rPr>
                <w:rFonts w:ascii="Consolas" w:eastAsia="Consolas" w:hAnsi="Consolas" w:cs="Consolas"/>
                <w:sz w:val="22"/>
                <w:szCs w:val="22"/>
                <w:shd w:val="clear" w:color="auto" w:fill="EAEEF3"/>
              </w:rPr>
              <w:t>P189.1_a_pour_type</w:t>
            </w:r>
            <w:r>
              <w:t xml:space="preserve"> : </w:t>
            </w:r>
            <w:r>
              <w:rPr>
                <w:rFonts w:ascii="Consolas" w:eastAsia="Consolas" w:hAnsi="Consolas" w:cs="Consolas"/>
                <w:sz w:val="22"/>
                <w:szCs w:val="22"/>
                <w:shd w:val="clear" w:color="auto" w:fill="EAEEF3"/>
              </w:rPr>
              <w:t>E55_Type</w:t>
            </w:r>
          </w:p>
        </w:tc>
      </w:tr>
      <w:tr w:rsidR="00BF18CF" w14:paraId="628FEDE3" w14:textId="77777777" w:rsidTr="00BF18CF">
        <w:tc>
          <w:tcPr>
            <w:tcW w:w="1870" w:type="dxa"/>
          </w:tcPr>
          <w:p w14:paraId="7EDB8D32" w14:textId="1662D13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20" w:type="dxa"/>
          </w:tcPr>
          <w:p w14:paraId="47C4C394" w14:textId="77777777" w:rsidR="00BF18CF" w:rsidRDefault="00BF18CF">
            <w:pPr>
              <w:pBdr>
                <w:top w:val="nil"/>
                <w:left w:val="nil"/>
                <w:bottom w:val="nil"/>
                <w:right w:val="nil"/>
                <w:between w:val="nil"/>
              </w:pBdr>
              <w:spacing w:before="36" w:after="36"/>
              <w:rPr>
                <w:color w:val="000000"/>
              </w:rPr>
            </w:pPr>
          </w:p>
        </w:tc>
      </w:tr>
      <w:tr w:rsidR="00BF18CF" w14:paraId="077695FF" w14:textId="77777777" w:rsidTr="00BF18CF">
        <w:tc>
          <w:tcPr>
            <w:tcW w:w="1870" w:type="dxa"/>
          </w:tcPr>
          <w:p w14:paraId="46A6179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20" w:type="dxa"/>
          </w:tcPr>
          <w:p w14:paraId="6CE42544" w14:textId="77777777" w:rsidR="00BF18CF" w:rsidRDefault="00BF18CF">
            <w:pPr>
              <w:pBdr>
                <w:top w:val="nil"/>
                <w:left w:val="nil"/>
                <w:bottom w:val="nil"/>
                <w:right w:val="nil"/>
                <w:between w:val="nil"/>
              </w:pBdr>
              <w:spacing w:before="36" w:after="36"/>
              <w:rPr>
                <w:color w:val="000000"/>
              </w:rPr>
            </w:pPr>
          </w:p>
        </w:tc>
      </w:tr>
    </w:tbl>
    <w:p w14:paraId="6B650783" w14:textId="77777777" w:rsidR="00BF18CF" w:rsidRDefault="00E51347">
      <w:pPr>
        <w:pStyle w:val="Heading3"/>
      </w:pPr>
      <w:bookmarkStart w:id="573" w:name="bookmark=id.34qadz2" w:colFirst="0" w:colLast="0"/>
      <w:bookmarkStart w:id="574" w:name="_Toc144361030"/>
      <w:bookmarkEnd w:id="573"/>
      <w:r>
        <w:t>P190 a pour contenu symbolique</w:t>
      </w:r>
      <w:bookmarkEnd w:id="574"/>
    </w:p>
    <w:tbl>
      <w:tblPr>
        <w:tblStyle w:val="afffffffffffffffffff0"/>
        <w:tblW w:w="10688"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109"/>
        <w:gridCol w:w="8579"/>
      </w:tblGrid>
      <w:tr w:rsidR="00BF18CF" w14:paraId="4672D12D" w14:textId="77777777" w:rsidTr="00BF18CF">
        <w:tc>
          <w:tcPr>
            <w:tcW w:w="2109" w:type="dxa"/>
          </w:tcPr>
          <w:p w14:paraId="1DDE2F6B"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79" w:type="dxa"/>
          </w:tcPr>
          <w:p w14:paraId="6FCDD50A" w14:textId="77777777" w:rsidR="00BF18CF" w:rsidRDefault="00E51347">
            <w:r>
              <w:rPr>
                <w:rFonts w:ascii="Consolas" w:eastAsia="Consolas" w:hAnsi="Consolas" w:cs="Consolas"/>
                <w:sz w:val="22"/>
                <w:szCs w:val="22"/>
                <w:shd w:val="clear" w:color="auto" w:fill="EAEEF3"/>
              </w:rPr>
              <w:t>E90_Objet_symbolique</w:t>
            </w:r>
          </w:p>
        </w:tc>
      </w:tr>
      <w:tr w:rsidR="00BF18CF" w14:paraId="79B4292E" w14:textId="77777777" w:rsidTr="00BF18CF">
        <w:tc>
          <w:tcPr>
            <w:tcW w:w="2109" w:type="dxa"/>
          </w:tcPr>
          <w:p w14:paraId="3DCF7E98"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79" w:type="dxa"/>
          </w:tcPr>
          <w:p w14:paraId="5C385F7D" w14:textId="77777777" w:rsidR="00BF18CF" w:rsidRDefault="00E51347">
            <w:r>
              <w:rPr>
                <w:rFonts w:ascii="Consolas" w:eastAsia="Consolas" w:hAnsi="Consolas" w:cs="Consolas"/>
                <w:sz w:val="22"/>
                <w:szCs w:val="22"/>
                <w:shd w:val="clear" w:color="auto" w:fill="EAEEF3"/>
              </w:rPr>
              <w:t>E62_Chaîne_de_caractères</w:t>
            </w:r>
          </w:p>
        </w:tc>
      </w:tr>
      <w:tr w:rsidR="00BF18CF" w14:paraId="4FC282AD" w14:textId="77777777" w:rsidTr="00BF18CF">
        <w:tc>
          <w:tcPr>
            <w:tcW w:w="2109" w:type="dxa"/>
          </w:tcPr>
          <w:p w14:paraId="0F9CC3B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79" w:type="dxa"/>
          </w:tcPr>
          <w:p w14:paraId="0C0C526B" w14:textId="77777777" w:rsidR="00BF18CF" w:rsidRDefault="00E51347">
            <w:r>
              <w:rPr>
                <w:rFonts w:ascii="Consolas" w:eastAsia="Consolas" w:hAnsi="Consolas" w:cs="Consolas"/>
                <w:sz w:val="22"/>
                <w:szCs w:val="22"/>
                <w:shd w:val="clear" w:color="auto" w:fill="EAEEF3"/>
              </w:rPr>
              <w:t>E1_Entité_CRM</w:t>
            </w:r>
            <w:r>
              <w:t xml:space="preserve">. </w:t>
            </w:r>
            <w:r>
              <w:rPr>
                <w:rFonts w:ascii="Consolas" w:eastAsia="Consolas" w:hAnsi="Consolas" w:cs="Consolas"/>
                <w:sz w:val="22"/>
                <w:szCs w:val="22"/>
                <w:shd w:val="clear" w:color="auto" w:fill="EAEEF3"/>
              </w:rPr>
              <w:t>P3_a_pour_note</w:t>
            </w:r>
            <w:r>
              <w:t xml:space="preserve"> : </w:t>
            </w:r>
            <w:r>
              <w:rPr>
                <w:rFonts w:ascii="Consolas" w:eastAsia="Consolas" w:hAnsi="Consolas" w:cs="Consolas"/>
                <w:sz w:val="22"/>
                <w:szCs w:val="22"/>
                <w:shd w:val="clear" w:color="auto" w:fill="EAEEF3"/>
              </w:rPr>
              <w:t>E62_Chaîne_de_caractères</w:t>
            </w:r>
          </w:p>
        </w:tc>
      </w:tr>
      <w:tr w:rsidR="00BF18CF" w14:paraId="23AF0968" w14:textId="77777777" w:rsidTr="00BF18CF">
        <w:tc>
          <w:tcPr>
            <w:tcW w:w="2109" w:type="dxa"/>
          </w:tcPr>
          <w:p w14:paraId="741BFC57"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79" w:type="dxa"/>
          </w:tcPr>
          <w:p w14:paraId="70AC791C" w14:textId="77777777" w:rsidR="00BF18CF" w:rsidRDefault="00BF18CF">
            <w:pPr>
              <w:pBdr>
                <w:top w:val="nil"/>
                <w:left w:val="nil"/>
                <w:bottom w:val="nil"/>
                <w:right w:val="nil"/>
                <w:between w:val="nil"/>
              </w:pBdr>
              <w:spacing w:before="36" w:after="36"/>
              <w:rPr>
                <w:color w:val="000000"/>
              </w:rPr>
            </w:pPr>
          </w:p>
        </w:tc>
      </w:tr>
      <w:tr w:rsidR="00BF18CF" w14:paraId="1A851943" w14:textId="77777777" w:rsidTr="00BF18CF">
        <w:tc>
          <w:tcPr>
            <w:tcW w:w="2109" w:type="dxa"/>
          </w:tcPr>
          <w:p w14:paraId="0D08935B"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79" w:type="dxa"/>
          </w:tcPr>
          <w:p w14:paraId="1D09C2DB" w14:textId="77777777" w:rsidR="00BF18CF" w:rsidRDefault="00E51347">
            <w:proofErr w:type="gramStart"/>
            <w:r>
              <w:t>plusieurs</w:t>
            </w:r>
            <w:proofErr w:type="gramEnd"/>
            <w:r>
              <w:t xml:space="preserve"> à plusieurs (0,n:0,n)</w:t>
            </w:r>
          </w:p>
        </w:tc>
      </w:tr>
      <w:tr w:rsidR="00BF18CF" w14:paraId="20FA8F7C" w14:textId="77777777" w:rsidTr="00BF18CF">
        <w:tc>
          <w:tcPr>
            <w:tcW w:w="2109" w:type="dxa"/>
          </w:tcPr>
          <w:p w14:paraId="7F26E0A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79" w:type="dxa"/>
          </w:tcPr>
          <w:p w14:paraId="118635AD" w14:textId="77777777" w:rsidR="00BF18CF" w:rsidRDefault="00E51347">
            <w:r>
              <w:t xml:space="preserve">Cette propriété associe une instance de </w:t>
            </w:r>
            <w:r>
              <w:rPr>
                <w:rFonts w:ascii="Consolas" w:eastAsia="Consolas" w:hAnsi="Consolas" w:cs="Consolas"/>
                <w:sz w:val="22"/>
                <w:szCs w:val="22"/>
                <w:shd w:val="clear" w:color="auto" w:fill="EAEEF3"/>
              </w:rPr>
              <w:t>E90_Objet_symbolique</w:t>
            </w:r>
            <w:r>
              <w:t xml:space="preserve"> avec une représentation complète et identifiable de son contenu sous la forme d’une instance de </w:t>
            </w:r>
            <w:r>
              <w:rPr>
                <w:rFonts w:ascii="Consolas" w:eastAsia="Consolas" w:hAnsi="Consolas" w:cs="Consolas"/>
                <w:sz w:val="22"/>
                <w:szCs w:val="22"/>
                <w:shd w:val="clear" w:color="auto" w:fill="EAEEF3"/>
              </w:rPr>
              <w:t>E62_Chaîne_de_caractères</w:t>
            </w:r>
            <w:r>
              <w:t>.</w:t>
            </w:r>
          </w:p>
          <w:p w14:paraId="64C5E5D1" w14:textId="77777777" w:rsidR="00BF18CF" w:rsidRDefault="00E51347">
            <w:r>
              <w:t xml:space="preserve">Cette propriété ne s’applique qu’aux instances de </w:t>
            </w:r>
            <w:r>
              <w:rPr>
                <w:rFonts w:ascii="Consolas" w:eastAsia="Consolas" w:hAnsi="Consolas" w:cs="Consolas"/>
                <w:sz w:val="22"/>
                <w:szCs w:val="22"/>
                <w:shd w:val="clear" w:color="auto" w:fill="EAEEF3"/>
              </w:rPr>
              <w:t>E90_Objet_symbolique</w:t>
            </w:r>
            <w:r>
              <w:t xml:space="preserve"> qui peuvent être complètement représentées sous cette forme. La représentation peut être plus spécifique que le niveau symbolique définissant la condition identitaire de l’objet représenté. Cela dépend du type d’objet symbolique représenté. Par exemple, si un nom a pour type « séquence de caractères en grec moderne », il peut être représenté par une transcription en alphabet latin sans perte de sens, signifiant la séquence de lettres grecques.</w:t>
            </w:r>
          </w:p>
          <w:p w14:paraId="170E7711" w14:textId="77777777" w:rsidR="00BF18CF" w:rsidRDefault="00E51347">
            <w:r>
              <w:t xml:space="preserve">Selon un autre exemple, si l’objet représenté a pour type « séquence de mots anglais », les variantes orthographiques d’anglais américain ou d’anglais britannique peuvent être choisies pour représenter le mot anglais « colour », sans devoir recourir à un objet symbolique différent. Si un nom a pour type « nom </w:t>
            </w:r>
            <w:r>
              <w:lastRenderedPageBreak/>
              <w:t>traditionnel européen », aucune chaîne de caractères particulière ne peut définir son contenu.</w:t>
            </w:r>
          </w:p>
        </w:tc>
      </w:tr>
      <w:tr w:rsidR="00BF18CF" w14:paraId="5D3C5D7E" w14:textId="77777777" w:rsidTr="00BF18CF">
        <w:tc>
          <w:tcPr>
            <w:tcW w:w="2109" w:type="dxa"/>
          </w:tcPr>
          <w:p w14:paraId="475F4663" w14:textId="77777777" w:rsidR="00BF18CF" w:rsidRDefault="00E51347">
            <w:pPr>
              <w:pBdr>
                <w:top w:val="nil"/>
                <w:left w:val="nil"/>
                <w:bottom w:val="nil"/>
                <w:right w:val="nil"/>
                <w:between w:val="nil"/>
              </w:pBdr>
              <w:spacing w:before="36" w:after="36"/>
              <w:rPr>
                <w:color w:val="000000"/>
              </w:rPr>
            </w:pPr>
            <w:r>
              <w:rPr>
                <w:b/>
                <w:color w:val="000000"/>
              </w:rPr>
              <w:lastRenderedPageBreak/>
              <w:t>Exemples</w:t>
            </w:r>
          </w:p>
        </w:tc>
        <w:tc>
          <w:tcPr>
            <w:tcW w:w="8579" w:type="dxa"/>
          </w:tcPr>
          <w:p w14:paraId="2D1C229A" w14:textId="77777777" w:rsidR="00BF18CF" w:rsidRDefault="00E51347">
            <w:pPr>
              <w:numPr>
                <w:ilvl w:val="0"/>
                <w:numId w:val="19"/>
              </w:numPr>
            </w:pPr>
            <w:r>
              <w:t>La description des matériaux de l'œuvre peinte (</w:t>
            </w:r>
            <w:r>
              <w:rPr>
                <w:rFonts w:ascii="Consolas" w:eastAsia="Consolas" w:hAnsi="Consolas" w:cs="Consolas"/>
                <w:sz w:val="22"/>
                <w:szCs w:val="22"/>
                <w:shd w:val="clear" w:color="auto" w:fill="EAEEF3"/>
              </w:rPr>
              <w:t>E33_Objet_linguistique</w:t>
            </w:r>
            <w:r>
              <w:t>) a pour contenu symbolique (</w:t>
            </w:r>
            <w:r>
              <w:rPr>
                <w:rFonts w:ascii="Consolas" w:eastAsia="Consolas" w:hAnsi="Consolas" w:cs="Consolas"/>
                <w:sz w:val="22"/>
                <w:szCs w:val="22"/>
                <w:shd w:val="clear" w:color="auto" w:fill="EAEEF3"/>
              </w:rPr>
              <w:t>P190_a_pour_contenu_symbolique</w:t>
            </w:r>
            <w:r>
              <w:t>) « Huile, aquarelle française sur papier, graphite et encre sur toile, avec cadre en chêne » (</w:t>
            </w:r>
            <w:r>
              <w:rPr>
                <w:rFonts w:ascii="Consolas" w:eastAsia="Consolas" w:hAnsi="Consolas" w:cs="Consolas"/>
                <w:sz w:val="22"/>
                <w:szCs w:val="22"/>
                <w:shd w:val="clear" w:color="auto" w:fill="EAEEF3"/>
              </w:rPr>
              <w:t>E62_Chaîne_de_caractères</w:t>
            </w:r>
            <w:r>
              <w:t>)</w:t>
            </w:r>
          </w:p>
          <w:p w14:paraId="2B68313C" w14:textId="77777777" w:rsidR="00BF18CF" w:rsidRDefault="00E51347">
            <w:pPr>
              <w:numPr>
                <w:ilvl w:val="0"/>
                <w:numId w:val="19"/>
              </w:numPr>
            </w:pPr>
            <w:r>
              <w:t>Le titre du texte d’Einstein rédigé en 1915 (</w:t>
            </w:r>
            <w:r>
              <w:rPr>
                <w:rFonts w:ascii="Consolas" w:eastAsia="Consolas" w:hAnsi="Consolas" w:cs="Consolas"/>
                <w:sz w:val="22"/>
                <w:szCs w:val="22"/>
                <w:shd w:val="clear" w:color="auto" w:fill="EAEEF3"/>
              </w:rPr>
              <w:t>E35_Titre</w:t>
            </w:r>
            <w:r>
              <w:t>) a pour contenu symbolique (</w:t>
            </w:r>
            <w:r>
              <w:rPr>
                <w:rFonts w:ascii="Consolas" w:eastAsia="Consolas" w:hAnsi="Consolas" w:cs="Consolas"/>
                <w:sz w:val="22"/>
                <w:szCs w:val="22"/>
                <w:shd w:val="clear" w:color="auto" w:fill="EAEEF3"/>
              </w:rPr>
              <w:t>P190_a_pour_contenu_symbolique</w:t>
            </w:r>
            <w:r>
              <w:t>) « La Relativité » (</w:t>
            </w:r>
            <w:r>
              <w:rPr>
                <w:rFonts w:ascii="Consolas" w:eastAsia="Consolas" w:hAnsi="Consolas" w:cs="Consolas"/>
                <w:sz w:val="22"/>
                <w:szCs w:val="22"/>
                <w:shd w:val="clear" w:color="auto" w:fill="EAEEF3"/>
              </w:rPr>
              <w:t>E62_Chaîne_de_caractères</w:t>
            </w:r>
            <w:r>
              <w:t>) (Einstein, 2001)</w:t>
            </w:r>
          </w:p>
          <w:p w14:paraId="5735829E" w14:textId="77777777" w:rsidR="00BF18CF" w:rsidRDefault="00E51347">
            <w:pPr>
              <w:numPr>
                <w:ilvl w:val="0"/>
                <w:numId w:val="19"/>
              </w:numPr>
            </w:pPr>
            <w:r>
              <w:t>L’histoire du Petit chaperon rouge (</w:t>
            </w:r>
            <w:r>
              <w:rPr>
                <w:rFonts w:ascii="Consolas" w:eastAsia="Consolas" w:hAnsi="Consolas" w:cs="Consolas"/>
                <w:sz w:val="22"/>
                <w:szCs w:val="22"/>
                <w:shd w:val="clear" w:color="auto" w:fill="EAEEF3"/>
              </w:rPr>
              <w:t>E33_Objet_linguistique</w:t>
            </w:r>
            <w:r>
              <w:t>) a pour contenu symbolique (</w:t>
            </w:r>
            <w:r>
              <w:rPr>
                <w:rFonts w:ascii="Consolas" w:eastAsia="Consolas" w:hAnsi="Consolas" w:cs="Consolas"/>
                <w:sz w:val="22"/>
                <w:szCs w:val="22"/>
                <w:shd w:val="clear" w:color="auto" w:fill="EAEEF3"/>
              </w:rPr>
              <w:t>P190_a_pour_contenu_symbolique</w:t>
            </w:r>
            <w:r>
              <w:t>) « Il était une fois une petite fille de village » (</w:t>
            </w:r>
            <w:r>
              <w:rPr>
                <w:rFonts w:ascii="Consolas" w:eastAsia="Consolas" w:hAnsi="Consolas" w:cs="Consolas"/>
                <w:sz w:val="22"/>
                <w:szCs w:val="22"/>
                <w:shd w:val="clear" w:color="auto" w:fill="EAEEF3"/>
              </w:rPr>
              <w:t>E62_Chaîne_de_caractères</w:t>
            </w:r>
            <w:r>
              <w:t>) (Lang, 1965)</w:t>
            </w:r>
          </w:p>
          <w:p w14:paraId="3AE0CD9A" w14:textId="77777777" w:rsidR="00BF18CF" w:rsidRDefault="00E51347">
            <w:pPr>
              <w:numPr>
                <w:ilvl w:val="0"/>
                <w:numId w:val="19"/>
              </w:numPr>
            </w:pPr>
            <w:r>
              <w:t>L’inscription sur l’objet SK-A-1601 du Rijksmuseum (</w:t>
            </w:r>
            <w:r>
              <w:rPr>
                <w:rFonts w:ascii="Consolas" w:eastAsia="Consolas" w:hAnsi="Consolas" w:cs="Consolas"/>
                <w:sz w:val="22"/>
                <w:szCs w:val="22"/>
                <w:shd w:val="clear" w:color="auto" w:fill="EAEEF3"/>
              </w:rPr>
              <w:t>E34_Inscription</w:t>
            </w:r>
            <w:r>
              <w:t>) a pour contenu symbolique (</w:t>
            </w:r>
            <w:r>
              <w:rPr>
                <w:rFonts w:ascii="Consolas" w:eastAsia="Consolas" w:hAnsi="Consolas" w:cs="Consolas"/>
                <w:sz w:val="22"/>
                <w:szCs w:val="22"/>
                <w:shd w:val="clear" w:color="auto" w:fill="EAEEF3"/>
              </w:rPr>
              <w:t>P190_a_pour_contenu_symbolique</w:t>
            </w:r>
            <w:r>
              <w:t>) « B » (</w:t>
            </w:r>
            <w:r>
              <w:rPr>
                <w:rFonts w:ascii="Consolas" w:eastAsia="Consolas" w:hAnsi="Consolas" w:cs="Consolas"/>
                <w:sz w:val="22"/>
                <w:szCs w:val="22"/>
                <w:shd w:val="clear" w:color="auto" w:fill="EAEEF3"/>
              </w:rPr>
              <w:t>E62_Chaîne_de_caractères</w:t>
            </w:r>
            <w:r>
              <w:t>) [référence: https://www.rijksmuseum.nl/en/collection/SK-A-1601/catalogue-entry (accédé le 7 mars 2022)]</w:t>
            </w:r>
          </w:p>
        </w:tc>
      </w:tr>
      <w:tr w:rsidR="00BF18CF" w14:paraId="6BB9A5E9" w14:textId="77777777" w:rsidTr="00BF18CF">
        <w:tc>
          <w:tcPr>
            <w:tcW w:w="2109" w:type="dxa"/>
          </w:tcPr>
          <w:p w14:paraId="6FDB8EB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579" w:type="dxa"/>
          </w:tcPr>
          <w:p w14:paraId="54FF5B3F" w14:textId="77777777" w:rsidR="00BF18CF" w:rsidRDefault="00E51347">
            <w:r>
              <w:t>P190(</w:t>
            </w:r>
            <w:proofErr w:type="gramStart"/>
            <w:r>
              <w:t>x,y</w:t>
            </w:r>
            <w:proofErr w:type="gramEnd"/>
            <w:r>
              <w:t>) ⇒ E90(x)</w:t>
            </w:r>
          </w:p>
          <w:p w14:paraId="635C6C75" w14:textId="77777777" w:rsidR="00BF18CF" w:rsidRDefault="00E51347">
            <w:r>
              <w:t>P190(</w:t>
            </w:r>
            <w:proofErr w:type="gramStart"/>
            <w:r>
              <w:t>x,y</w:t>
            </w:r>
            <w:proofErr w:type="gramEnd"/>
            <w:r>
              <w:t>) ⇒ E62(y)</w:t>
            </w:r>
          </w:p>
        </w:tc>
      </w:tr>
      <w:tr w:rsidR="00BF18CF" w14:paraId="642897AB" w14:textId="77777777" w:rsidTr="00BF18CF">
        <w:tc>
          <w:tcPr>
            <w:tcW w:w="2109" w:type="dxa"/>
          </w:tcPr>
          <w:p w14:paraId="4C1EBA94"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79" w:type="dxa"/>
          </w:tcPr>
          <w:p w14:paraId="51E89F00" w14:textId="77777777" w:rsidR="00BF18CF" w:rsidRDefault="00BF18CF">
            <w:pPr>
              <w:pBdr>
                <w:top w:val="nil"/>
                <w:left w:val="nil"/>
                <w:bottom w:val="nil"/>
                <w:right w:val="nil"/>
                <w:between w:val="nil"/>
              </w:pBdr>
              <w:spacing w:before="36" w:after="36"/>
              <w:rPr>
                <w:color w:val="000000"/>
              </w:rPr>
            </w:pPr>
          </w:p>
        </w:tc>
      </w:tr>
      <w:tr w:rsidR="00BF18CF" w14:paraId="7B23A5CE" w14:textId="77777777" w:rsidTr="00BF18CF">
        <w:tc>
          <w:tcPr>
            <w:tcW w:w="2109" w:type="dxa"/>
          </w:tcPr>
          <w:p w14:paraId="044F5EB4" w14:textId="65FADE63"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79" w:type="dxa"/>
          </w:tcPr>
          <w:p w14:paraId="73F0E239" w14:textId="77777777" w:rsidR="00BF18CF" w:rsidRDefault="00E51347">
            <w:r>
              <w:t xml:space="preserve">Le titre </w:t>
            </w:r>
            <w:r>
              <w:rPr>
                <w:i/>
              </w:rPr>
              <w:t>La Relativité</w:t>
            </w:r>
            <w:r>
              <w:t xml:space="preserve"> a été retenu comme traduction de </w:t>
            </w:r>
            <w:r>
              <w:rPr>
                <w:i/>
              </w:rPr>
              <w:t>Relativity, the Special and the General Theory</w:t>
            </w:r>
            <w:r>
              <w:t>. Cette décision est basée sur le fait qu’il s’agit du titre de couverture en français retenu du côté de la Bibliothèque nationale de France ainsi que du côté de Wikipédia.</w:t>
            </w:r>
          </w:p>
        </w:tc>
      </w:tr>
      <w:tr w:rsidR="00BF18CF" w:rsidRPr="000467B7" w14:paraId="2A848272" w14:textId="77777777" w:rsidTr="00BF18CF">
        <w:tc>
          <w:tcPr>
            <w:tcW w:w="2109" w:type="dxa"/>
          </w:tcPr>
          <w:p w14:paraId="219CCED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79" w:type="dxa"/>
          </w:tcPr>
          <w:p w14:paraId="17B7E374" w14:textId="77777777" w:rsidR="00BF18CF" w:rsidRDefault="00E51347">
            <w:r>
              <w:t xml:space="preserve">Einstein, Albert. </w:t>
            </w:r>
            <w:r>
              <w:rPr>
                <w:i/>
              </w:rPr>
              <w:t>La relativité : théorie de la relativité restreinte et générale, la relativité et le problème de l’espace</w:t>
            </w:r>
            <w:r>
              <w:t>. Traduit par Maurice Solovine. Petite bibliothèque Payot 25. Paris, FR-IDF: Payot &amp; Rivages, 2001.</w:t>
            </w:r>
          </w:p>
          <w:p w14:paraId="049D8859" w14:textId="77777777" w:rsidR="00BF18CF" w:rsidRPr="00EE61A5" w:rsidRDefault="00E51347">
            <w:pPr>
              <w:rPr>
                <w:lang w:val="en-CA"/>
              </w:rPr>
            </w:pPr>
            <w:r>
              <w:t xml:space="preserve">Wikipédia. « La Relativité ». Dans </w:t>
            </w:r>
            <w:r>
              <w:rPr>
                <w:i/>
              </w:rPr>
              <w:t>Wikipédia</w:t>
            </w:r>
            <w:r>
              <w:t xml:space="preserve">. </w:t>
            </w:r>
            <w:r w:rsidRPr="00EE61A5">
              <w:rPr>
                <w:lang w:val="en-CA"/>
              </w:rPr>
              <w:t>San Francisco, US-CA: Wikipédia, 14 octobre 2022.</w:t>
            </w:r>
            <w:hyperlink r:id="rId456">
              <w:r w:rsidRPr="00EE61A5">
                <w:rPr>
                  <w:color w:val="4F81BD"/>
                  <w:lang w:val="en-CA"/>
                </w:rPr>
                <w:t xml:space="preserve"> https://fr.wikipedia.org/w/index.php?title=La_Relativit%C3%A9&amp;oldid=197771496</w:t>
              </w:r>
            </w:hyperlink>
            <w:r w:rsidRPr="00EE61A5">
              <w:rPr>
                <w:lang w:val="en-CA"/>
              </w:rPr>
              <w:t>.</w:t>
            </w:r>
          </w:p>
        </w:tc>
      </w:tr>
    </w:tbl>
    <w:p w14:paraId="388D0729" w14:textId="77777777" w:rsidR="00BF18CF" w:rsidRDefault="00E51347">
      <w:pPr>
        <w:pStyle w:val="Heading3"/>
      </w:pPr>
      <w:bookmarkStart w:id="575" w:name="bookmark=id.1jvko6v" w:colFirst="0" w:colLast="0"/>
      <w:bookmarkStart w:id="576" w:name="_Toc144361031"/>
      <w:bookmarkEnd w:id="575"/>
      <w:r>
        <w:t>P191 a eu pour durée (était la durée de)</w:t>
      </w:r>
      <w:bookmarkEnd w:id="576"/>
    </w:p>
    <w:tbl>
      <w:tblPr>
        <w:tblStyle w:val="afffffffffffffffffff1"/>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95"/>
        <w:gridCol w:w="8795"/>
      </w:tblGrid>
      <w:tr w:rsidR="00BF18CF" w14:paraId="691A459C" w14:textId="77777777" w:rsidTr="00BF18CF">
        <w:tc>
          <w:tcPr>
            <w:tcW w:w="1895" w:type="dxa"/>
          </w:tcPr>
          <w:p w14:paraId="15588F22"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795" w:type="dxa"/>
          </w:tcPr>
          <w:p w14:paraId="0177B9A9" w14:textId="77777777" w:rsidR="00BF18CF" w:rsidRDefault="00E51347">
            <w:r>
              <w:rPr>
                <w:rFonts w:ascii="Consolas" w:eastAsia="Consolas" w:hAnsi="Consolas" w:cs="Consolas"/>
                <w:sz w:val="22"/>
                <w:szCs w:val="22"/>
                <w:shd w:val="clear" w:color="auto" w:fill="EAEEF3"/>
              </w:rPr>
              <w:t>E52_Intervalle_temporel</w:t>
            </w:r>
          </w:p>
        </w:tc>
      </w:tr>
      <w:tr w:rsidR="00BF18CF" w14:paraId="5DBC2587" w14:textId="77777777" w:rsidTr="00BF18CF">
        <w:tc>
          <w:tcPr>
            <w:tcW w:w="1895" w:type="dxa"/>
          </w:tcPr>
          <w:p w14:paraId="2FED5AE0"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795" w:type="dxa"/>
          </w:tcPr>
          <w:p w14:paraId="3FC40337" w14:textId="77777777" w:rsidR="00BF18CF" w:rsidRDefault="00E51347">
            <w:r>
              <w:rPr>
                <w:rFonts w:ascii="Consolas" w:eastAsia="Consolas" w:hAnsi="Consolas" w:cs="Consolas"/>
                <w:sz w:val="22"/>
                <w:szCs w:val="22"/>
                <w:shd w:val="clear" w:color="auto" w:fill="EAEEF3"/>
              </w:rPr>
              <w:t>E54_Dimension</w:t>
            </w:r>
          </w:p>
        </w:tc>
      </w:tr>
      <w:tr w:rsidR="00BF18CF" w14:paraId="058D5C90" w14:textId="77777777" w:rsidTr="00BF18CF">
        <w:tc>
          <w:tcPr>
            <w:tcW w:w="1895" w:type="dxa"/>
          </w:tcPr>
          <w:p w14:paraId="15F89000"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795" w:type="dxa"/>
          </w:tcPr>
          <w:p w14:paraId="7BB90F50" w14:textId="77777777" w:rsidR="00BF18CF" w:rsidRDefault="00BF18CF">
            <w:pPr>
              <w:pBdr>
                <w:top w:val="nil"/>
                <w:left w:val="nil"/>
                <w:bottom w:val="nil"/>
                <w:right w:val="nil"/>
                <w:between w:val="nil"/>
              </w:pBdr>
              <w:spacing w:before="36" w:after="36"/>
              <w:rPr>
                <w:color w:val="000000"/>
              </w:rPr>
            </w:pPr>
          </w:p>
        </w:tc>
      </w:tr>
      <w:tr w:rsidR="00BF18CF" w14:paraId="464B279A" w14:textId="77777777" w:rsidTr="00BF18CF">
        <w:tc>
          <w:tcPr>
            <w:tcW w:w="1895" w:type="dxa"/>
          </w:tcPr>
          <w:p w14:paraId="1B24B464"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795" w:type="dxa"/>
          </w:tcPr>
          <w:p w14:paraId="6A291D05" w14:textId="77777777" w:rsidR="00BF18CF" w:rsidRDefault="00BF18CF">
            <w:pPr>
              <w:pBdr>
                <w:top w:val="nil"/>
                <w:left w:val="nil"/>
                <w:bottom w:val="nil"/>
                <w:right w:val="nil"/>
                <w:between w:val="nil"/>
              </w:pBdr>
              <w:spacing w:before="36" w:after="36"/>
              <w:rPr>
                <w:color w:val="000000"/>
              </w:rPr>
            </w:pPr>
          </w:p>
        </w:tc>
      </w:tr>
      <w:tr w:rsidR="00BF18CF" w14:paraId="32DCD644" w14:textId="77777777" w:rsidTr="00BF18CF">
        <w:tc>
          <w:tcPr>
            <w:tcW w:w="1895" w:type="dxa"/>
          </w:tcPr>
          <w:p w14:paraId="4C3B102B" w14:textId="77777777" w:rsidR="00BF18CF" w:rsidRDefault="00E51347">
            <w:pPr>
              <w:pBdr>
                <w:top w:val="nil"/>
                <w:left w:val="nil"/>
                <w:bottom w:val="nil"/>
                <w:right w:val="nil"/>
                <w:between w:val="nil"/>
              </w:pBdr>
              <w:spacing w:before="36" w:after="36"/>
              <w:rPr>
                <w:color w:val="000000"/>
              </w:rPr>
            </w:pPr>
            <w:r>
              <w:rPr>
                <w:b/>
                <w:color w:val="000000"/>
              </w:rPr>
              <w:lastRenderedPageBreak/>
              <w:t>Quantification</w:t>
            </w:r>
          </w:p>
        </w:tc>
        <w:tc>
          <w:tcPr>
            <w:tcW w:w="8795" w:type="dxa"/>
          </w:tcPr>
          <w:p w14:paraId="10E81791" w14:textId="77777777" w:rsidR="00BF18CF" w:rsidRDefault="00E51347">
            <w:proofErr w:type="gramStart"/>
            <w:r>
              <w:t>un</w:t>
            </w:r>
            <w:proofErr w:type="gramEnd"/>
            <w:r>
              <w:t xml:space="preserve"> à un (1,1:1,1)</w:t>
            </w:r>
          </w:p>
        </w:tc>
      </w:tr>
      <w:tr w:rsidR="00BF18CF" w14:paraId="31F374D9" w14:textId="77777777" w:rsidTr="00BF18CF">
        <w:tc>
          <w:tcPr>
            <w:tcW w:w="1895" w:type="dxa"/>
          </w:tcPr>
          <w:p w14:paraId="5D14B83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795" w:type="dxa"/>
          </w:tcPr>
          <w:p w14:paraId="7EEBAA5C" w14:textId="77777777" w:rsidR="00BF18CF" w:rsidRDefault="00E51347">
            <w:r>
              <w:t xml:space="preserve">Cette propriété décrit la durée de temps couverte par une instance de </w:t>
            </w:r>
            <w:r>
              <w:rPr>
                <w:rFonts w:ascii="Consolas" w:eastAsia="Consolas" w:hAnsi="Consolas" w:cs="Consolas"/>
                <w:sz w:val="22"/>
                <w:szCs w:val="22"/>
                <w:shd w:val="clear" w:color="auto" w:fill="EAEEF3"/>
              </w:rPr>
              <w:t>E52_Intervalle_temporel</w:t>
            </w:r>
            <w:r>
              <w:t xml:space="preserve">. Elle permet d'associer une instance de </w:t>
            </w:r>
            <w:r>
              <w:rPr>
                <w:rFonts w:ascii="Consolas" w:eastAsia="Consolas" w:hAnsi="Consolas" w:cs="Consolas"/>
                <w:sz w:val="22"/>
                <w:szCs w:val="22"/>
                <w:shd w:val="clear" w:color="auto" w:fill="EAEEF3"/>
              </w:rPr>
              <w:t>E52_Intervalle_temporel</w:t>
            </w:r>
            <w:r>
              <w:t xml:space="preserve"> à une instance de </w:t>
            </w:r>
            <w:r>
              <w:rPr>
                <w:rFonts w:ascii="Consolas" w:eastAsia="Consolas" w:hAnsi="Consolas" w:cs="Consolas"/>
                <w:sz w:val="22"/>
                <w:szCs w:val="22"/>
                <w:shd w:val="clear" w:color="auto" w:fill="EAEEF3"/>
              </w:rPr>
              <w:t>E54_Dimension</w:t>
            </w:r>
            <w:r>
              <w:t xml:space="preserve"> représentant une durée de temps indépendante du début et de la fin réels. L'indétermination de la valeur de la durée peut être exprimée en attribuant un intervalle numérique à la propriété </w:t>
            </w:r>
            <w:r>
              <w:rPr>
                <w:rFonts w:ascii="Consolas" w:eastAsia="Consolas" w:hAnsi="Consolas" w:cs="Consolas"/>
                <w:sz w:val="22"/>
                <w:szCs w:val="22"/>
                <w:shd w:val="clear" w:color="auto" w:fill="EAEEF3"/>
              </w:rPr>
              <w:t>P90_a_pour_valeur</w:t>
            </w:r>
            <w:r>
              <w:t xml:space="preserve"> de </w:t>
            </w:r>
            <w:r>
              <w:rPr>
                <w:rFonts w:ascii="Consolas" w:eastAsia="Consolas" w:hAnsi="Consolas" w:cs="Consolas"/>
                <w:sz w:val="22"/>
                <w:szCs w:val="22"/>
                <w:shd w:val="clear" w:color="auto" w:fill="EAEEF3"/>
              </w:rPr>
              <w:t>E54_Dimension</w:t>
            </w:r>
            <w:r>
              <w:t>.</w:t>
            </w:r>
          </w:p>
        </w:tc>
      </w:tr>
      <w:tr w:rsidR="00BF18CF" w14:paraId="2D8B21FA" w14:textId="77777777" w:rsidTr="00BF18CF">
        <w:tc>
          <w:tcPr>
            <w:tcW w:w="1895" w:type="dxa"/>
          </w:tcPr>
          <w:p w14:paraId="63D6722F"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795" w:type="dxa"/>
          </w:tcPr>
          <w:p w14:paraId="34E76E9C" w14:textId="77777777" w:rsidR="00BF18CF" w:rsidRDefault="00E51347">
            <w:pPr>
              <w:numPr>
                <w:ilvl w:val="0"/>
                <w:numId w:val="19"/>
              </w:numPr>
            </w:pPr>
            <w:r>
              <w:t>L’intervalle temporel de la bataille d'Issos 333 AEC (</w:t>
            </w:r>
            <w:r>
              <w:rPr>
                <w:rFonts w:ascii="Consolas" w:eastAsia="Consolas" w:hAnsi="Consolas" w:cs="Consolas"/>
                <w:sz w:val="22"/>
                <w:szCs w:val="22"/>
                <w:shd w:val="clear" w:color="auto" w:fill="EAEEF3"/>
              </w:rPr>
              <w:t>E52_Intervalle_temporel</w:t>
            </w:r>
            <w:r>
              <w:t>) a eu pour durée (</w:t>
            </w:r>
            <w:r>
              <w:rPr>
                <w:rFonts w:ascii="Consolas" w:eastAsia="Consolas" w:hAnsi="Consolas" w:cs="Consolas"/>
                <w:sz w:val="22"/>
                <w:szCs w:val="22"/>
                <w:shd w:val="clear" w:color="auto" w:fill="EAEEF3"/>
              </w:rPr>
              <w:t>P191_a_eu_pour_durée</w:t>
            </w:r>
            <w:r>
              <w:t>) la durée de la bataille d'Issos (</w:t>
            </w:r>
            <w:r>
              <w:rPr>
                <w:rFonts w:ascii="Consolas" w:eastAsia="Consolas" w:hAnsi="Consolas" w:cs="Consolas"/>
                <w:sz w:val="22"/>
                <w:szCs w:val="22"/>
                <w:shd w:val="clear" w:color="auto" w:fill="EAEEF3"/>
              </w:rPr>
              <w:t>E54_Dimension</w:t>
            </w:r>
            <w:r>
              <w:t>) (Howard, 2012)</w:t>
            </w:r>
          </w:p>
        </w:tc>
      </w:tr>
      <w:tr w:rsidR="00BF18CF" w14:paraId="6378690F" w14:textId="77777777" w:rsidTr="00BF18CF">
        <w:tc>
          <w:tcPr>
            <w:tcW w:w="1895" w:type="dxa"/>
          </w:tcPr>
          <w:p w14:paraId="4DA33C5A" w14:textId="77777777" w:rsidR="00BF18CF" w:rsidRDefault="00E51347">
            <w:pPr>
              <w:pBdr>
                <w:top w:val="nil"/>
                <w:left w:val="nil"/>
                <w:bottom w:val="nil"/>
                <w:right w:val="nil"/>
                <w:between w:val="nil"/>
              </w:pBdr>
              <w:spacing w:before="36" w:after="36"/>
              <w:rPr>
                <w:color w:val="000000"/>
              </w:rPr>
            </w:pPr>
            <w:r>
              <w:rPr>
                <w:b/>
                <w:color w:val="000000"/>
              </w:rPr>
              <w:t>Logique</w:t>
            </w:r>
          </w:p>
        </w:tc>
        <w:tc>
          <w:tcPr>
            <w:tcW w:w="8795" w:type="dxa"/>
          </w:tcPr>
          <w:p w14:paraId="0A4F1BF2" w14:textId="77777777" w:rsidR="00BF18CF" w:rsidRDefault="00E51347">
            <w:r>
              <w:t>P191(</w:t>
            </w:r>
            <w:proofErr w:type="gramStart"/>
            <w:r>
              <w:t>x,y</w:t>
            </w:r>
            <w:proofErr w:type="gramEnd"/>
            <w:r>
              <w:t>) ⇒ E52(x)</w:t>
            </w:r>
          </w:p>
          <w:p w14:paraId="17EFBED3" w14:textId="77777777" w:rsidR="00BF18CF" w:rsidRDefault="00E51347">
            <w:r>
              <w:t>P191(</w:t>
            </w:r>
            <w:proofErr w:type="gramStart"/>
            <w:r>
              <w:t>x,y</w:t>
            </w:r>
            <w:proofErr w:type="gramEnd"/>
            <w:r>
              <w:t>) ⇒ E54(y)</w:t>
            </w:r>
          </w:p>
        </w:tc>
      </w:tr>
      <w:tr w:rsidR="00BF18CF" w14:paraId="64F28A11" w14:textId="77777777" w:rsidTr="00BF18CF">
        <w:tc>
          <w:tcPr>
            <w:tcW w:w="1895" w:type="dxa"/>
          </w:tcPr>
          <w:p w14:paraId="1D635E6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795" w:type="dxa"/>
          </w:tcPr>
          <w:p w14:paraId="082A9714" w14:textId="77777777" w:rsidR="00BF18CF" w:rsidRDefault="00BF18CF">
            <w:pPr>
              <w:pBdr>
                <w:top w:val="nil"/>
                <w:left w:val="nil"/>
                <w:bottom w:val="nil"/>
                <w:right w:val="nil"/>
                <w:between w:val="nil"/>
              </w:pBdr>
              <w:spacing w:before="36" w:after="36"/>
              <w:rPr>
                <w:color w:val="000000"/>
              </w:rPr>
            </w:pPr>
          </w:p>
        </w:tc>
      </w:tr>
      <w:tr w:rsidR="00BF18CF" w14:paraId="67A51660" w14:textId="77777777" w:rsidTr="00BF18CF">
        <w:tc>
          <w:tcPr>
            <w:tcW w:w="1895" w:type="dxa"/>
          </w:tcPr>
          <w:p w14:paraId="47A7AA08" w14:textId="7F2B96CA" w:rsidR="00BF18CF" w:rsidRDefault="00F27208">
            <w:pPr>
              <w:pBdr>
                <w:top w:val="nil"/>
                <w:left w:val="nil"/>
                <w:bottom w:val="nil"/>
                <w:right w:val="nil"/>
                <w:between w:val="nil"/>
              </w:pBdr>
              <w:spacing w:before="36" w:after="36"/>
              <w:rPr>
                <w:color w:val="000000"/>
              </w:rPr>
            </w:pPr>
            <w:r>
              <w:rPr>
                <w:b/>
                <w:i/>
                <w:color w:val="000000"/>
              </w:rPr>
              <w:t>Note de traduction</w:t>
            </w:r>
          </w:p>
        </w:tc>
        <w:tc>
          <w:tcPr>
            <w:tcW w:w="8795" w:type="dxa"/>
          </w:tcPr>
          <w:p w14:paraId="0632D86A" w14:textId="77777777" w:rsidR="00BF18CF" w:rsidRDefault="00BF18CF">
            <w:pPr>
              <w:pBdr>
                <w:top w:val="nil"/>
                <w:left w:val="nil"/>
                <w:bottom w:val="nil"/>
                <w:right w:val="nil"/>
                <w:between w:val="nil"/>
              </w:pBdr>
              <w:spacing w:before="36" w:after="36"/>
              <w:rPr>
                <w:color w:val="000000"/>
              </w:rPr>
            </w:pPr>
          </w:p>
        </w:tc>
      </w:tr>
      <w:tr w:rsidR="00BF18CF" w14:paraId="176A783C" w14:textId="77777777" w:rsidTr="00BF18CF">
        <w:tc>
          <w:tcPr>
            <w:tcW w:w="1895" w:type="dxa"/>
          </w:tcPr>
          <w:p w14:paraId="43583FBC"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795" w:type="dxa"/>
          </w:tcPr>
          <w:p w14:paraId="2B91E77D" w14:textId="77777777" w:rsidR="00BF18CF" w:rsidRDefault="00BF18CF">
            <w:pPr>
              <w:pBdr>
                <w:top w:val="nil"/>
                <w:left w:val="nil"/>
                <w:bottom w:val="nil"/>
                <w:right w:val="nil"/>
                <w:between w:val="nil"/>
              </w:pBdr>
              <w:spacing w:before="36" w:after="36"/>
              <w:rPr>
                <w:color w:val="000000"/>
              </w:rPr>
            </w:pPr>
          </w:p>
        </w:tc>
      </w:tr>
    </w:tbl>
    <w:p w14:paraId="6A9356C2" w14:textId="77777777" w:rsidR="00BF18CF" w:rsidRDefault="00E51347">
      <w:pPr>
        <w:pStyle w:val="Heading3"/>
      </w:pPr>
      <w:bookmarkStart w:id="577" w:name="bookmark=id.43v86uo" w:colFirst="0" w:colLast="0"/>
      <w:bookmarkStart w:id="578" w:name="_Toc144361032"/>
      <w:bookmarkEnd w:id="577"/>
      <w:r>
        <w:t>P195 a été une présence de (a eu pour présence)</w:t>
      </w:r>
      <w:bookmarkEnd w:id="578"/>
    </w:p>
    <w:tbl>
      <w:tblPr>
        <w:tblStyle w:val="afffffffffffffffffff2"/>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9"/>
        <w:gridCol w:w="8801"/>
      </w:tblGrid>
      <w:tr w:rsidR="00BF18CF" w14:paraId="7AA6BE76" w14:textId="77777777" w:rsidTr="00BF18CF">
        <w:tc>
          <w:tcPr>
            <w:tcW w:w="1889" w:type="dxa"/>
          </w:tcPr>
          <w:p w14:paraId="31743CD3"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1" w:type="dxa"/>
          </w:tcPr>
          <w:p w14:paraId="534E3727" w14:textId="77777777" w:rsidR="00BF18CF" w:rsidRDefault="00E51347">
            <w:r>
              <w:rPr>
                <w:rFonts w:ascii="Consolas" w:eastAsia="Consolas" w:hAnsi="Consolas" w:cs="Consolas"/>
                <w:sz w:val="22"/>
                <w:szCs w:val="22"/>
                <w:shd w:val="clear" w:color="auto" w:fill="EAEEF3"/>
              </w:rPr>
              <w:t>E93_Présence</w:t>
            </w:r>
          </w:p>
        </w:tc>
      </w:tr>
      <w:tr w:rsidR="00BF18CF" w14:paraId="23B60BC2" w14:textId="77777777" w:rsidTr="00BF18CF">
        <w:tc>
          <w:tcPr>
            <w:tcW w:w="1889" w:type="dxa"/>
          </w:tcPr>
          <w:p w14:paraId="69E5B943"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1" w:type="dxa"/>
          </w:tcPr>
          <w:p w14:paraId="2D013E0C" w14:textId="77777777" w:rsidR="00BF18CF" w:rsidRDefault="00E51347">
            <w:r>
              <w:rPr>
                <w:rFonts w:ascii="Consolas" w:eastAsia="Consolas" w:hAnsi="Consolas" w:cs="Consolas"/>
                <w:sz w:val="22"/>
                <w:szCs w:val="22"/>
                <w:shd w:val="clear" w:color="auto" w:fill="EAEEF3"/>
              </w:rPr>
              <w:t>E18_Chose_matérielle</w:t>
            </w:r>
          </w:p>
        </w:tc>
      </w:tr>
      <w:tr w:rsidR="00BF18CF" w14:paraId="193948CD" w14:textId="77777777" w:rsidTr="00BF18CF">
        <w:tc>
          <w:tcPr>
            <w:tcW w:w="1889" w:type="dxa"/>
          </w:tcPr>
          <w:p w14:paraId="19EDCA33"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1" w:type="dxa"/>
          </w:tcPr>
          <w:p w14:paraId="5272CD42" w14:textId="77777777" w:rsidR="00BF18CF" w:rsidRDefault="00BF18CF">
            <w:pPr>
              <w:pBdr>
                <w:top w:val="nil"/>
                <w:left w:val="nil"/>
                <w:bottom w:val="nil"/>
                <w:right w:val="nil"/>
                <w:between w:val="nil"/>
              </w:pBdr>
              <w:spacing w:before="36" w:after="36"/>
              <w:rPr>
                <w:color w:val="000000"/>
              </w:rPr>
            </w:pPr>
          </w:p>
        </w:tc>
      </w:tr>
      <w:tr w:rsidR="00BF18CF" w14:paraId="18ECC659" w14:textId="77777777" w:rsidTr="00BF18CF">
        <w:tc>
          <w:tcPr>
            <w:tcW w:w="1889" w:type="dxa"/>
          </w:tcPr>
          <w:p w14:paraId="45AAA28F"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1" w:type="dxa"/>
          </w:tcPr>
          <w:p w14:paraId="3E2B29BB" w14:textId="77777777" w:rsidR="00BF18CF" w:rsidRDefault="00BF18CF">
            <w:pPr>
              <w:pBdr>
                <w:top w:val="nil"/>
                <w:left w:val="nil"/>
                <w:bottom w:val="nil"/>
                <w:right w:val="nil"/>
                <w:between w:val="nil"/>
              </w:pBdr>
              <w:spacing w:before="36" w:after="36"/>
              <w:rPr>
                <w:color w:val="000000"/>
              </w:rPr>
            </w:pPr>
          </w:p>
        </w:tc>
      </w:tr>
      <w:tr w:rsidR="00BF18CF" w14:paraId="08FC57BB" w14:textId="77777777" w:rsidTr="00BF18CF">
        <w:tc>
          <w:tcPr>
            <w:tcW w:w="1889" w:type="dxa"/>
          </w:tcPr>
          <w:p w14:paraId="4E820EE3"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1" w:type="dxa"/>
          </w:tcPr>
          <w:p w14:paraId="6E81EA09" w14:textId="77777777" w:rsidR="00BF18CF" w:rsidRDefault="00E51347">
            <w:proofErr w:type="gramStart"/>
            <w:r>
              <w:t>plusieurs</w:t>
            </w:r>
            <w:proofErr w:type="gramEnd"/>
            <w:r>
              <w:t xml:space="preserve"> à un, nécessaire (1,1:0,n)</w:t>
            </w:r>
          </w:p>
        </w:tc>
      </w:tr>
      <w:tr w:rsidR="00BF18CF" w14:paraId="3AAAEB3D" w14:textId="77777777" w:rsidTr="00BF18CF">
        <w:tc>
          <w:tcPr>
            <w:tcW w:w="1889" w:type="dxa"/>
          </w:tcPr>
          <w:p w14:paraId="53BE492B"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1" w:type="dxa"/>
          </w:tcPr>
          <w:p w14:paraId="4609E537" w14:textId="77777777" w:rsidR="00BF18CF" w:rsidRDefault="00E51347">
            <w:r>
              <w:t xml:space="preserve">Cette propriété associe une instance de </w:t>
            </w:r>
            <w:r>
              <w:rPr>
                <w:rFonts w:ascii="Consolas" w:eastAsia="Consolas" w:hAnsi="Consolas" w:cs="Consolas"/>
                <w:sz w:val="22"/>
                <w:szCs w:val="22"/>
                <w:shd w:val="clear" w:color="auto" w:fill="EAEEF3"/>
              </w:rPr>
              <w:t>E93_Présence</w:t>
            </w:r>
            <w:r>
              <w:t xml:space="preserve"> à l'instance de </w:t>
            </w:r>
            <w:r>
              <w:rPr>
                <w:rFonts w:ascii="Consolas" w:eastAsia="Consolas" w:hAnsi="Consolas" w:cs="Consolas"/>
                <w:sz w:val="22"/>
                <w:szCs w:val="22"/>
                <w:shd w:val="clear" w:color="auto" w:fill="EAEEF3"/>
              </w:rPr>
              <w:t>E18_Chose_matérielle</w:t>
            </w:r>
            <w:r>
              <w:t xml:space="preserve"> dont elle représente une restriction temporelle (c.-à-d. une tranche de temps) de la trajectoire spatio-temporelle de la chose. En d'autres termes, elle décrit où l'instance de </w:t>
            </w:r>
            <w:r>
              <w:rPr>
                <w:rFonts w:ascii="Consolas" w:eastAsia="Consolas" w:hAnsi="Consolas" w:cs="Consolas"/>
                <w:sz w:val="22"/>
                <w:szCs w:val="22"/>
                <w:shd w:val="clear" w:color="auto" w:fill="EAEEF3"/>
              </w:rPr>
              <w:t>E18_Chose_matérielle</w:t>
            </w:r>
            <w:r>
              <w:t xml:space="preserve"> était ou s'est déplacée dans un intervalle temporel donné. L'instanciation de cette propriété constitue une partie nécessaire de l'identité de l'instance de </w:t>
            </w:r>
            <w:r>
              <w:rPr>
                <w:rFonts w:ascii="Consolas" w:eastAsia="Consolas" w:hAnsi="Consolas" w:cs="Consolas"/>
                <w:sz w:val="22"/>
                <w:szCs w:val="22"/>
                <w:shd w:val="clear" w:color="auto" w:fill="EAEEF3"/>
              </w:rPr>
              <w:t>E93_Présence</w:t>
            </w:r>
            <w:r>
              <w:t>.</w:t>
            </w:r>
          </w:p>
          <w:p w14:paraId="04AB4CB8"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P196_définit (est_défini_par)</w:t>
            </w:r>
            <w:r>
              <w:t xml:space="preserve">, </w:t>
            </w:r>
            <w:r>
              <w:rPr>
                <w:rFonts w:ascii="Consolas" w:eastAsia="Consolas" w:hAnsi="Consolas" w:cs="Consolas"/>
                <w:sz w:val="22"/>
                <w:szCs w:val="22"/>
                <w:shd w:val="clear" w:color="auto" w:fill="EAEEF3"/>
              </w:rPr>
              <w:t>E92_Volume_spatio-temporel</w:t>
            </w:r>
            <w:r>
              <w:t xml:space="preserve">, </w:t>
            </w:r>
            <w:r>
              <w:rPr>
                <w:rFonts w:ascii="Consolas" w:eastAsia="Consolas" w:hAnsi="Consolas" w:cs="Consolas"/>
                <w:sz w:val="22"/>
                <w:szCs w:val="22"/>
                <w:shd w:val="clear" w:color="auto" w:fill="EAEEF3"/>
              </w:rPr>
              <w:t>P166_a_été_une_présence_de (a_eu_pour_présence)</w:t>
            </w:r>
            <w:r>
              <w:t xml:space="preserve"> et </w:t>
            </w:r>
            <w:r>
              <w:rPr>
                <w:rFonts w:ascii="Consolas" w:eastAsia="Consolas" w:hAnsi="Consolas" w:cs="Consolas"/>
                <w:sz w:val="22"/>
                <w:szCs w:val="22"/>
                <w:shd w:val="clear" w:color="auto" w:fill="EAEEF3"/>
              </w:rPr>
              <w:t>E93_Présence</w:t>
            </w:r>
            <w:r>
              <w:t>.</w:t>
            </w:r>
          </w:p>
        </w:tc>
      </w:tr>
      <w:tr w:rsidR="00BF18CF" w14:paraId="7EEA2E8D" w14:textId="77777777" w:rsidTr="00BF18CF">
        <w:tc>
          <w:tcPr>
            <w:tcW w:w="1889" w:type="dxa"/>
          </w:tcPr>
          <w:p w14:paraId="4A0F4612"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1" w:type="dxa"/>
          </w:tcPr>
          <w:p w14:paraId="4700023F" w14:textId="77777777" w:rsidR="00BF18CF" w:rsidRDefault="00E51347">
            <w:pPr>
              <w:numPr>
                <w:ilvl w:val="0"/>
                <w:numId w:val="19"/>
              </w:numPr>
            </w:pPr>
            <w:r>
              <w:t>La localisation de Johann Joachim Winckelmann en décembre 1755 (</w:t>
            </w:r>
            <w:r>
              <w:rPr>
                <w:rFonts w:ascii="Consolas" w:eastAsia="Consolas" w:hAnsi="Consolas" w:cs="Consolas"/>
                <w:sz w:val="22"/>
                <w:szCs w:val="22"/>
                <w:shd w:val="clear" w:color="auto" w:fill="EAEEF3"/>
              </w:rPr>
              <w:t>E93_Présence</w:t>
            </w:r>
            <w:r>
              <w:t>) a été une présence de (</w:t>
            </w:r>
            <w:r>
              <w:rPr>
                <w:rFonts w:ascii="Consolas" w:eastAsia="Consolas" w:hAnsi="Consolas" w:cs="Consolas"/>
                <w:sz w:val="22"/>
                <w:szCs w:val="22"/>
                <w:shd w:val="clear" w:color="auto" w:fill="EAEEF3"/>
              </w:rPr>
              <w:t>P195_a_été_une_présence_de)</w:t>
            </w:r>
            <w:r>
              <w:t xml:space="preserve"> Johann Joachim Winckelmann (</w:t>
            </w:r>
            <w:r>
              <w:rPr>
                <w:rFonts w:ascii="Consolas" w:eastAsia="Consolas" w:hAnsi="Consolas" w:cs="Consolas"/>
                <w:sz w:val="22"/>
                <w:szCs w:val="22"/>
                <w:shd w:val="clear" w:color="auto" w:fill="EAEEF3"/>
              </w:rPr>
              <w:t>E21_Personne</w:t>
            </w:r>
            <w:r>
              <w:t>) (Wiencke, 2020)</w:t>
            </w:r>
          </w:p>
          <w:p w14:paraId="6662FF54" w14:textId="77777777" w:rsidR="00BF18CF" w:rsidRDefault="00E51347">
            <w:pPr>
              <w:numPr>
                <w:ilvl w:val="0"/>
                <w:numId w:val="19"/>
              </w:numPr>
            </w:pPr>
            <w:r>
              <w:t>La localisation de Johann Joachim Winckelmann du 19 novembre 1755 au 9 avril 1768 (</w:t>
            </w:r>
            <w:r>
              <w:rPr>
                <w:rFonts w:ascii="Consolas" w:eastAsia="Consolas" w:hAnsi="Consolas" w:cs="Consolas"/>
                <w:sz w:val="22"/>
                <w:szCs w:val="22"/>
                <w:shd w:val="clear" w:color="auto" w:fill="EAEEF3"/>
              </w:rPr>
              <w:t>E93_Présence</w:t>
            </w:r>
            <w:r>
              <w:t xml:space="preserve">) a été une présence de </w:t>
            </w:r>
            <w:r>
              <w:lastRenderedPageBreak/>
              <w:t>(</w:t>
            </w:r>
            <w:r>
              <w:rPr>
                <w:rFonts w:ascii="Consolas" w:eastAsia="Consolas" w:hAnsi="Consolas" w:cs="Consolas"/>
                <w:sz w:val="22"/>
                <w:szCs w:val="22"/>
                <w:shd w:val="clear" w:color="auto" w:fill="EAEEF3"/>
              </w:rPr>
              <w:t>P195_a_été_une_présence_de</w:t>
            </w:r>
            <w:r>
              <w:t>) Johann Joachim Winckelmann (</w:t>
            </w:r>
            <w:r>
              <w:rPr>
                <w:rFonts w:ascii="Consolas" w:eastAsia="Consolas" w:hAnsi="Consolas" w:cs="Consolas"/>
                <w:sz w:val="22"/>
                <w:szCs w:val="22"/>
                <w:shd w:val="clear" w:color="auto" w:fill="EAEEF3"/>
              </w:rPr>
              <w:t>E21_Personne</w:t>
            </w:r>
            <w:r>
              <w:t>) (Wiencke, 2020)</w:t>
            </w:r>
          </w:p>
        </w:tc>
      </w:tr>
      <w:tr w:rsidR="00BF18CF" w14:paraId="1FB44D62" w14:textId="77777777" w:rsidTr="00BF18CF">
        <w:tc>
          <w:tcPr>
            <w:tcW w:w="1889" w:type="dxa"/>
          </w:tcPr>
          <w:p w14:paraId="7908CCC8"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01" w:type="dxa"/>
          </w:tcPr>
          <w:p w14:paraId="61A514B5" w14:textId="77777777" w:rsidR="00BF18CF" w:rsidRDefault="00E51347">
            <w:r>
              <w:t>P195(</w:t>
            </w:r>
            <w:proofErr w:type="gramStart"/>
            <w:r>
              <w:t>x,y</w:t>
            </w:r>
            <w:proofErr w:type="gramEnd"/>
            <w:r>
              <w:t>) ⇒ E93(x)</w:t>
            </w:r>
          </w:p>
          <w:p w14:paraId="15184DEE" w14:textId="77777777" w:rsidR="00BF18CF" w:rsidRDefault="00E51347">
            <w:r>
              <w:t>P195(</w:t>
            </w:r>
            <w:proofErr w:type="gramStart"/>
            <w:r>
              <w:t>x,y</w:t>
            </w:r>
            <w:proofErr w:type="gramEnd"/>
            <w:r>
              <w:t>) ⇒ E18(y)</w:t>
            </w:r>
          </w:p>
          <w:p w14:paraId="607265B2" w14:textId="77777777" w:rsidR="00BF18CF" w:rsidRDefault="00E51347">
            <w:r>
              <w:t>P195(</w:t>
            </w:r>
            <w:proofErr w:type="gramStart"/>
            <w:r>
              <w:t>x,y</w:t>
            </w:r>
            <w:proofErr w:type="gramEnd"/>
            <w:r>
              <w:t>) ⇔ (∃z)[E92(z) ∧ P166(z,x) ∧ P196i(z,y)]</w:t>
            </w:r>
          </w:p>
        </w:tc>
      </w:tr>
      <w:tr w:rsidR="00BF18CF" w14:paraId="4E6D9454" w14:textId="77777777" w:rsidTr="00BF18CF">
        <w:tc>
          <w:tcPr>
            <w:tcW w:w="1889" w:type="dxa"/>
          </w:tcPr>
          <w:p w14:paraId="63097BC5"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1" w:type="dxa"/>
          </w:tcPr>
          <w:p w14:paraId="7DDE263B" w14:textId="77777777" w:rsidR="00BF18CF" w:rsidRDefault="00BF18CF">
            <w:pPr>
              <w:pBdr>
                <w:top w:val="nil"/>
                <w:left w:val="nil"/>
                <w:bottom w:val="nil"/>
                <w:right w:val="nil"/>
                <w:between w:val="nil"/>
              </w:pBdr>
              <w:spacing w:before="36" w:after="36"/>
              <w:rPr>
                <w:color w:val="000000"/>
              </w:rPr>
            </w:pPr>
          </w:p>
        </w:tc>
      </w:tr>
      <w:tr w:rsidR="00BF18CF" w14:paraId="373570F2" w14:textId="77777777" w:rsidTr="00BF18CF">
        <w:tc>
          <w:tcPr>
            <w:tcW w:w="1889" w:type="dxa"/>
          </w:tcPr>
          <w:p w14:paraId="5CE02DC2" w14:textId="585214C1"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1" w:type="dxa"/>
          </w:tcPr>
          <w:p w14:paraId="1F48641D" w14:textId="77777777" w:rsidR="00BF18CF" w:rsidRDefault="00BF18CF">
            <w:pPr>
              <w:pBdr>
                <w:top w:val="nil"/>
                <w:left w:val="nil"/>
                <w:bottom w:val="nil"/>
                <w:right w:val="nil"/>
                <w:between w:val="nil"/>
              </w:pBdr>
              <w:spacing w:before="36" w:after="36"/>
              <w:rPr>
                <w:color w:val="000000"/>
              </w:rPr>
            </w:pPr>
          </w:p>
        </w:tc>
      </w:tr>
      <w:tr w:rsidR="00BF18CF" w14:paraId="4D12417C" w14:textId="77777777" w:rsidTr="00BF18CF">
        <w:tc>
          <w:tcPr>
            <w:tcW w:w="1889" w:type="dxa"/>
          </w:tcPr>
          <w:p w14:paraId="183AC789"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1" w:type="dxa"/>
          </w:tcPr>
          <w:p w14:paraId="2205A185" w14:textId="77777777" w:rsidR="00BF18CF" w:rsidRDefault="00BF18CF">
            <w:pPr>
              <w:pBdr>
                <w:top w:val="nil"/>
                <w:left w:val="nil"/>
                <w:bottom w:val="nil"/>
                <w:right w:val="nil"/>
                <w:between w:val="nil"/>
              </w:pBdr>
              <w:spacing w:before="36" w:after="36"/>
              <w:rPr>
                <w:color w:val="000000"/>
              </w:rPr>
            </w:pPr>
          </w:p>
        </w:tc>
      </w:tr>
    </w:tbl>
    <w:p w14:paraId="5067078A" w14:textId="77777777" w:rsidR="00BF18CF" w:rsidRDefault="00E51347">
      <w:pPr>
        <w:pStyle w:val="Heading3"/>
      </w:pPr>
      <w:bookmarkStart w:id="579" w:name="bookmark=id.2j0ih2h" w:colFirst="0" w:colLast="0"/>
      <w:bookmarkStart w:id="580" w:name="_Toc144361033"/>
      <w:bookmarkEnd w:id="579"/>
      <w:r>
        <w:t>P196 définit (est défini par)</w:t>
      </w:r>
      <w:bookmarkEnd w:id="580"/>
    </w:p>
    <w:tbl>
      <w:tblPr>
        <w:tblStyle w:val="afffffffffffffffffff3"/>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2"/>
        <w:gridCol w:w="8808"/>
      </w:tblGrid>
      <w:tr w:rsidR="00BF18CF" w14:paraId="1A48A347" w14:textId="77777777" w:rsidTr="00BF18CF">
        <w:tc>
          <w:tcPr>
            <w:tcW w:w="1882" w:type="dxa"/>
          </w:tcPr>
          <w:p w14:paraId="1B991CA4"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8" w:type="dxa"/>
          </w:tcPr>
          <w:p w14:paraId="5BEC7B72" w14:textId="77777777" w:rsidR="00BF18CF" w:rsidRDefault="00E51347">
            <w:r>
              <w:rPr>
                <w:rFonts w:ascii="Consolas" w:eastAsia="Consolas" w:hAnsi="Consolas" w:cs="Consolas"/>
                <w:sz w:val="22"/>
                <w:szCs w:val="22"/>
                <w:shd w:val="clear" w:color="auto" w:fill="EAEEF3"/>
              </w:rPr>
              <w:t>E18_Chose_matérielle</w:t>
            </w:r>
          </w:p>
        </w:tc>
      </w:tr>
      <w:tr w:rsidR="00BF18CF" w14:paraId="6DC71874" w14:textId="77777777" w:rsidTr="00BF18CF">
        <w:tc>
          <w:tcPr>
            <w:tcW w:w="1882" w:type="dxa"/>
          </w:tcPr>
          <w:p w14:paraId="6FAC8C9E"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8" w:type="dxa"/>
          </w:tcPr>
          <w:p w14:paraId="499B8195" w14:textId="77777777" w:rsidR="00BF18CF" w:rsidRDefault="00E51347">
            <w:r>
              <w:rPr>
                <w:rFonts w:ascii="Consolas" w:eastAsia="Consolas" w:hAnsi="Consolas" w:cs="Consolas"/>
                <w:sz w:val="22"/>
                <w:szCs w:val="22"/>
                <w:shd w:val="clear" w:color="auto" w:fill="EAEEF3"/>
              </w:rPr>
              <w:t>E92_Volume_spatio-temporel</w:t>
            </w:r>
          </w:p>
        </w:tc>
      </w:tr>
      <w:tr w:rsidR="00BF18CF" w14:paraId="77B856AE" w14:textId="77777777" w:rsidTr="00BF18CF">
        <w:tc>
          <w:tcPr>
            <w:tcW w:w="1882" w:type="dxa"/>
          </w:tcPr>
          <w:p w14:paraId="0A02067E"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8" w:type="dxa"/>
          </w:tcPr>
          <w:p w14:paraId="0ABFB611" w14:textId="77777777" w:rsidR="00BF18CF" w:rsidRDefault="00BF18CF">
            <w:pPr>
              <w:pBdr>
                <w:top w:val="nil"/>
                <w:left w:val="nil"/>
                <w:bottom w:val="nil"/>
                <w:right w:val="nil"/>
                <w:between w:val="nil"/>
              </w:pBdr>
              <w:spacing w:before="36" w:after="36"/>
              <w:rPr>
                <w:color w:val="000000"/>
              </w:rPr>
            </w:pPr>
          </w:p>
        </w:tc>
      </w:tr>
      <w:tr w:rsidR="00BF18CF" w14:paraId="07E044F4" w14:textId="77777777" w:rsidTr="00BF18CF">
        <w:tc>
          <w:tcPr>
            <w:tcW w:w="1882" w:type="dxa"/>
          </w:tcPr>
          <w:p w14:paraId="75E24D5D"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8" w:type="dxa"/>
          </w:tcPr>
          <w:p w14:paraId="05BEE83E" w14:textId="77777777" w:rsidR="00BF18CF" w:rsidRDefault="00BF18CF">
            <w:pPr>
              <w:pBdr>
                <w:top w:val="nil"/>
                <w:left w:val="nil"/>
                <w:bottom w:val="nil"/>
                <w:right w:val="nil"/>
                <w:between w:val="nil"/>
              </w:pBdr>
              <w:spacing w:before="36" w:after="36"/>
              <w:rPr>
                <w:color w:val="000000"/>
              </w:rPr>
            </w:pPr>
          </w:p>
        </w:tc>
      </w:tr>
      <w:tr w:rsidR="00BF18CF" w14:paraId="381236C3" w14:textId="77777777" w:rsidTr="00BF18CF">
        <w:tc>
          <w:tcPr>
            <w:tcW w:w="1882" w:type="dxa"/>
          </w:tcPr>
          <w:p w14:paraId="41C2017C"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8" w:type="dxa"/>
          </w:tcPr>
          <w:p w14:paraId="4ABFB867" w14:textId="77777777" w:rsidR="00BF18CF" w:rsidRDefault="00E51347">
            <w:proofErr w:type="gramStart"/>
            <w:r>
              <w:t>un</w:t>
            </w:r>
            <w:proofErr w:type="gramEnd"/>
            <w:r>
              <w:t xml:space="preserve"> à un, nécessaire (1,1:0,1)</w:t>
            </w:r>
          </w:p>
        </w:tc>
      </w:tr>
      <w:tr w:rsidR="00BF18CF" w14:paraId="1E151921" w14:textId="77777777" w:rsidTr="00BF18CF">
        <w:tc>
          <w:tcPr>
            <w:tcW w:w="1882" w:type="dxa"/>
          </w:tcPr>
          <w:p w14:paraId="2DCBAD89"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8" w:type="dxa"/>
          </w:tcPr>
          <w:p w14:paraId="79CD1A50" w14:textId="77777777" w:rsidR="00BF18CF" w:rsidRDefault="00E51347">
            <w:r>
              <w:t xml:space="preserve">Cette propriété associe une instance de </w:t>
            </w:r>
            <w:r>
              <w:rPr>
                <w:rFonts w:ascii="Consolas" w:eastAsia="Consolas" w:hAnsi="Consolas" w:cs="Consolas"/>
                <w:sz w:val="22"/>
                <w:szCs w:val="22"/>
                <w:shd w:val="clear" w:color="auto" w:fill="EAEEF3"/>
              </w:rPr>
              <w:t>E18_Chose_matérielle</w:t>
            </w:r>
            <w:r>
              <w:t xml:space="preserve"> à l'instance de </w:t>
            </w:r>
            <w:r>
              <w:rPr>
                <w:rFonts w:ascii="Consolas" w:eastAsia="Consolas" w:hAnsi="Consolas" w:cs="Consolas"/>
                <w:sz w:val="22"/>
                <w:szCs w:val="22"/>
                <w:shd w:val="clear" w:color="auto" w:fill="EAEEF3"/>
              </w:rPr>
              <w:t>E92_Volume_spatio-temporel</w:t>
            </w:r>
            <w:r>
              <w:t xml:space="preserve"> qui constitue la trajectoire complète de son étendue géométrique à travers l'espace-temps pendant toute la durée de l'existence de l'instance de </w:t>
            </w:r>
            <w:r>
              <w:rPr>
                <w:rFonts w:ascii="Consolas" w:eastAsia="Consolas" w:hAnsi="Consolas" w:cs="Consolas"/>
                <w:sz w:val="22"/>
                <w:szCs w:val="22"/>
                <w:shd w:val="clear" w:color="auto" w:fill="EAEEF3"/>
              </w:rPr>
              <w:t>E18_Chose_matérielle</w:t>
            </w:r>
            <w:r>
              <w:t>.</w:t>
            </w:r>
          </w:p>
          <w:p w14:paraId="4C775C15" w14:textId="77777777" w:rsidR="00BF18CF" w:rsidRDefault="00E51347">
            <w:r>
              <w:t xml:space="preserve">Une instance de </w:t>
            </w:r>
            <w:r>
              <w:rPr>
                <w:rFonts w:ascii="Consolas" w:eastAsia="Consolas" w:hAnsi="Consolas" w:cs="Consolas"/>
                <w:sz w:val="22"/>
                <w:szCs w:val="22"/>
                <w:shd w:val="clear" w:color="auto" w:fill="EAEEF3"/>
              </w:rPr>
              <w:t>E18_Chose_matérielle</w:t>
            </w:r>
            <w:r>
              <w:t xml:space="preserve"> n'occupe pas seulement un espace géométrique particulier à chaque instant de son existence, mais elle suit également, au cours de son existence, une trajectoire à travers l'espace-temps. Cette trajectoire occupe un volume réel (phénoménal) dans l'espace-temps. Ce dernier est l'instance de </w:t>
            </w:r>
            <w:r>
              <w:rPr>
                <w:rFonts w:ascii="Consolas" w:eastAsia="Consolas" w:hAnsi="Consolas" w:cs="Consolas"/>
                <w:sz w:val="22"/>
                <w:szCs w:val="22"/>
                <w:shd w:val="clear" w:color="auto" w:fill="EAEEF3"/>
              </w:rPr>
              <w:t>E92_Volume_spatio-temporel</w:t>
            </w:r>
            <w:r>
              <w:t xml:space="preserve"> associée à cette propriété. Cette étendue spatio-temporelle réelle de l'instance de </w:t>
            </w:r>
            <w:r>
              <w:rPr>
                <w:rFonts w:ascii="Consolas" w:eastAsia="Consolas" w:hAnsi="Consolas" w:cs="Consolas"/>
                <w:sz w:val="22"/>
                <w:szCs w:val="22"/>
                <w:shd w:val="clear" w:color="auto" w:fill="EAEEF3"/>
              </w:rPr>
              <w:t>E18_Chose_matérielle</w:t>
            </w:r>
            <w:r>
              <w:t xml:space="preserve"> est considérée comme unique, dans tous ses détails et son flou. L'identité et l'existence de l'instance de </w:t>
            </w:r>
            <w:r>
              <w:rPr>
                <w:rFonts w:ascii="Consolas" w:eastAsia="Consolas" w:hAnsi="Consolas" w:cs="Consolas"/>
                <w:sz w:val="22"/>
                <w:szCs w:val="22"/>
                <w:shd w:val="clear" w:color="auto" w:fill="EAEEF3"/>
              </w:rPr>
              <w:t>E92_Volume_spatio-temporel</w:t>
            </w:r>
            <w:r>
              <w:t xml:space="preserve"> dépendent uniquement de l'identité de l'instance de </w:t>
            </w:r>
            <w:r>
              <w:rPr>
                <w:rFonts w:ascii="Consolas" w:eastAsia="Consolas" w:hAnsi="Consolas" w:cs="Consolas"/>
                <w:sz w:val="22"/>
                <w:szCs w:val="22"/>
                <w:shd w:val="clear" w:color="auto" w:fill="EAEEF3"/>
              </w:rPr>
              <w:t>E18_Chose_matérielle</w:t>
            </w:r>
            <w:r>
              <w:t>, dont l'existence les définit. Cette étendue spatio-temporelle réelle constitue un volume spatio-temporel phénoménal tel que défini dans CRMgeo (Doerr et Hiebel, 2013).</w:t>
            </w:r>
          </w:p>
          <w:p w14:paraId="1A14768F" w14:textId="77777777" w:rsidR="00BF18CF" w:rsidRDefault="00E51347">
            <w:r>
              <w:t>Les espaces remplis par la matière de la chose matérielle et tout espace interne qui peut exister, comme l'intérieur d'une boîte, sont inclus dans ce volume spatio-temporel. Les choses matérielles constituées d'agrégations d'objets physiquement non connectés, comme un jeu d'échecs, occupent un nombre fini de sous-ensembles individuellement contigus de ce volume d'espace-temps égal au nombre d'objets qui constituent l'ensemble et qui ne sont jamais connectés pendant son existence.</w:t>
            </w:r>
          </w:p>
        </w:tc>
      </w:tr>
      <w:tr w:rsidR="00BF18CF" w14:paraId="5FDE4140" w14:textId="77777777" w:rsidTr="00BF18CF">
        <w:tc>
          <w:tcPr>
            <w:tcW w:w="1882" w:type="dxa"/>
          </w:tcPr>
          <w:p w14:paraId="2A71BDEA"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8" w:type="dxa"/>
          </w:tcPr>
          <w:p w14:paraId="688F72F3" w14:textId="77777777" w:rsidR="00BF18CF" w:rsidRDefault="00E51347">
            <w:pPr>
              <w:numPr>
                <w:ilvl w:val="0"/>
                <w:numId w:val="19"/>
              </w:numPr>
            </w:pPr>
            <w:r>
              <w:t>HMS Temeraire (</w:t>
            </w:r>
            <w:r>
              <w:rPr>
                <w:rFonts w:ascii="Consolas" w:eastAsia="Consolas" w:hAnsi="Consolas" w:cs="Consolas"/>
                <w:sz w:val="22"/>
                <w:szCs w:val="22"/>
                <w:shd w:val="clear" w:color="auto" w:fill="EAEEF3"/>
              </w:rPr>
              <w:t>E22_Objet_élaboré_par_l’humain</w:t>
            </w:r>
            <w:r>
              <w:t>) définit (</w:t>
            </w:r>
            <w:r>
              <w:rPr>
                <w:rFonts w:ascii="Consolas" w:eastAsia="Consolas" w:hAnsi="Consolas" w:cs="Consolas"/>
                <w:sz w:val="22"/>
                <w:szCs w:val="22"/>
                <w:shd w:val="clear" w:color="auto" w:fill="EAEEF3"/>
              </w:rPr>
              <w:t>P196_définit</w:t>
            </w:r>
            <w:r>
              <w:t xml:space="preserve">) le volume spatio-temporel du HMS Temeraire </w:t>
            </w:r>
            <w:r>
              <w:lastRenderedPageBreak/>
              <w:t>(</w:t>
            </w:r>
            <w:r>
              <w:rPr>
                <w:rFonts w:ascii="Consolas" w:eastAsia="Consolas" w:hAnsi="Consolas" w:cs="Consolas"/>
                <w:sz w:val="22"/>
                <w:szCs w:val="22"/>
                <w:shd w:val="clear" w:color="auto" w:fill="EAEEF3"/>
              </w:rPr>
              <w:t>E92_Volume_spatio-temporel</w:t>
            </w:r>
            <w:r>
              <w:t>) [il a été construit en 1798, à Chatham, et détruit en 1838, à Rotherhithe] (Willis, 2010)</w:t>
            </w:r>
          </w:p>
          <w:p w14:paraId="6239D647" w14:textId="77777777" w:rsidR="00BF18CF" w:rsidRDefault="00E51347">
            <w:pPr>
              <w:numPr>
                <w:ilvl w:val="0"/>
                <w:numId w:val="19"/>
              </w:numPr>
            </w:pPr>
            <w:r>
              <w:t>Le reliquaire de saint Tite (</w:t>
            </w:r>
            <w:r>
              <w:rPr>
                <w:rFonts w:ascii="Consolas" w:eastAsia="Consolas" w:hAnsi="Consolas" w:cs="Consolas"/>
                <w:sz w:val="22"/>
                <w:szCs w:val="22"/>
                <w:shd w:val="clear" w:color="auto" w:fill="EAEEF3"/>
              </w:rPr>
              <w:t>E22_Objet_élaboré_par_l’humain</w:t>
            </w:r>
            <w:r>
              <w:t>) définit (</w:t>
            </w:r>
            <w:r>
              <w:rPr>
                <w:rFonts w:ascii="Consolas" w:eastAsia="Consolas" w:hAnsi="Consolas" w:cs="Consolas"/>
                <w:sz w:val="22"/>
                <w:szCs w:val="22"/>
                <w:shd w:val="clear" w:color="auto" w:fill="EAEEF3"/>
              </w:rPr>
              <w:t>P196_définit</w:t>
            </w:r>
            <w:r>
              <w:t>) le volume spatio-temporel du reliquaire de saint Tite (</w:t>
            </w:r>
            <w:r>
              <w:rPr>
                <w:rFonts w:ascii="Consolas" w:eastAsia="Consolas" w:hAnsi="Consolas" w:cs="Consolas"/>
                <w:sz w:val="22"/>
                <w:szCs w:val="22"/>
                <w:shd w:val="clear" w:color="auto" w:fill="EAEEF3"/>
              </w:rPr>
              <w:t>E92_Volume_spatio-temporel</w:t>
            </w:r>
            <w:r>
              <w:t>) [le reliquaire a été produit par l'atelier des frères Vogiatzis situé à Monastiraki à Athènes en 1966 comme contenant pour le crâne de saint Tite. Le crâne a été placé à l'intérieur au même moment et a continué d'être dans le volume spatio-temporel du conteneur depuis ce jour. Le reliquaire contenant le crâne est conservé dans l'église Saint-Titus d'Héraklion en Crète depuis 1966] (Fisher et Garvey, 2010) (Panotis, 2016)</w:t>
            </w:r>
          </w:p>
        </w:tc>
      </w:tr>
      <w:tr w:rsidR="00BF18CF" w14:paraId="352044A2" w14:textId="77777777" w:rsidTr="00BF18CF">
        <w:tc>
          <w:tcPr>
            <w:tcW w:w="1882" w:type="dxa"/>
          </w:tcPr>
          <w:p w14:paraId="6C7A1DD2"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08" w:type="dxa"/>
          </w:tcPr>
          <w:p w14:paraId="23D6FEDF" w14:textId="77777777" w:rsidR="00BF18CF" w:rsidRDefault="00E51347">
            <w:r>
              <w:t>P196(</w:t>
            </w:r>
            <w:proofErr w:type="gramStart"/>
            <w:r>
              <w:t>x,y</w:t>
            </w:r>
            <w:proofErr w:type="gramEnd"/>
            <w:r>
              <w:t>) ⇒ E18(x)</w:t>
            </w:r>
          </w:p>
          <w:p w14:paraId="09FC74FA" w14:textId="77777777" w:rsidR="00BF18CF" w:rsidRDefault="00E51347">
            <w:r>
              <w:t>P196(</w:t>
            </w:r>
            <w:proofErr w:type="gramStart"/>
            <w:r>
              <w:t>x,y</w:t>
            </w:r>
            <w:proofErr w:type="gramEnd"/>
            <w:r>
              <w:t>) ⇒ E92(y)</w:t>
            </w:r>
          </w:p>
        </w:tc>
      </w:tr>
      <w:tr w:rsidR="00BF18CF" w14:paraId="0C29B8EE" w14:textId="77777777" w:rsidTr="00BF18CF">
        <w:tc>
          <w:tcPr>
            <w:tcW w:w="1882" w:type="dxa"/>
          </w:tcPr>
          <w:p w14:paraId="31F5BBF7"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8" w:type="dxa"/>
          </w:tcPr>
          <w:p w14:paraId="3B38C6A7" w14:textId="77777777" w:rsidR="00BF18CF" w:rsidRDefault="00BF18CF">
            <w:pPr>
              <w:pBdr>
                <w:top w:val="nil"/>
                <w:left w:val="nil"/>
                <w:bottom w:val="nil"/>
                <w:right w:val="nil"/>
                <w:between w:val="nil"/>
              </w:pBdr>
              <w:spacing w:before="36" w:after="36"/>
              <w:rPr>
                <w:color w:val="000000"/>
              </w:rPr>
            </w:pPr>
          </w:p>
        </w:tc>
      </w:tr>
      <w:tr w:rsidR="00BF18CF" w14:paraId="539F99BE" w14:textId="77777777" w:rsidTr="00BF18CF">
        <w:tc>
          <w:tcPr>
            <w:tcW w:w="1882" w:type="dxa"/>
          </w:tcPr>
          <w:p w14:paraId="37A84825" w14:textId="0A9DBE22"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8" w:type="dxa"/>
          </w:tcPr>
          <w:p w14:paraId="4DE48A6F" w14:textId="77777777" w:rsidR="00BF18CF" w:rsidRDefault="00BF18CF">
            <w:pPr>
              <w:pBdr>
                <w:top w:val="nil"/>
                <w:left w:val="nil"/>
                <w:bottom w:val="nil"/>
                <w:right w:val="nil"/>
                <w:between w:val="nil"/>
              </w:pBdr>
              <w:spacing w:before="36" w:after="36"/>
              <w:rPr>
                <w:color w:val="000000"/>
              </w:rPr>
            </w:pPr>
          </w:p>
        </w:tc>
      </w:tr>
      <w:tr w:rsidR="00BF18CF" w14:paraId="3DE3A675" w14:textId="77777777" w:rsidTr="00BF18CF">
        <w:tc>
          <w:tcPr>
            <w:tcW w:w="1882" w:type="dxa"/>
          </w:tcPr>
          <w:p w14:paraId="2CD9EA90"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8" w:type="dxa"/>
          </w:tcPr>
          <w:p w14:paraId="3F08564D" w14:textId="77777777" w:rsidR="00BF18CF" w:rsidRDefault="00BF18CF">
            <w:pPr>
              <w:pBdr>
                <w:top w:val="nil"/>
                <w:left w:val="nil"/>
                <w:bottom w:val="nil"/>
                <w:right w:val="nil"/>
                <w:between w:val="nil"/>
              </w:pBdr>
              <w:spacing w:before="36" w:after="36"/>
              <w:rPr>
                <w:color w:val="000000"/>
              </w:rPr>
            </w:pPr>
          </w:p>
        </w:tc>
      </w:tr>
    </w:tbl>
    <w:p w14:paraId="6175B237" w14:textId="77777777" w:rsidR="00BF18CF" w:rsidRDefault="00E51347">
      <w:pPr>
        <w:pStyle w:val="Heading3"/>
      </w:pPr>
      <w:bookmarkStart w:id="581" w:name="bookmark=id.y5sraa" w:colFirst="0" w:colLast="0"/>
      <w:bookmarkStart w:id="582" w:name="_Toc144361034"/>
      <w:bookmarkEnd w:id="581"/>
      <w:r>
        <w:t>P197 a couvert des parties de (a été partiellement couvert par)</w:t>
      </w:r>
      <w:bookmarkEnd w:id="582"/>
    </w:p>
    <w:tbl>
      <w:tblPr>
        <w:tblStyle w:val="afffffffffffffffffff4"/>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84"/>
        <w:gridCol w:w="8806"/>
      </w:tblGrid>
      <w:tr w:rsidR="00BF18CF" w14:paraId="7A3A4289" w14:textId="77777777" w:rsidTr="00BF18CF">
        <w:tc>
          <w:tcPr>
            <w:tcW w:w="1884" w:type="dxa"/>
          </w:tcPr>
          <w:p w14:paraId="7B42CE67"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806" w:type="dxa"/>
          </w:tcPr>
          <w:p w14:paraId="4CF5513C" w14:textId="77777777" w:rsidR="00BF18CF" w:rsidRDefault="00E51347">
            <w:r>
              <w:rPr>
                <w:rFonts w:ascii="Consolas" w:eastAsia="Consolas" w:hAnsi="Consolas" w:cs="Consolas"/>
                <w:sz w:val="22"/>
                <w:szCs w:val="22"/>
                <w:shd w:val="clear" w:color="auto" w:fill="EAEEF3"/>
              </w:rPr>
              <w:t>E93_Présence</w:t>
            </w:r>
          </w:p>
        </w:tc>
      </w:tr>
      <w:tr w:rsidR="00BF18CF" w14:paraId="18F5E4DA" w14:textId="77777777" w:rsidTr="00BF18CF">
        <w:tc>
          <w:tcPr>
            <w:tcW w:w="1884" w:type="dxa"/>
          </w:tcPr>
          <w:p w14:paraId="28177682"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806" w:type="dxa"/>
          </w:tcPr>
          <w:p w14:paraId="272A3311" w14:textId="77777777" w:rsidR="00BF18CF" w:rsidRDefault="00E51347">
            <w:r>
              <w:rPr>
                <w:rFonts w:ascii="Consolas" w:eastAsia="Consolas" w:hAnsi="Consolas" w:cs="Consolas"/>
                <w:sz w:val="22"/>
                <w:szCs w:val="22"/>
                <w:shd w:val="clear" w:color="auto" w:fill="EAEEF3"/>
              </w:rPr>
              <w:t>E53_Lieu</w:t>
            </w:r>
          </w:p>
        </w:tc>
      </w:tr>
      <w:tr w:rsidR="00BF18CF" w14:paraId="16F3D694" w14:textId="77777777" w:rsidTr="00BF18CF">
        <w:tc>
          <w:tcPr>
            <w:tcW w:w="1884" w:type="dxa"/>
          </w:tcPr>
          <w:p w14:paraId="2C593239"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806" w:type="dxa"/>
          </w:tcPr>
          <w:p w14:paraId="74E882EE" w14:textId="77777777" w:rsidR="00BF18CF" w:rsidRDefault="00BF18CF">
            <w:pPr>
              <w:pBdr>
                <w:top w:val="nil"/>
                <w:left w:val="nil"/>
                <w:bottom w:val="nil"/>
                <w:right w:val="nil"/>
                <w:between w:val="nil"/>
              </w:pBdr>
              <w:spacing w:before="36" w:after="36"/>
              <w:rPr>
                <w:color w:val="000000"/>
              </w:rPr>
            </w:pPr>
          </w:p>
        </w:tc>
      </w:tr>
      <w:tr w:rsidR="00BF18CF" w14:paraId="45EF06B1" w14:textId="77777777" w:rsidTr="00BF18CF">
        <w:tc>
          <w:tcPr>
            <w:tcW w:w="1884" w:type="dxa"/>
          </w:tcPr>
          <w:p w14:paraId="237BB7D2"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806" w:type="dxa"/>
          </w:tcPr>
          <w:p w14:paraId="5C47B4C6" w14:textId="77777777" w:rsidR="00BF18CF" w:rsidRDefault="00BF18CF">
            <w:pPr>
              <w:pBdr>
                <w:top w:val="nil"/>
                <w:left w:val="nil"/>
                <w:bottom w:val="nil"/>
                <w:right w:val="nil"/>
                <w:between w:val="nil"/>
              </w:pBdr>
              <w:spacing w:before="36" w:after="36"/>
              <w:rPr>
                <w:color w:val="000000"/>
              </w:rPr>
            </w:pPr>
          </w:p>
        </w:tc>
      </w:tr>
      <w:tr w:rsidR="00BF18CF" w14:paraId="3CE9A2CB" w14:textId="77777777" w:rsidTr="00BF18CF">
        <w:tc>
          <w:tcPr>
            <w:tcW w:w="1884" w:type="dxa"/>
          </w:tcPr>
          <w:p w14:paraId="7DE08A51"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806" w:type="dxa"/>
          </w:tcPr>
          <w:p w14:paraId="2A273359" w14:textId="77777777" w:rsidR="00BF18CF" w:rsidRDefault="00E51347">
            <w:proofErr w:type="gramStart"/>
            <w:r>
              <w:t>plusieurs</w:t>
            </w:r>
            <w:proofErr w:type="gramEnd"/>
            <w:r>
              <w:t xml:space="preserve"> à plusieurs (0,n:0,n)</w:t>
            </w:r>
          </w:p>
        </w:tc>
      </w:tr>
      <w:tr w:rsidR="00BF18CF" w14:paraId="7470B940" w14:textId="77777777" w:rsidTr="00BF18CF">
        <w:tc>
          <w:tcPr>
            <w:tcW w:w="1884" w:type="dxa"/>
          </w:tcPr>
          <w:p w14:paraId="6A1707D5"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806" w:type="dxa"/>
          </w:tcPr>
          <w:p w14:paraId="1094582A" w14:textId="77777777" w:rsidR="00BF18CF" w:rsidRDefault="00E51347">
            <w:r>
              <w:t xml:space="preserve">Cette propriété associe une instance de </w:t>
            </w:r>
            <w:r>
              <w:rPr>
                <w:rFonts w:ascii="Consolas" w:eastAsia="Consolas" w:hAnsi="Consolas" w:cs="Consolas"/>
                <w:sz w:val="22"/>
                <w:szCs w:val="22"/>
                <w:shd w:val="clear" w:color="auto" w:fill="EAEEF3"/>
              </w:rPr>
              <w:t>E93_Présence</w:t>
            </w:r>
            <w:r>
              <w:t xml:space="preserve"> avec une instance de </w:t>
            </w:r>
            <w:r>
              <w:rPr>
                <w:rFonts w:ascii="Consolas" w:eastAsia="Consolas" w:hAnsi="Consolas" w:cs="Consolas"/>
                <w:sz w:val="22"/>
                <w:szCs w:val="22"/>
                <w:shd w:val="clear" w:color="auto" w:fill="EAEEF3"/>
              </w:rPr>
              <w:t>E53_Lieu</w:t>
            </w:r>
            <w:r>
              <w:t xml:space="preserve"> qui recoupe géométriquement la projection spatiale de l’instance de </w:t>
            </w:r>
            <w:r>
              <w:rPr>
                <w:rFonts w:ascii="Consolas" w:eastAsia="Consolas" w:hAnsi="Consolas" w:cs="Consolas"/>
                <w:sz w:val="22"/>
                <w:szCs w:val="22"/>
                <w:shd w:val="clear" w:color="auto" w:fill="EAEEF3"/>
              </w:rPr>
              <w:t>E93_Présence</w:t>
            </w:r>
            <w:r>
              <w:t xml:space="preserve">. Un cas d’utilisation de cette propriété serait d’indiquer par quels endroits un objet ou une instance de </w:t>
            </w:r>
            <w:r>
              <w:rPr>
                <w:rFonts w:ascii="Consolas" w:eastAsia="Consolas" w:hAnsi="Consolas" w:cs="Consolas"/>
                <w:sz w:val="22"/>
                <w:szCs w:val="22"/>
                <w:shd w:val="clear" w:color="auto" w:fill="EAEEF3"/>
              </w:rPr>
              <w:t>E21_Personne</w:t>
            </w:r>
            <w:r>
              <w:t xml:space="preserve"> a bougé ou a été bougé dans un intervalle temporel. Cette propriété peut aussi être utilisée pour décrire une extension partielle ou complète, temporaire ou fixe de l’étendue spatiale d’un domaine dans une région voisine pendant un intervalle temporel donné.</w:t>
            </w:r>
          </w:p>
          <w:p w14:paraId="2606F84F" w14:textId="77777777" w:rsidR="00BF18CF" w:rsidRDefault="00E51347">
            <w:r>
              <w:rPr>
                <w:rFonts w:ascii="Consolas" w:eastAsia="Consolas" w:hAnsi="Consolas" w:cs="Consolas"/>
                <w:sz w:val="22"/>
                <w:szCs w:val="22"/>
                <w:shd w:val="clear" w:color="auto" w:fill="EAEEF3"/>
              </w:rPr>
              <w:t>P197_a_couvert_des_parties_de (a_été_partiellement_couvert_par)</w:t>
            </w:r>
            <w:r>
              <w:t xml:space="preserve"> est un raccourci du chemin sémantique suivant : </w:t>
            </w:r>
            <w:r>
              <w:rPr>
                <w:rFonts w:ascii="Consolas" w:eastAsia="Consolas" w:hAnsi="Consolas" w:cs="Consolas"/>
                <w:sz w:val="22"/>
                <w:szCs w:val="22"/>
                <w:shd w:val="clear" w:color="auto" w:fill="EAEEF3"/>
              </w:rPr>
              <w:t>E93_Présence</w:t>
            </w:r>
            <w:r>
              <w:t xml:space="preserve">, </w:t>
            </w:r>
            <w:r>
              <w:rPr>
                <w:rFonts w:ascii="Consolas" w:eastAsia="Consolas" w:hAnsi="Consolas" w:cs="Consolas"/>
                <w:sz w:val="22"/>
                <w:szCs w:val="22"/>
                <w:shd w:val="clear" w:color="auto" w:fill="EAEEF3"/>
              </w:rPr>
              <w:t>P161_a_pour_projection_spatiale (est_la_projection_spatiale_de)</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P121_se_superpose_partiellement_à</w:t>
            </w:r>
            <w:r>
              <w:t xml:space="preserve">, </w:t>
            </w:r>
            <w:r>
              <w:rPr>
                <w:rFonts w:ascii="Consolas" w:eastAsia="Consolas" w:hAnsi="Consolas" w:cs="Consolas"/>
                <w:sz w:val="22"/>
                <w:szCs w:val="22"/>
                <w:shd w:val="clear" w:color="auto" w:fill="EAEEF3"/>
              </w:rPr>
              <w:t>E53_Lieu</w:t>
            </w:r>
            <w:r>
              <w:t>.</w:t>
            </w:r>
          </w:p>
        </w:tc>
      </w:tr>
      <w:tr w:rsidR="00BF18CF" w14:paraId="6BB8C204" w14:textId="77777777" w:rsidTr="00BF18CF">
        <w:tc>
          <w:tcPr>
            <w:tcW w:w="1884" w:type="dxa"/>
          </w:tcPr>
          <w:p w14:paraId="237FC230"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806" w:type="dxa"/>
          </w:tcPr>
          <w:p w14:paraId="774981AD" w14:textId="77777777" w:rsidR="00BF18CF" w:rsidRDefault="00E51347">
            <w:pPr>
              <w:numPr>
                <w:ilvl w:val="0"/>
                <w:numId w:val="19"/>
              </w:numPr>
            </w:pPr>
            <w:r>
              <w:t>La localisation de Johann Joachim Winckelmann du 19 novembre 1755 au 9 avril 1768 (</w:t>
            </w:r>
            <w:r>
              <w:rPr>
                <w:rFonts w:ascii="Consolas" w:eastAsia="Consolas" w:hAnsi="Consolas" w:cs="Consolas"/>
                <w:sz w:val="22"/>
                <w:szCs w:val="22"/>
                <w:shd w:val="clear" w:color="auto" w:fill="EAEEF3"/>
              </w:rPr>
              <w:t>E93_Présence</w:t>
            </w:r>
            <w:r>
              <w:t>) a couvert des parties de (</w:t>
            </w:r>
            <w:r>
              <w:rPr>
                <w:rFonts w:ascii="Consolas" w:eastAsia="Consolas" w:hAnsi="Consolas" w:cs="Consolas"/>
                <w:sz w:val="22"/>
                <w:szCs w:val="22"/>
                <w:shd w:val="clear" w:color="auto" w:fill="EAEEF3"/>
              </w:rPr>
              <w:t>P197_a_couvert_des_parties_de</w:t>
            </w:r>
            <w:r>
              <w:t>) Paestum, Italie (</w:t>
            </w:r>
            <w:r>
              <w:rPr>
                <w:rFonts w:ascii="Consolas" w:eastAsia="Consolas" w:hAnsi="Consolas" w:cs="Consolas"/>
                <w:sz w:val="22"/>
                <w:szCs w:val="22"/>
                <w:shd w:val="clear" w:color="auto" w:fill="EAEEF3"/>
              </w:rPr>
              <w:t>E53_Lieu</w:t>
            </w:r>
            <w:r>
              <w:t>) (Wiencke, 2020)</w:t>
            </w:r>
          </w:p>
          <w:p w14:paraId="5A00CCAC" w14:textId="77777777" w:rsidR="00BF18CF" w:rsidRDefault="00E51347">
            <w:pPr>
              <w:numPr>
                <w:ilvl w:val="0"/>
                <w:numId w:val="19"/>
              </w:numPr>
            </w:pPr>
            <w:r>
              <w:lastRenderedPageBreak/>
              <w:t>L’Empire byzantin en 1013 EC (</w:t>
            </w:r>
            <w:r>
              <w:rPr>
                <w:rFonts w:ascii="Consolas" w:eastAsia="Consolas" w:hAnsi="Consolas" w:cs="Consolas"/>
                <w:sz w:val="22"/>
                <w:szCs w:val="22"/>
                <w:shd w:val="clear" w:color="auto" w:fill="EAEEF3"/>
              </w:rPr>
              <w:t>E93_Présence</w:t>
            </w:r>
            <w:r>
              <w:t>) a couvert des parties de (</w:t>
            </w:r>
            <w:r>
              <w:rPr>
                <w:rFonts w:ascii="Consolas" w:eastAsia="Consolas" w:hAnsi="Consolas" w:cs="Consolas"/>
                <w:sz w:val="22"/>
                <w:szCs w:val="22"/>
                <w:shd w:val="clear" w:color="auto" w:fill="EAEEF3"/>
              </w:rPr>
              <w:t>P197_a_couvert_des_parties_de</w:t>
            </w:r>
            <w:r>
              <w:t>) la péninsule italienne (</w:t>
            </w:r>
            <w:r>
              <w:rPr>
                <w:rFonts w:ascii="Consolas" w:eastAsia="Consolas" w:hAnsi="Consolas" w:cs="Consolas"/>
                <w:sz w:val="22"/>
                <w:szCs w:val="22"/>
                <w:shd w:val="clear" w:color="auto" w:fill="EAEEF3"/>
              </w:rPr>
              <w:t>E53_Lieu</w:t>
            </w:r>
            <w:r>
              <w:t>) (Browning, 1980)</w:t>
            </w:r>
          </w:p>
        </w:tc>
      </w:tr>
      <w:tr w:rsidR="00BF18CF" w14:paraId="5B00505F" w14:textId="77777777" w:rsidTr="00BF18CF">
        <w:tc>
          <w:tcPr>
            <w:tcW w:w="1884" w:type="dxa"/>
          </w:tcPr>
          <w:p w14:paraId="29F803FF"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806" w:type="dxa"/>
          </w:tcPr>
          <w:p w14:paraId="2ABE20E2" w14:textId="77777777" w:rsidR="00BF18CF" w:rsidRDefault="00E51347">
            <w:r>
              <w:t>P197(</w:t>
            </w:r>
            <w:proofErr w:type="gramStart"/>
            <w:r>
              <w:t>x,y</w:t>
            </w:r>
            <w:proofErr w:type="gramEnd"/>
            <w:r>
              <w:t>) ⇒ E93(x)</w:t>
            </w:r>
          </w:p>
        </w:tc>
      </w:tr>
      <w:tr w:rsidR="00BF18CF" w14:paraId="5C6A96D4" w14:textId="77777777" w:rsidTr="00BF18CF">
        <w:tc>
          <w:tcPr>
            <w:tcW w:w="1884" w:type="dxa"/>
          </w:tcPr>
          <w:p w14:paraId="36183749"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806" w:type="dxa"/>
          </w:tcPr>
          <w:p w14:paraId="5A0DBF23" w14:textId="77777777" w:rsidR="00BF18CF" w:rsidRDefault="00BF18CF">
            <w:pPr>
              <w:pBdr>
                <w:top w:val="nil"/>
                <w:left w:val="nil"/>
                <w:bottom w:val="nil"/>
                <w:right w:val="nil"/>
                <w:between w:val="nil"/>
              </w:pBdr>
              <w:spacing w:before="36" w:after="36"/>
              <w:rPr>
                <w:color w:val="000000"/>
              </w:rPr>
            </w:pPr>
          </w:p>
        </w:tc>
      </w:tr>
      <w:tr w:rsidR="00BF18CF" w14:paraId="03549F30" w14:textId="77777777" w:rsidTr="00BF18CF">
        <w:tc>
          <w:tcPr>
            <w:tcW w:w="1884" w:type="dxa"/>
          </w:tcPr>
          <w:p w14:paraId="00291930" w14:textId="23F94BC4" w:rsidR="00BF18CF" w:rsidRDefault="00F27208">
            <w:pPr>
              <w:pBdr>
                <w:top w:val="nil"/>
                <w:left w:val="nil"/>
                <w:bottom w:val="nil"/>
                <w:right w:val="nil"/>
                <w:between w:val="nil"/>
              </w:pBdr>
              <w:spacing w:before="36" w:after="36"/>
              <w:rPr>
                <w:color w:val="000000"/>
              </w:rPr>
            </w:pPr>
            <w:r>
              <w:rPr>
                <w:b/>
                <w:i/>
                <w:color w:val="000000"/>
              </w:rPr>
              <w:t>Note de traduction</w:t>
            </w:r>
          </w:p>
        </w:tc>
        <w:tc>
          <w:tcPr>
            <w:tcW w:w="8806" w:type="dxa"/>
          </w:tcPr>
          <w:p w14:paraId="43B7F591" w14:textId="77777777" w:rsidR="00BF18CF" w:rsidRDefault="00BF18CF">
            <w:pPr>
              <w:pBdr>
                <w:top w:val="nil"/>
                <w:left w:val="nil"/>
                <w:bottom w:val="nil"/>
                <w:right w:val="nil"/>
                <w:between w:val="nil"/>
              </w:pBdr>
              <w:spacing w:before="36" w:after="36"/>
              <w:rPr>
                <w:color w:val="000000"/>
              </w:rPr>
            </w:pPr>
          </w:p>
        </w:tc>
      </w:tr>
      <w:tr w:rsidR="00BF18CF" w14:paraId="45B33358" w14:textId="77777777" w:rsidTr="00BF18CF">
        <w:tc>
          <w:tcPr>
            <w:tcW w:w="1884" w:type="dxa"/>
          </w:tcPr>
          <w:p w14:paraId="606B9854"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806" w:type="dxa"/>
          </w:tcPr>
          <w:p w14:paraId="1ABFA896" w14:textId="77777777" w:rsidR="00BF18CF" w:rsidRDefault="00BF18CF">
            <w:pPr>
              <w:pBdr>
                <w:top w:val="nil"/>
                <w:left w:val="nil"/>
                <w:bottom w:val="nil"/>
                <w:right w:val="nil"/>
                <w:between w:val="nil"/>
              </w:pBdr>
              <w:spacing w:before="36" w:after="36"/>
              <w:rPr>
                <w:color w:val="000000"/>
              </w:rPr>
            </w:pPr>
          </w:p>
        </w:tc>
      </w:tr>
    </w:tbl>
    <w:p w14:paraId="06C5A14C" w14:textId="77777777" w:rsidR="00BF18CF" w:rsidRDefault="00E51347">
      <w:pPr>
        <w:pStyle w:val="Heading3"/>
      </w:pPr>
      <w:bookmarkStart w:id="583" w:name="bookmark=id.3i5g9y3" w:colFirst="0" w:colLast="0"/>
      <w:bookmarkStart w:id="584" w:name="_Toc144361035"/>
      <w:bookmarkEnd w:id="583"/>
      <w:r>
        <w:t>P198 contient ou soutient (est contenu ou soutenu par)</w:t>
      </w:r>
      <w:bookmarkEnd w:id="584"/>
    </w:p>
    <w:tbl>
      <w:tblPr>
        <w:tblStyle w:val="afffffffffffffffffff5"/>
        <w:tblW w:w="10688"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2109"/>
        <w:gridCol w:w="8579"/>
      </w:tblGrid>
      <w:tr w:rsidR="00BF18CF" w14:paraId="355CB441" w14:textId="77777777" w:rsidTr="00BF18CF">
        <w:tc>
          <w:tcPr>
            <w:tcW w:w="2109" w:type="dxa"/>
          </w:tcPr>
          <w:p w14:paraId="66C98A6B" w14:textId="77777777" w:rsidR="00BF18CF" w:rsidRDefault="00E51347">
            <w:pPr>
              <w:pBdr>
                <w:top w:val="nil"/>
                <w:left w:val="nil"/>
                <w:bottom w:val="nil"/>
                <w:right w:val="nil"/>
                <w:between w:val="nil"/>
              </w:pBdr>
              <w:spacing w:before="36" w:after="36"/>
              <w:rPr>
                <w:color w:val="000000"/>
              </w:rPr>
            </w:pPr>
            <w:r>
              <w:rPr>
                <w:b/>
                <w:color w:val="000000"/>
              </w:rPr>
              <w:t>Domaine</w:t>
            </w:r>
          </w:p>
        </w:tc>
        <w:tc>
          <w:tcPr>
            <w:tcW w:w="8579" w:type="dxa"/>
          </w:tcPr>
          <w:p w14:paraId="5CD01258" w14:textId="77777777" w:rsidR="00BF18CF" w:rsidRDefault="00E51347">
            <w:r>
              <w:rPr>
                <w:rFonts w:ascii="Consolas" w:eastAsia="Consolas" w:hAnsi="Consolas" w:cs="Consolas"/>
                <w:sz w:val="22"/>
                <w:szCs w:val="22"/>
                <w:shd w:val="clear" w:color="auto" w:fill="EAEEF3"/>
              </w:rPr>
              <w:t>E18_Chose_matérielle</w:t>
            </w:r>
          </w:p>
        </w:tc>
      </w:tr>
      <w:tr w:rsidR="00BF18CF" w14:paraId="50267E71" w14:textId="77777777" w:rsidTr="00BF18CF">
        <w:tc>
          <w:tcPr>
            <w:tcW w:w="2109" w:type="dxa"/>
          </w:tcPr>
          <w:p w14:paraId="407BE5E0" w14:textId="77777777" w:rsidR="00BF18CF" w:rsidRDefault="00E51347">
            <w:pPr>
              <w:pBdr>
                <w:top w:val="nil"/>
                <w:left w:val="nil"/>
                <w:bottom w:val="nil"/>
                <w:right w:val="nil"/>
                <w:between w:val="nil"/>
              </w:pBdr>
              <w:spacing w:before="36" w:after="36"/>
              <w:rPr>
                <w:color w:val="000000"/>
              </w:rPr>
            </w:pPr>
            <w:r>
              <w:rPr>
                <w:b/>
                <w:color w:val="000000"/>
              </w:rPr>
              <w:t>Portée</w:t>
            </w:r>
          </w:p>
        </w:tc>
        <w:tc>
          <w:tcPr>
            <w:tcW w:w="8579" w:type="dxa"/>
          </w:tcPr>
          <w:p w14:paraId="6C2E880E" w14:textId="77777777" w:rsidR="00BF18CF" w:rsidRDefault="00E51347">
            <w:r>
              <w:rPr>
                <w:rFonts w:ascii="Consolas" w:eastAsia="Consolas" w:hAnsi="Consolas" w:cs="Consolas"/>
                <w:sz w:val="22"/>
                <w:szCs w:val="22"/>
                <w:shd w:val="clear" w:color="auto" w:fill="EAEEF3"/>
              </w:rPr>
              <w:t>E18_Chose_matérielle</w:t>
            </w:r>
          </w:p>
        </w:tc>
      </w:tr>
      <w:tr w:rsidR="00BF18CF" w14:paraId="74E0143A" w14:textId="77777777" w:rsidTr="00BF18CF">
        <w:tc>
          <w:tcPr>
            <w:tcW w:w="2109" w:type="dxa"/>
          </w:tcPr>
          <w:p w14:paraId="6FCD8A8B" w14:textId="77777777" w:rsidR="00BF18CF" w:rsidRDefault="00E51347">
            <w:pPr>
              <w:pBdr>
                <w:top w:val="nil"/>
                <w:left w:val="nil"/>
                <w:bottom w:val="nil"/>
                <w:right w:val="nil"/>
                <w:between w:val="nil"/>
              </w:pBdr>
              <w:spacing w:before="36" w:after="36"/>
              <w:rPr>
                <w:color w:val="000000"/>
              </w:rPr>
            </w:pPr>
            <w:r>
              <w:rPr>
                <w:b/>
                <w:color w:val="000000"/>
              </w:rPr>
              <w:t>Sous-propriété de</w:t>
            </w:r>
          </w:p>
        </w:tc>
        <w:tc>
          <w:tcPr>
            <w:tcW w:w="8579" w:type="dxa"/>
          </w:tcPr>
          <w:p w14:paraId="3B48DA00" w14:textId="77777777" w:rsidR="00BF18CF" w:rsidRDefault="00BF18CF">
            <w:pPr>
              <w:pBdr>
                <w:top w:val="nil"/>
                <w:left w:val="nil"/>
                <w:bottom w:val="nil"/>
                <w:right w:val="nil"/>
                <w:between w:val="nil"/>
              </w:pBdr>
              <w:spacing w:before="36" w:after="36"/>
              <w:rPr>
                <w:color w:val="000000"/>
              </w:rPr>
            </w:pPr>
          </w:p>
        </w:tc>
      </w:tr>
      <w:tr w:rsidR="00BF18CF" w14:paraId="6F6B453F" w14:textId="77777777" w:rsidTr="00BF18CF">
        <w:tc>
          <w:tcPr>
            <w:tcW w:w="2109" w:type="dxa"/>
          </w:tcPr>
          <w:p w14:paraId="5374FA4B" w14:textId="77777777" w:rsidR="00BF18CF" w:rsidRDefault="00E51347">
            <w:pPr>
              <w:pBdr>
                <w:top w:val="nil"/>
                <w:left w:val="nil"/>
                <w:bottom w:val="nil"/>
                <w:right w:val="nil"/>
                <w:between w:val="nil"/>
              </w:pBdr>
              <w:spacing w:before="36" w:after="36"/>
              <w:rPr>
                <w:color w:val="000000"/>
              </w:rPr>
            </w:pPr>
            <w:r>
              <w:rPr>
                <w:b/>
                <w:color w:val="000000"/>
              </w:rPr>
              <w:t>Super-propriété de</w:t>
            </w:r>
          </w:p>
        </w:tc>
        <w:tc>
          <w:tcPr>
            <w:tcW w:w="8579" w:type="dxa"/>
          </w:tcPr>
          <w:p w14:paraId="49B2E796" w14:textId="77777777" w:rsidR="00BF18CF" w:rsidRDefault="00BF18CF">
            <w:pPr>
              <w:pBdr>
                <w:top w:val="nil"/>
                <w:left w:val="nil"/>
                <w:bottom w:val="nil"/>
                <w:right w:val="nil"/>
                <w:between w:val="nil"/>
              </w:pBdr>
              <w:spacing w:before="36" w:after="36"/>
              <w:rPr>
                <w:color w:val="000000"/>
              </w:rPr>
            </w:pPr>
          </w:p>
        </w:tc>
      </w:tr>
      <w:tr w:rsidR="00BF18CF" w14:paraId="005E8028" w14:textId="77777777" w:rsidTr="00BF18CF">
        <w:tc>
          <w:tcPr>
            <w:tcW w:w="2109" w:type="dxa"/>
          </w:tcPr>
          <w:p w14:paraId="014C8757" w14:textId="77777777" w:rsidR="00BF18CF" w:rsidRDefault="00E51347">
            <w:pPr>
              <w:pBdr>
                <w:top w:val="nil"/>
                <w:left w:val="nil"/>
                <w:bottom w:val="nil"/>
                <w:right w:val="nil"/>
                <w:between w:val="nil"/>
              </w:pBdr>
              <w:spacing w:before="36" w:after="36"/>
              <w:rPr>
                <w:color w:val="000000"/>
              </w:rPr>
            </w:pPr>
            <w:r>
              <w:rPr>
                <w:b/>
                <w:color w:val="000000"/>
              </w:rPr>
              <w:t>Quantification</w:t>
            </w:r>
          </w:p>
        </w:tc>
        <w:tc>
          <w:tcPr>
            <w:tcW w:w="8579" w:type="dxa"/>
          </w:tcPr>
          <w:p w14:paraId="6FF0B50C" w14:textId="77777777" w:rsidR="00BF18CF" w:rsidRDefault="00E51347">
            <w:proofErr w:type="gramStart"/>
            <w:r>
              <w:t>un</w:t>
            </w:r>
            <w:proofErr w:type="gramEnd"/>
            <w:r>
              <w:t xml:space="preserve"> à plusieurs (0,n:0,1)</w:t>
            </w:r>
          </w:p>
        </w:tc>
      </w:tr>
      <w:tr w:rsidR="00BF18CF" w14:paraId="7ECAF4E5" w14:textId="77777777" w:rsidTr="00BF18CF">
        <w:tc>
          <w:tcPr>
            <w:tcW w:w="2109" w:type="dxa"/>
          </w:tcPr>
          <w:p w14:paraId="446721AC" w14:textId="77777777" w:rsidR="00BF18CF" w:rsidRDefault="00E51347">
            <w:pPr>
              <w:pBdr>
                <w:top w:val="nil"/>
                <w:left w:val="nil"/>
                <w:bottom w:val="nil"/>
                <w:right w:val="nil"/>
                <w:between w:val="nil"/>
              </w:pBdr>
              <w:spacing w:before="36" w:after="36"/>
              <w:rPr>
                <w:color w:val="000000"/>
              </w:rPr>
            </w:pPr>
            <w:r>
              <w:rPr>
                <w:b/>
                <w:color w:val="000000"/>
              </w:rPr>
              <w:t>Note d’application</w:t>
            </w:r>
          </w:p>
        </w:tc>
        <w:tc>
          <w:tcPr>
            <w:tcW w:w="8579" w:type="dxa"/>
          </w:tcPr>
          <w:p w14:paraId="4383A498" w14:textId="77777777" w:rsidR="00BF18CF" w:rsidRDefault="00E51347">
            <w:r>
              <w:t xml:space="preserve">Cette propriété relie une instance de </w:t>
            </w:r>
            <w:r>
              <w:rPr>
                <w:rFonts w:ascii="Consolas" w:eastAsia="Consolas" w:hAnsi="Consolas" w:cs="Consolas"/>
                <w:sz w:val="22"/>
                <w:szCs w:val="22"/>
                <w:shd w:val="clear" w:color="auto" w:fill="EAEEF3"/>
              </w:rPr>
              <w:t>E18_Chose_matérielle</w:t>
            </w:r>
            <w:r>
              <w:t xml:space="preserve"> qui sert de contenant ou de support à une instance de </w:t>
            </w:r>
            <w:r>
              <w:rPr>
                <w:rFonts w:ascii="Consolas" w:eastAsia="Consolas" w:hAnsi="Consolas" w:cs="Consolas"/>
                <w:sz w:val="22"/>
                <w:szCs w:val="22"/>
                <w:shd w:val="clear" w:color="auto" w:fill="EAEEF3"/>
              </w:rPr>
              <w:t>E18_Chose_matérielle</w:t>
            </w:r>
            <w:r>
              <w:t xml:space="preserve"> qui est supportée ou contenue. Des exemples typiques d'instances de </w:t>
            </w:r>
            <w:r>
              <w:rPr>
                <w:rFonts w:ascii="Consolas" w:eastAsia="Consolas" w:hAnsi="Consolas" w:cs="Consolas"/>
                <w:sz w:val="22"/>
                <w:szCs w:val="22"/>
                <w:shd w:val="clear" w:color="auto" w:fill="EAEEF3"/>
              </w:rPr>
              <w:t>E18_Chose_matérielle</w:t>
            </w:r>
            <w:r>
              <w:t xml:space="preserve"> qui ont pour fonction d'être un contenant ou un support comprennent des étagères, des dossiers ou des boîtes. Ces contenants ou supports fournissent une surface stable qui est destinée à recevoir sur elle d'autres objets physiques pour entreposage, affichage, transport ou d'autres fonctions similaires.</w:t>
            </w:r>
          </w:p>
          <w:p w14:paraId="2C4E2CAB" w14:textId="77777777" w:rsidR="00BF18CF" w:rsidRDefault="00E51347">
            <w:r>
              <w:t xml:space="preserve">Cette propriété est un raccourci du chemin sémantique suivant : </w:t>
            </w:r>
            <w:r>
              <w:rPr>
                <w:rFonts w:ascii="Consolas" w:eastAsia="Consolas" w:hAnsi="Consolas" w:cs="Consolas"/>
                <w:sz w:val="22"/>
                <w:szCs w:val="22"/>
                <w:shd w:val="clear" w:color="auto" w:fill="EAEEF3"/>
              </w:rPr>
              <w:t>E18_Chose_matérielle</w:t>
            </w:r>
            <w:r>
              <w:t xml:space="preserve">, </w:t>
            </w:r>
            <w:r>
              <w:rPr>
                <w:rFonts w:ascii="Consolas" w:eastAsia="Consolas" w:hAnsi="Consolas" w:cs="Consolas"/>
                <w:sz w:val="22"/>
                <w:szCs w:val="22"/>
                <w:shd w:val="clear" w:color="auto" w:fill="EAEEF3"/>
              </w:rPr>
              <w:t>P59_a_pour_section</w:t>
            </w:r>
            <w:r>
              <w:t xml:space="preserve">, </w:t>
            </w:r>
            <w:r>
              <w:rPr>
                <w:rFonts w:ascii="Consolas" w:eastAsia="Consolas" w:hAnsi="Consolas" w:cs="Consolas"/>
                <w:sz w:val="22"/>
                <w:szCs w:val="22"/>
                <w:shd w:val="clear" w:color="auto" w:fill="EAEEF3"/>
              </w:rPr>
              <w:t>E53_Lieu</w:t>
            </w:r>
            <w:r>
              <w:t xml:space="preserve">, </w:t>
            </w:r>
            <w:r>
              <w:rPr>
                <w:rFonts w:ascii="Consolas" w:eastAsia="Consolas" w:hAnsi="Consolas" w:cs="Consolas"/>
                <w:sz w:val="22"/>
                <w:szCs w:val="22"/>
                <w:shd w:val="clear" w:color="auto" w:fill="EAEEF3"/>
              </w:rPr>
              <w:t>P53i_est_la_localisation_actuelle_ou_antérieure_de</w:t>
            </w:r>
            <w:r>
              <w:t xml:space="preserve">, </w:t>
            </w:r>
            <w:r>
              <w:rPr>
                <w:rFonts w:ascii="Consolas" w:eastAsia="Consolas" w:hAnsi="Consolas" w:cs="Consolas"/>
                <w:sz w:val="22"/>
                <w:szCs w:val="22"/>
                <w:shd w:val="clear" w:color="auto" w:fill="EAEEF3"/>
              </w:rPr>
              <w:t>E18_Chose_matérielle</w:t>
            </w:r>
            <w:r>
              <w:t xml:space="preserve">. Il ne s'agit pas d'une sous-propriété de </w:t>
            </w:r>
            <w:r>
              <w:rPr>
                <w:rFonts w:ascii="Consolas" w:eastAsia="Consolas" w:hAnsi="Consolas" w:cs="Consolas"/>
                <w:sz w:val="22"/>
                <w:szCs w:val="22"/>
                <w:shd w:val="clear" w:color="auto" w:fill="EAEEF3"/>
              </w:rPr>
              <w:t>P46_est_composé_de (fait_partie_de)</w:t>
            </w:r>
            <w:r>
              <w:t>, car l'objet contenu ou supporté n'est pas un composant du contenant ou du support.</w:t>
            </w:r>
          </w:p>
          <w:p w14:paraId="4E14609B" w14:textId="77777777" w:rsidR="00BF18CF" w:rsidRDefault="00E51347">
            <w:r>
              <w:t xml:space="preserve">Cette propriété peut être utilisée pour éviter l'instanciation explicite de la classe </w:t>
            </w:r>
            <w:r>
              <w:rPr>
                <w:rFonts w:ascii="Consolas" w:eastAsia="Consolas" w:hAnsi="Consolas" w:cs="Consolas"/>
                <w:sz w:val="22"/>
                <w:szCs w:val="22"/>
                <w:shd w:val="clear" w:color="auto" w:fill="EAEEF3"/>
              </w:rPr>
              <w:t>E53_Lieu</w:t>
            </w:r>
            <w:r>
              <w:t xml:space="preserve"> qui est définie par une instance de </w:t>
            </w:r>
            <w:r>
              <w:rPr>
                <w:rFonts w:ascii="Consolas" w:eastAsia="Consolas" w:hAnsi="Consolas" w:cs="Consolas"/>
                <w:sz w:val="22"/>
                <w:szCs w:val="22"/>
                <w:shd w:val="clear" w:color="auto" w:fill="EAEEF3"/>
              </w:rPr>
              <w:t>E18_Chose_matérielle</w:t>
            </w:r>
            <w:r>
              <w:t xml:space="preserve">, en particulier lorsque la seule utilisation prévue de cette dernière est d'être un contenant ou une surface pour l'entreposage d'autres instances de </w:t>
            </w:r>
            <w:r>
              <w:rPr>
                <w:rFonts w:ascii="Consolas" w:eastAsia="Consolas" w:hAnsi="Consolas" w:cs="Consolas"/>
                <w:sz w:val="22"/>
                <w:szCs w:val="22"/>
                <w:shd w:val="clear" w:color="auto" w:fill="EAEEF3"/>
              </w:rPr>
              <w:t>E18_Chose_matérielle</w:t>
            </w:r>
            <w:r>
              <w:t xml:space="preserve">. L'existence du lieu est définie par l'existence du contenant ou de la surface et disparaîtra en même temps que l'instance de </w:t>
            </w:r>
            <w:r>
              <w:rPr>
                <w:rFonts w:ascii="Consolas" w:eastAsia="Consolas" w:hAnsi="Consolas" w:cs="Consolas"/>
                <w:sz w:val="22"/>
                <w:szCs w:val="22"/>
                <w:shd w:val="clear" w:color="auto" w:fill="EAEEF3"/>
              </w:rPr>
              <w:t>E6_Destruction</w:t>
            </w:r>
            <w:r>
              <w:t xml:space="preserve"> du contenant ou de la surface. Cette propriété est transitive.</w:t>
            </w:r>
          </w:p>
        </w:tc>
      </w:tr>
      <w:tr w:rsidR="00BF18CF" w14:paraId="3F1E2C49" w14:textId="77777777" w:rsidTr="00BF18CF">
        <w:tc>
          <w:tcPr>
            <w:tcW w:w="2109" w:type="dxa"/>
          </w:tcPr>
          <w:p w14:paraId="4B21E62F" w14:textId="77777777" w:rsidR="00BF18CF" w:rsidRDefault="00E51347">
            <w:pPr>
              <w:pBdr>
                <w:top w:val="nil"/>
                <w:left w:val="nil"/>
                <w:bottom w:val="nil"/>
                <w:right w:val="nil"/>
                <w:between w:val="nil"/>
              </w:pBdr>
              <w:spacing w:before="36" w:after="36"/>
              <w:rPr>
                <w:color w:val="000000"/>
              </w:rPr>
            </w:pPr>
            <w:r>
              <w:rPr>
                <w:b/>
                <w:color w:val="000000"/>
              </w:rPr>
              <w:t>Exemples</w:t>
            </w:r>
          </w:p>
        </w:tc>
        <w:tc>
          <w:tcPr>
            <w:tcW w:w="8579" w:type="dxa"/>
          </w:tcPr>
          <w:p w14:paraId="6E886F9D" w14:textId="77777777" w:rsidR="00BF18CF" w:rsidRDefault="00E51347">
            <w:pPr>
              <w:numPr>
                <w:ilvl w:val="0"/>
                <w:numId w:val="19"/>
              </w:numPr>
            </w:pPr>
            <w:r>
              <w:t>Le dossier d'archives « 6 » (</w:t>
            </w:r>
            <w:r>
              <w:rPr>
                <w:rFonts w:ascii="Consolas" w:eastAsia="Consolas" w:hAnsi="Consolas" w:cs="Consolas"/>
                <w:sz w:val="22"/>
                <w:szCs w:val="22"/>
                <w:shd w:val="clear" w:color="auto" w:fill="EAEEF3"/>
              </w:rPr>
              <w:t>E22_Objet_élaboré_par_l’humain</w:t>
            </w:r>
            <w:r>
              <w:t>) contient ou soutient (</w:t>
            </w:r>
            <w:r>
              <w:rPr>
                <w:rFonts w:ascii="Consolas" w:eastAsia="Consolas" w:hAnsi="Consolas" w:cs="Consolas"/>
                <w:sz w:val="22"/>
                <w:szCs w:val="22"/>
                <w:shd w:val="clear" w:color="auto" w:fill="EAEEF3"/>
              </w:rPr>
              <w:t>P198_contient_ou_soutient</w:t>
            </w:r>
            <w:r>
              <w:t>) le morceau de papier (</w:t>
            </w:r>
            <w:r>
              <w:rPr>
                <w:rFonts w:ascii="Consolas" w:eastAsia="Consolas" w:hAnsi="Consolas" w:cs="Consolas"/>
                <w:sz w:val="22"/>
                <w:szCs w:val="22"/>
                <w:shd w:val="clear" w:color="auto" w:fill="EAEEF3"/>
              </w:rPr>
              <w:t>E22_Objet_élaboré_par_l’humain</w:t>
            </w:r>
            <w:r>
              <w:t xml:space="preserve">) portant le texte d'une lettre de Lawrence Alloway à Sylvia Sleigh [référence : </w:t>
            </w:r>
            <w:hyperlink r:id="rId457">
              <w:r>
                <w:rPr>
                  <w:color w:val="4F81BD"/>
                </w:rPr>
                <w:t>http://archives2.getty.edu:8082/xtf/view?docId=ead/2003.M.46/2003.M.46.xml;chunk.id</w:t>
              </w:r>
            </w:hyperlink>
            <w:r>
              <w:t>]</w:t>
            </w:r>
          </w:p>
          <w:p w14:paraId="032ED260" w14:textId="77777777" w:rsidR="00BF18CF" w:rsidRDefault="00E51347">
            <w:pPr>
              <w:numPr>
                <w:ilvl w:val="0"/>
                <w:numId w:val="19"/>
              </w:numPr>
            </w:pPr>
            <w:r>
              <w:t>Le dossier d'archives « 17 » (</w:t>
            </w:r>
            <w:r>
              <w:rPr>
                <w:rFonts w:ascii="Consolas" w:eastAsia="Consolas" w:hAnsi="Consolas" w:cs="Consolas"/>
                <w:sz w:val="22"/>
                <w:szCs w:val="22"/>
                <w:shd w:val="clear" w:color="auto" w:fill="EAEEF3"/>
              </w:rPr>
              <w:t>E22_Objet_élaboré_par_l’humain</w:t>
            </w:r>
            <w:r>
              <w:t>) contient ou soutient (</w:t>
            </w:r>
            <w:r>
              <w:rPr>
                <w:rFonts w:ascii="Consolas" w:eastAsia="Consolas" w:hAnsi="Consolas" w:cs="Consolas"/>
                <w:sz w:val="22"/>
                <w:szCs w:val="22"/>
                <w:shd w:val="clear" w:color="auto" w:fill="EAEEF3"/>
              </w:rPr>
              <w:t>P198_contient_ou_soutient</w:t>
            </w:r>
            <w:r>
              <w:t>) le daguerréotype (</w:t>
            </w:r>
            <w:r>
              <w:rPr>
                <w:rFonts w:ascii="Consolas" w:eastAsia="Consolas" w:hAnsi="Consolas" w:cs="Consolas"/>
                <w:sz w:val="22"/>
                <w:szCs w:val="22"/>
                <w:shd w:val="clear" w:color="auto" w:fill="EAEEF3"/>
              </w:rPr>
              <w:t>E22_Objet_élaboré_par_l’humain</w:t>
            </w:r>
            <w:r>
              <w:t xml:space="preserve">) qui représente l'image de Henry Ward Beecher lorsqu'il était un jeune garçon [référence : </w:t>
            </w:r>
            <w:hyperlink r:id="rId458">
              <w:r>
                <w:rPr>
                  <w:color w:val="4F81BD"/>
                </w:rPr>
                <w:t>https://archives.yale.edu/repositories/12/archival_objects/1402266</w:t>
              </w:r>
            </w:hyperlink>
            <w:r>
              <w:t>]</w:t>
            </w:r>
          </w:p>
          <w:p w14:paraId="36495590" w14:textId="77777777" w:rsidR="00BF18CF" w:rsidRDefault="00E51347">
            <w:pPr>
              <w:numPr>
                <w:ilvl w:val="0"/>
                <w:numId w:val="19"/>
              </w:numPr>
            </w:pPr>
            <w:r>
              <w:t>La boîte « 88 » (</w:t>
            </w:r>
            <w:r>
              <w:rPr>
                <w:rFonts w:ascii="Consolas" w:eastAsia="Consolas" w:hAnsi="Consolas" w:cs="Consolas"/>
                <w:sz w:val="22"/>
                <w:szCs w:val="22"/>
                <w:shd w:val="clear" w:color="auto" w:fill="EAEEF3"/>
              </w:rPr>
              <w:t>E22_Objet_élaboré_par_l’humain</w:t>
            </w:r>
            <w:r>
              <w:t>) contient ou soutient (</w:t>
            </w:r>
            <w:r>
              <w:rPr>
                <w:rFonts w:ascii="Consolas" w:eastAsia="Consolas" w:hAnsi="Consolas" w:cs="Consolas"/>
                <w:sz w:val="22"/>
                <w:szCs w:val="22"/>
                <w:shd w:val="clear" w:color="auto" w:fill="EAEEF3"/>
              </w:rPr>
              <w:t>P198_contient_ou_soutient</w:t>
            </w:r>
            <w:r>
              <w:t>) le dossier « 17 » (</w:t>
            </w:r>
            <w:r>
              <w:rPr>
                <w:rFonts w:ascii="Consolas" w:eastAsia="Consolas" w:hAnsi="Consolas" w:cs="Consolas"/>
                <w:sz w:val="22"/>
                <w:szCs w:val="22"/>
                <w:shd w:val="clear" w:color="auto" w:fill="EAEEF3"/>
              </w:rPr>
              <w:t>E22_Objet_élaboré_par_l’humain</w:t>
            </w:r>
            <w:r>
              <w:t xml:space="preserve">) [référence : </w:t>
            </w:r>
            <w:hyperlink r:id="rId459">
              <w:r>
                <w:rPr>
                  <w:color w:val="4F81BD"/>
                </w:rPr>
                <w:t>https://archives.yale.edu/repositories/12/archival_objects/1402266</w:t>
              </w:r>
            </w:hyperlink>
            <w:r>
              <w:t>]</w:t>
            </w:r>
          </w:p>
          <w:p w14:paraId="366440FE" w14:textId="77777777" w:rsidR="00BF18CF" w:rsidRDefault="00E51347">
            <w:pPr>
              <w:numPr>
                <w:ilvl w:val="0"/>
                <w:numId w:val="19"/>
              </w:numPr>
            </w:pPr>
            <w:r>
              <w:t>L'étagère à livres « GRI-708.1 » (</w:t>
            </w:r>
            <w:r>
              <w:rPr>
                <w:rFonts w:ascii="Consolas" w:eastAsia="Consolas" w:hAnsi="Consolas" w:cs="Consolas"/>
                <w:sz w:val="22"/>
                <w:szCs w:val="22"/>
                <w:shd w:val="clear" w:color="auto" w:fill="EAEEF3"/>
              </w:rPr>
              <w:t>E22_Objet_élaboré_par_l’humain</w:t>
            </w:r>
            <w:r>
              <w:t>) contient ou soutient (</w:t>
            </w:r>
            <w:r>
              <w:rPr>
                <w:rFonts w:ascii="Consolas" w:eastAsia="Consolas" w:hAnsi="Consolas" w:cs="Consolas"/>
                <w:sz w:val="22"/>
                <w:szCs w:val="22"/>
                <w:shd w:val="clear" w:color="auto" w:fill="EAEEF3"/>
              </w:rPr>
              <w:t>P198_contient_ou_soutient</w:t>
            </w:r>
            <w:r>
              <w:t xml:space="preserve">) le livre intitulé </w:t>
            </w:r>
            <w:r>
              <w:rPr>
                <w:i/>
              </w:rPr>
              <w:t>Catalog of Paintings in the J. Paul Getty Museum</w:t>
            </w:r>
            <w:r>
              <w:t xml:space="preserve"> (</w:t>
            </w:r>
            <w:r>
              <w:rPr>
                <w:rFonts w:ascii="Consolas" w:eastAsia="Consolas" w:hAnsi="Consolas" w:cs="Consolas"/>
                <w:sz w:val="22"/>
                <w:szCs w:val="22"/>
                <w:shd w:val="clear" w:color="auto" w:fill="EAEEF3"/>
              </w:rPr>
              <w:t>E22_Objet_élaboré_par_l’humain</w:t>
            </w:r>
            <w:r>
              <w:t>) (Potts, 2015)</w:t>
            </w:r>
          </w:p>
        </w:tc>
      </w:tr>
      <w:tr w:rsidR="00BF18CF" w14:paraId="4667798F" w14:textId="77777777" w:rsidTr="00BF18CF">
        <w:tc>
          <w:tcPr>
            <w:tcW w:w="2109" w:type="dxa"/>
          </w:tcPr>
          <w:p w14:paraId="0395C876" w14:textId="77777777" w:rsidR="00BF18CF" w:rsidRDefault="00E51347">
            <w:pPr>
              <w:pBdr>
                <w:top w:val="nil"/>
                <w:left w:val="nil"/>
                <w:bottom w:val="nil"/>
                <w:right w:val="nil"/>
                <w:between w:val="nil"/>
              </w:pBdr>
              <w:spacing w:before="36" w:after="36"/>
              <w:rPr>
                <w:color w:val="000000"/>
              </w:rPr>
            </w:pPr>
            <w:r>
              <w:rPr>
                <w:b/>
                <w:color w:val="000000"/>
              </w:rPr>
              <w:lastRenderedPageBreak/>
              <w:t>Logique</w:t>
            </w:r>
          </w:p>
        </w:tc>
        <w:tc>
          <w:tcPr>
            <w:tcW w:w="8579" w:type="dxa"/>
          </w:tcPr>
          <w:p w14:paraId="2438057A" w14:textId="77777777" w:rsidR="00BF18CF" w:rsidRDefault="00E51347">
            <w:r>
              <w:t>P198(</w:t>
            </w:r>
            <w:proofErr w:type="gramStart"/>
            <w:r>
              <w:t>x,y</w:t>
            </w:r>
            <w:proofErr w:type="gramEnd"/>
            <w:r>
              <w:t>) ⇒ E18(x)</w:t>
            </w:r>
          </w:p>
          <w:p w14:paraId="1436CC0D" w14:textId="77777777" w:rsidR="00BF18CF" w:rsidRDefault="00E51347">
            <w:r>
              <w:t>P198(</w:t>
            </w:r>
            <w:proofErr w:type="gramStart"/>
            <w:r>
              <w:t>x,y</w:t>
            </w:r>
            <w:proofErr w:type="gramEnd"/>
            <w:r>
              <w:t>) ⇒ E18(y)</w:t>
            </w:r>
          </w:p>
          <w:p w14:paraId="153EC114" w14:textId="77777777" w:rsidR="00BF18CF" w:rsidRDefault="00E51347">
            <w:r>
              <w:t>[P198(</w:t>
            </w:r>
            <w:proofErr w:type="gramStart"/>
            <w:r>
              <w:t>x,y</w:t>
            </w:r>
            <w:proofErr w:type="gramEnd"/>
            <w:r>
              <w:t>) ∧ P198(y,z)] ⇒ P198(x,z)</w:t>
            </w:r>
          </w:p>
          <w:p w14:paraId="2381D224" w14:textId="77777777" w:rsidR="00BF18CF" w:rsidRDefault="00E51347">
            <w:r>
              <w:t>P198(</w:t>
            </w:r>
            <w:proofErr w:type="gramStart"/>
            <w:r>
              <w:t>x,y</w:t>
            </w:r>
            <w:proofErr w:type="gramEnd"/>
            <w:r>
              <w:t>) ⇐ (∃z) [E53(z) ˄ P59(x,z) ˄ P53i(z,y)]</w:t>
            </w:r>
          </w:p>
        </w:tc>
      </w:tr>
      <w:tr w:rsidR="00BF18CF" w14:paraId="52BF469F" w14:textId="77777777" w:rsidTr="00BF18CF">
        <w:tc>
          <w:tcPr>
            <w:tcW w:w="2109" w:type="dxa"/>
          </w:tcPr>
          <w:p w14:paraId="0AAF2B8F" w14:textId="77777777" w:rsidR="00BF18CF" w:rsidRDefault="00E51347">
            <w:pPr>
              <w:pBdr>
                <w:top w:val="nil"/>
                <w:left w:val="nil"/>
                <w:bottom w:val="nil"/>
                <w:right w:val="nil"/>
                <w:between w:val="nil"/>
              </w:pBdr>
              <w:spacing w:before="36" w:after="36"/>
              <w:rPr>
                <w:color w:val="000000"/>
              </w:rPr>
            </w:pPr>
            <w:r>
              <w:rPr>
                <w:b/>
                <w:color w:val="000000"/>
              </w:rPr>
              <w:t>Propriétés</w:t>
            </w:r>
          </w:p>
        </w:tc>
        <w:tc>
          <w:tcPr>
            <w:tcW w:w="8579" w:type="dxa"/>
          </w:tcPr>
          <w:p w14:paraId="7D26C0CC" w14:textId="77777777" w:rsidR="00BF18CF" w:rsidRDefault="00BF18CF">
            <w:pPr>
              <w:pBdr>
                <w:top w:val="nil"/>
                <w:left w:val="nil"/>
                <w:bottom w:val="nil"/>
                <w:right w:val="nil"/>
                <w:between w:val="nil"/>
              </w:pBdr>
              <w:spacing w:before="36" w:after="36"/>
              <w:rPr>
                <w:color w:val="000000"/>
              </w:rPr>
            </w:pPr>
          </w:p>
        </w:tc>
      </w:tr>
      <w:tr w:rsidR="00BF18CF" w14:paraId="6FEDE16B" w14:textId="77777777" w:rsidTr="00BF18CF">
        <w:tc>
          <w:tcPr>
            <w:tcW w:w="2109" w:type="dxa"/>
          </w:tcPr>
          <w:p w14:paraId="0F052CFD" w14:textId="78DFEA40" w:rsidR="00BF18CF" w:rsidRDefault="00F27208">
            <w:pPr>
              <w:pBdr>
                <w:top w:val="nil"/>
                <w:left w:val="nil"/>
                <w:bottom w:val="nil"/>
                <w:right w:val="nil"/>
                <w:between w:val="nil"/>
              </w:pBdr>
              <w:spacing w:before="36" w:after="36"/>
              <w:rPr>
                <w:color w:val="000000"/>
              </w:rPr>
            </w:pPr>
            <w:r>
              <w:rPr>
                <w:b/>
                <w:i/>
                <w:color w:val="000000"/>
              </w:rPr>
              <w:t>Note de traduction</w:t>
            </w:r>
          </w:p>
        </w:tc>
        <w:tc>
          <w:tcPr>
            <w:tcW w:w="8579" w:type="dxa"/>
          </w:tcPr>
          <w:p w14:paraId="549B969D" w14:textId="77777777" w:rsidR="00BF18CF" w:rsidRDefault="00BF18CF">
            <w:pPr>
              <w:pBdr>
                <w:top w:val="nil"/>
                <w:left w:val="nil"/>
                <w:bottom w:val="nil"/>
                <w:right w:val="nil"/>
                <w:between w:val="nil"/>
              </w:pBdr>
              <w:spacing w:before="36" w:after="36"/>
              <w:rPr>
                <w:color w:val="000000"/>
              </w:rPr>
            </w:pPr>
          </w:p>
        </w:tc>
      </w:tr>
      <w:tr w:rsidR="00BF18CF" w14:paraId="7EB43CDE" w14:textId="77777777" w:rsidTr="00BF18CF">
        <w:tc>
          <w:tcPr>
            <w:tcW w:w="2109" w:type="dxa"/>
          </w:tcPr>
          <w:p w14:paraId="13EDC4A7" w14:textId="77777777" w:rsidR="00BF18CF" w:rsidRDefault="00E51347">
            <w:pPr>
              <w:pBdr>
                <w:top w:val="nil"/>
                <w:left w:val="nil"/>
                <w:bottom w:val="nil"/>
                <w:right w:val="nil"/>
                <w:between w:val="nil"/>
              </w:pBdr>
              <w:spacing w:before="36" w:after="36"/>
              <w:rPr>
                <w:color w:val="000000"/>
              </w:rPr>
            </w:pPr>
            <w:r>
              <w:rPr>
                <w:b/>
                <w:i/>
                <w:color w:val="000000"/>
              </w:rPr>
              <w:t>Références</w:t>
            </w:r>
          </w:p>
        </w:tc>
        <w:tc>
          <w:tcPr>
            <w:tcW w:w="8579" w:type="dxa"/>
          </w:tcPr>
          <w:p w14:paraId="239DFB09" w14:textId="77777777" w:rsidR="00BF18CF" w:rsidRDefault="00BF18CF">
            <w:pPr>
              <w:pBdr>
                <w:top w:val="nil"/>
                <w:left w:val="nil"/>
                <w:bottom w:val="nil"/>
                <w:right w:val="nil"/>
                <w:between w:val="nil"/>
              </w:pBdr>
              <w:spacing w:before="36" w:after="36"/>
              <w:rPr>
                <w:color w:val="000000"/>
              </w:rPr>
            </w:pPr>
          </w:p>
        </w:tc>
      </w:tr>
    </w:tbl>
    <w:p w14:paraId="36D1647C" w14:textId="77777777" w:rsidR="00C1472B" w:rsidRDefault="00C1472B">
      <w:pPr>
        <w:pStyle w:val="Heading1"/>
      </w:pPr>
      <w:bookmarkStart w:id="585" w:name="bookmark=id.1xaqk5w" w:colFirst="0" w:colLast="0"/>
      <w:bookmarkEnd w:id="585"/>
    </w:p>
    <w:p w14:paraId="5DECC757" w14:textId="77777777" w:rsidR="00C1472B" w:rsidRDefault="00C1472B">
      <w:pPr>
        <w:rPr>
          <w:rFonts w:eastAsiaTheme="majorEastAsia" w:cstheme="majorBidi"/>
          <w:sz w:val="36"/>
          <w:szCs w:val="36"/>
        </w:rPr>
      </w:pPr>
      <w:r>
        <w:br w:type="page"/>
      </w:r>
    </w:p>
    <w:p w14:paraId="638FFE1E" w14:textId="1A08C7FC" w:rsidR="00BF18CF" w:rsidRDefault="00E51347">
      <w:pPr>
        <w:pStyle w:val="Heading1"/>
      </w:pPr>
      <w:bookmarkStart w:id="586" w:name="_Toc144361036"/>
      <w:r>
        <w:lastRenderedPageBreak/>
        <w:t>Bibliographie originale</w:t>
      </w:r>
      <w:bookmarkEnd w:id="586"/>
    </w:p>
    <w:tbl>
      <w:tblPr>
        <w:tblStyle w:val="afffffffffffffffffff6"/>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0248313F" w14:textId="77777777" w:rsidTr="00BF18CF">
        <w:tc>
          <w:tcPr>
            <w:tcW w:w="10690" w:type="dxa"/>
          </w:tcPr>
          <w:p w14:paraId="2614AD47"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Aczel, Amir D. 2007. </w:t>
            </w:r>
            <w:r w:rsidRPr="00EE61A5">
              <w:rPr>
                <w:i/>
                <w:color w:val="000000"/>
                <w:lang w:val="en-CA"/>
              </w:rPr>
              <w:t>The artist and the mathematician: the story of Nicolas Bourbaki, the genius mathematician who never existed</w:t>
            </w:r>
            <w:r w:rsidRPr="00EE61A5">
              <w:rPr>
                <w:color w:val="000000"/>
                <w:lang w:val="en-CA"/>
              </w:rPr>
              <w:t xml:space="preserve">. </w:t>
            </w:r>
            <w:r>
              <w:rPr>
                <w:color w:val="000000"/>
              </w:rPr>
              <w:t>Londres, GB-LND : High Stakes.</w:t>
            </w:r>
          </w:p>
        </w:tc>
      </w:tr>
      <w:tr w:rsidR="00BF18CF" w:rsidRPr="000467B7" w14:paraId="6233C4A1" w14:textId="77777777" w:rsidTr="00BF18CF">
        <w:tc>
          <w:tcPr>
            <w:tcW w:w="10690" w:type="dxa"/>
          </w:tcPr>
          <w:p w14:paraId="2695F70F"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Adkin, Mark. 2005. </w:t>
            </w:r>
            <w:r w:rsidRPr="00EE61A5">
              <w:rPr>
                <w:i/>
                <w:color w:val="000000"/>
                <w:lang w:val="en-CA"/>
              </w:rPr>
              <w:t>The Trafalgar companion: a guide to history’s most famous sea battle and the life of Admiral Lord Nelson</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Aurum Press Ltd.</w:t>
            </w:r>
          </w:p>
        </w:tc>
      </w:tr>
      <w:tr w:rsidR="00BF18CF" w:rsidRPr="000467B7" w14:paraId="056CE221" w14:textId="77777777" w:rsidTr="00BF18CF">
        <w:tc>
          <w:tcPr>
            <w:tcW w:w="10690" w:type="dxa"/>
          </w:tcPr>
          <w:p w14:paraId="770B3E95"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Aldridge, Rebecca. 2008. </w:t>
            </w:r>
            <w:r w:rsidRPr="00EE61A5">
              <w:rPr>
                <w:i/>
                <w:color w:val="000000"/>
                <w:lang w:val="en-CA"/>
              </w:rPr>
              <w:t>The Sinking of the Titanic.</w:t>
            </w:r>
            <w:r w:rsidRPr="00EE61A5">
              <w:rPr>
                <w:color w:val="000000"/>
                <w:lang w:val="en-CA"/>
              </w:rPr>
              <w:t xml:space="preserve"> New York, US-</w:t>
            </w:r>
            <w:proofErr w:type="gramStart"/>
            <w:r w:rsidRPr="00EE61A5">
              <w:rPr>
                <w:color w:val="000000"/>
                <w:lang w:val="en-CA"/>
              </w:rPr>
              <w:t>NY :</w:t>
            </w:r>
            <w:proofErr w:type="gramEnd"/>
            <w:r w:rsidRPr="00EE61A5">
              <w:rPr>
                <w:color w:val="000000"/>
                <w:lang w:val="en-CA"/>
              </w:rPr>
              <w:t xml:space="preserve"> Infobase Pub.</w:t>
            </w:r>
          </w:p>
        </w:tc>
      </w:tr>
      <w:tr w:rsidR="00BF18CF" w:rsidRPr="000467B7" w14:paraId="50859F1C" w14:textId="77777777" w:rsidTr="00BF18CF">
        <w:tc>
          <w:tcPr>
            <w:tcW w:w="10690" w:type="dxa"/>
          </w:tcPr>
          <w:p w14:paraId="3D2BB32D"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Alighieri, D. 1956. </w:t>
            </w:r>
            <w:r w:rsidRPr="00EE61A5">
              <w:rPr>
                <w:i/>
                <w:color w:val="000000"/>
                <w:lang w:val="en-CA"/>
              </w:rPr>
              <w:t>La Divina Commedia: Inferno</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Folways Records.</w:t>
            </w:r>
          </w:p>
        </w:tc>
      </w:tr>
      <w:tr w:rsidR="00BF18CF" w14:paraId="7BCE8FAB" w14:textId="77777777" w:rsidTr="00BF18CF">
        <w:tc>
          <w:tcPr>
            <w:tcW w:w="10690" w:type="dxa"/>
          </w:tcPr>
          <w:p w14:paraId="3135E63D"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Allen, James F. 1983. « Maintaining knowledge about temporal intervals ». </w:t>
            </w:r>
            <w:r>
              <w:rPr>
                <w:i/>
                <w:color w:val="000000"/>
              </w:rPr>
              <w:t>Communications of the ACM</w:t>
            </w:r>
            <w:r>
              <w:rPr>
                <w:color w:val="000000"/>
              </w:rPr>
              <w:t xml:space="preserve"> 26 (11) : 832‑43. </w:t>
            </w:r>
            <w:hyperlink r:id="rId460">
              <w:r>
                <w:rPr>
                  <w:color w:val="4F81BD"/>
                </w:rPr>
                <w:t>https://doi.org/10.1145/182.358434</w:t>
              </w:r>
            </w:hyperlink>
            <w:r>
              <w:rPr>
                <w:color w:val="000000"/>
              </w:rPr>
              <w:t>.</w:t>
            </w:r>
          </w:p>
        </w:tc>
      </w:tr>
      <w:tr w:rsidR="00BF18CF" w:rsidRPr="000467B7" w14:paraId="17D6BD98" w14:textId="77777777" w:rsidTr="00BF18CF">
        <w:tc>
          <w:tcPr>
            <w:tcW w:w="10690" w:type="dxa"/>
          </w:tcPr>
          <w:p w14:paraId="3E6A8756"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Andrews, Ian, et Peter Kesteven. 1977. </w:t>
            </w:r>
            <w:r w:rsidRPr="00EE61A5">
              <w:rPr>
                <w:i/>
                <w:color w:val="000000"/>
                <w:lang w:val="en-CA"/>
              </w:rPr>
              <w:t>Defeat in the forest</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Cambridge Press.</w:t>
            </w:r>
          </w:p>
        </w:tc>
      </w:tr>
      <w:tr w:rsidR="00BF18CF" w:rsidRPr="000467B7" w14:paraId="01583DAC" w14:textId="77777777" w:rsidTr="00BF18CF">
        <w:tc>
          <w:tcPr>
            <w:tcW w:w="10690" w:type="dxa"/>
          </w:tcPr>
          <w:p w14:paraId="24343169" w14:textId="77777777" w:rsidR="00BF18CF" w:rsidRPr="004B3086" w:rsidRDefault="00E51347">
            <w:pPr>
              <w:pBdr>
                <w:top w:val="nil"/>
                <w:left w:val="nil"/>
                <w:bottom w:val="nil"/>
                <w:right w:val="nil"/>
                <w:between w:val="nil"/>
              </w:pBdr>
              <w:spacing w:before="36" w:after="36"/>
              <w:rPr>
                <w:color w:val="000000"/>
                <w:lang w:val="en-US"/>
              </w:rPr>
            </w:pPr>
            <w:r w:rsidRPr="00EE61A5">
              <w:rPr>
                <w:color w:val="000000"/>
                <w:lang w:val="en-CA"/>
              </w:rPr>
              <w:t xml:space="preserve">Atlas, Riva D. 2001. « ENRON’S COLLAPSE: THE OPTIONS; A Trend Toward Liquidation, Not Company Reorganization ». </w:t>
            </w:r>
            <w:r w:rsidRPr="00EE61A5">
              <w:rPr>
                <w:i/>
                <w:color w:val="000000"/>
                <w:lang w:val="en-CA"/>
              </w:rPr>
              <w:t>The New York Times</w:t>
            </w:r>
            <w:r w:rsidRPr="00EE61A5">
              <w:rPr>
                <w:color w:val="000000"/>
                <w:lang w:val="en-CA"/>
              </w:rPr>
              <w:t xml:space="preserve">, 30 novembre 2001, sect. Business. </w:t>
            </w:r>
            <w:hyperlink r:id="rId461">
              <w:r w:rsidRPr="004B3086">
                <w:rPr>
                  <w:color w:val="4F81BD"/>
                  <w:lang w:val="en-US"/>
                </w:rPr>
                <w:t>https://www.nytimes.com/2001/11/30/business/enron-s-collapse-options-trend-toward-liquidation-not-company-reorganization.html</w:t>
              </w:r>
            </w:hyperlink>
            <w:r w:rsidRPr="004B3086">
              <w:rPr>
                <w:color w:val="000000"/>
                <w:lang w:val="en-US"/>
              </w:rPr>
              <w:t>.</w:t>
            </w:r>
          </w:p>
        </w:tc>
      </w:tr>
      <w:tr w:rsidR="00BF18CF" w14:paraId="6658532F" w14:textId="77777777" w:rsidTr="00BF18CF">
        <w:tc>
          <w:tcPr>
            <w:tcW w:w="10690" w:type="dxa"/>
          </w:tcPr>
          <w:p w14:paraId="3142AFA0"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Ball, David W. 1962. </w:t>
            </w:r>
            <w:r w:rsidRPr="00EE61A5">
              <w:rPr>
                <w:i/>
                <w:color w:val="000000"/>
                <w:lang w:val="en-CA"/>
              </w:rPr>
              <w:t>Maxwell’s equations of electrodynamics: an explanation</w:t>
            </w:r>
            <w:r w:rsidRPr="00EE61A5">
              <w:rPr>
                <w:color w:val="000000"/>
                <w:lang w:val="en-CA"/>
              </w:rPr>
              <w:t xml:space="preserve">. </w:t>
            </w:r>
            <w:r>
              <w:rPr>
                <w:color w:val="000000"/>
              </w:rPr>
              <w:t>US-WA : Spie Press.</w:t>
            </w:r>
          </w:p>
        </w:tc>
      </w:tr>
      <w:tr w:rsidR="00BF18CF" w:rsidRPr="000467B7" w14:paraId="63A6C8C8" w14:textId="77777777" w:rsidTr="00BF18CF">
        <w:tc>
          <w:tcPr>
            <w:tcW w:w="10690" w:type="dxa"/>
          </w:tcPr>
          <w:p w14:paraId="657C110B"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Barber, Nicola. 1994. </w:t>
            </w:r>
            <w:r w:rsidRPr="00EE61A5">
              <w:rPr>
                <w:i/>
                <w:color w:val="000000"/>
                <w:lang w:val="en-CA"/>
              </w:rPr>
              <w:t>World War II.</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Evans.</w:t>
            </w:r>
          </w:p>
        </w:tc>
      </w:tr>
      <w:tr w:rsidR="00BF18CF" w:rsidRPr="000467B7" w14:paraId="6F8E881D" w14:textId="77777777" w:rsidTr="00BF18CF">
        <w:tc>
          <w:tcPr>
            <w:tcW w:w="10690" w:type="dxa"/>
          </w:tcPr>
          <w:p w14:paraId="10718F2E"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Barber, R. L. N. 1999. </w:t>
            </w:r>
            <w:r w:rsidRPr="00EE61A5">
              <w:rPr>
                <w:i/>
                <w:color w:val="000000"/>
                <w:lang w:val="en-CA"/>
              </w:rPr>
              <w:t>Athens.</w:t>
            </w:r>
            <w:r w:rsidRPr="00EE61A5">
              <w:rPr>
                <w:color w:val="000000"/>
                <w:lang w:val="en-CA"/>
              </w:rPr>
              <w:t xml:space="preserve"> Londres, GB-</w:t>
            </w:r>
            <w:proofErr w:type="gramStart"/>
            <w:r w:rsidRPr="00EE61A5">
              <w:rPr>
                <w:color w:val="000000"/>
                <w:lang w:val="en-CA"/>
              </w:rPr>
              <w:t>LND :</w:t>
            </w:r>
            <w:proofErr w:type="gramEnd"/>
            <w:r w:rsidRPr="00EE61A5">
              <w:rPr>
                <w:color w:val="000000"/>
                <w:lang w:val="en-CA"/>
              </w:rPr>
              <w:t xml:space="preserve"> A. &amp; C. Black.</w:t>
            </w:r>
          </w:p>
        </w:tc>
      </w:tr>
      <w:tr w:rsidR="00BF18CF" w:rsidRPr="009F53E4" w14:paraId="490B501E" w14:textId="77777777" w:rsidTr="00BF18CF">
        <w:tc>
          <w:tcPr>
            <w:tcW w:w="10690" w:type="dxa"/>
          </w:tcPr>
          <w:p w14:paraId="4A08A769"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Barnard, H., S. H. Ambrose, D. E. Beehr, M. D. Forster, R. E. Lanehart, M. E. Malainey, R. E. Parr, M. Rider, C. Solazzo, et R. M. Yohe. 2007. « Mixed results of seven methods for organic residue analysis applied to one vessel with the residue of a known foodstuff ». </w:t>
            </w:r>
            <w:r w:rsidRPr="005D545E">
              <w:rPr>
                <w:i/>
                <w:color w:val="000000"/>
                <w:lang w:val="en-CA"/>
              </w:rPr>
              <w:t>Journal of Archaeological Science</w:t>
            </w:r>
            <w:r w:rsidRPr="005D545E">
              <w:rPr>
                <w:color w:val="000000"/>
                <w:lang w:val="en-CA"/>
              </w:rPr>
              <w:t xml:space="preserve"> 34 (1</w:t>
            </w:r>
            <w:proofErr w:type="gramStart"/>
            <w:r w:rsidRPr="005D545E">
              <w:rPr>
                <w:color w:val="000000"/>
                <w:lang w:val="en-CA"/>
              </w:rPr>
              <w:t>) :</w:t>
            </w:r>
            <w:proofErr w:type="gramEnd"/>
            <w:r w:rsidRPr="005D545E">
              <w:rPr>
                <w:color w:val="000000"/>
                <w:lang w:val="en-CA"/>
              </w:rPr>
              <w:t xml:space="preserve"> 28‑37. </w:t>
            </w:r>
            <w:hyperlink r:id="rId462">
              <w:r w:rsidRPr="005D545E">
                <w:rPr>
                  <w:color w:val="4F81BD"/>
                  <w:lang w:val="en-CA"/>
                </w:rPr>
                <w:t>https://doi.org/10.1016/j.jas.2006.03.010</w:t>
              </w:r>
            </w:hyperlink>
            <w:r w:rsidRPr="005D545E">
              <w:rPr>
                <w:color w:val="000000"/>
                <w:lang w:val="en-CA"/>
              </w:rPr>
              <w:t>.</w:t>
            </w:r>
          </w:p>
        </w:tc>
      </w:tr>
      <w:tr w:rsidR="00BF18CF" w:rsidRPr="009F53E4" w14:paraId="6A382CA5" w14:textId="77777777" w:rsidTr="00BF18CF">
        <w:tc>
          <w:tcPr>
            <w:tcW w:w="10690" w:type="dxa"/>
          </w:tcPr>
          <w:p w14:paraId="520D7B18"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Barton, Stephen Jonathan. 1992. </w:t>
            </w:r>
            <w:r w:rsidRPr="00EE61A5">
              <w:rPr>
                <w:i/>
                <w:color w:val="000000"/>
                <w:lang w:val="en-CA"/>
              </w:rPr>
              <w:t>The study of an electrically insulating resin for humid environments.</w:t>
            </w:r>
            <w:r w:rsidRPr="00EE61A5">
              <w:rPr>
                <w:color w:val="000000"/>
                <w:lang w:val="en-CA"/>
              </w:rPr>
              <w:t xml:space="preserve"> </w:t>
            </w:r>
            <w:r w:rsidRPr="005D545E">
              <w:rPr>
                <w:color w:val="000000"/>
                <w:lang w:val="en-CA"/>
              </w:rPr>
              <w:t>Kingston University Press.</w:t>
            </w:r>
          </w:p>
        </w:tc>
      </w:tr>
      <w:tr w:rsidR="00BF18CF" w14:paraId="4213B0F8" w14:textId="77777777" w:rsidTr="00BF18CF">
        <w:tc>
          <w:tcPr>
            <w:tcW w:w="10690" w:type="dxa"/>
          </w:tcPr>
          <w:p w14:paraId="0815A97C"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Beckman, O. 1998. « Celsius, Linne and the Celsius Temperature Scale ». </w:t>
            </w:r>
            <w:r>
              <w:rPr>
                <w:i/>
                <w:color w:val="000000"/>
              </w:rPr>
              <w:t>Bulletin of the Scientific Instrument Society</w:t>
            </w:r>
            <w:r>
              <w:rPr>
                <w:color w:val="000000"/>
              </w:rPr>
              <w:t xml:space="preserve"> 56 : 17‑23.</w:t>
            </w:r>
          </w:p>
        </w:tc>
      </w:tr>
      <w:tr w:rsidR="00BF18CF" w14:paraId="2404C00F" w14:textId="77777777" w:rsidTr="00BF18CF">
        <w:tc>
          <w:tcPr>
            <w:tcW w:w="10690" w:type="dxa"/>
          </w:tcPr>
          <w:p w14:paraId="0878F968" w14:textId="77777777" w:rsidR="00BF18CF" w:rsidRDefault="00E51347">
            <w:pPr>
              <w:pBdr>
                <w:top w:val="nil"/>
                <w:left w:val="nil"/>
                <w:bottom w:val="nil"/>
                <w:right w:val="nil"/>
                <w:between w:val="nil"/>
              </w:pBdr>
              <w:spacing w:before="36" w:after="36"/>
              <w:rPr>
                <w:color w:val="000000"/>
              </w:rPr>
            </w:pPr>
            <w:r>
              <w:rPr>
                <w:color w:val="000000"/>
              </w:rPr>
              <w:t xml:space="preserve">Bekiari, Chryssoula, Martin Doerr, Patrick Le Boeuf, et Pat Riva, dir. 2015. </w:t>
            </w:r>
            <w:r w:rsidRPr="00EE61A5">
              <w:rPr>
                <w:i/>
                <w:color w:val="000000"/>
                <w:lang w:val="en-CA"/>
              </w:rPr>
              <w:t>FRBR, object-oriented definition and mapping from FRBRER, FRAD and FRSAD</w:t>
            </w:r>
            <w:r w:rsidRPr="00EE61A5">
              <w:rPr>
                <w:color w:val="000000"/>
                <w:lang w:val="en-CA"/>
              </w:rPr>
              <w:t xml:space="preserve">. </w:t>
            </w:r>
            <w:hyperlink r:id="rId463">
              <w:r>
                <w:rPr>
                  <w:color w:val="4F81BD"/>
                </w:rPr>
                <w:t>http://www.cidoc-crm.org/frbroo/sites/default/files/FRBRoo_V2.4.pdf</w:t>
              </w:r>
            </w:hyperlink>
            <w:r>
              <w:rPr>
                <w:color w:val="000000"/>
              </w:rPr>
              <w:t>.</w:t>
            </w:r>
          </w:p>
        </w:tc>
      </w:tr>
      <w:tr w:rsidR="00BF18CF" w:rsidRPr="000467B7" w14:paraId="31DC9612" w14:textId="77777777" w:rsidTr="00BF18CF">
        <w:tc>
          <w:tcPr>
            <w:tcW w:w="10690" w:type="dxa"/>
          </w:tcPr>
          <w:p w14:paraId="6548B88B" w14:textId="77777777" w:rsidR="00BF18CF" w:rsidRPr="004B3086" w:rsidRDefault="00E51347">
            <w:pPr>
              <w:pBdr>
                <w:top w:val="nil"/>
                <w:left w:val="nil"/>
                <w:bottom w:val="nil"/>
                <w:right w:val="nil"/>
                <w:between w:val="nil"/>
              </w:pBdr>
              <w:spacing w:before="36" w:after="36"/>
              <w:rPr>
                <w:color w:val="000000"/>
                <w:lang w:val="en-CA"/>
              </w:rPr>
            </w:pPr>
            <w:r w:rsidRPr="00EE61A5">
              <w:rPr>
                <w:color w:val="000000"/>
                <w:lang w:val="en-CA"/>
              </w:rPr>
              <w:t xml:space="preserve">Benaki Museum. 2016. « Childhood, Toys and Games - Benaki Museum ». 2016. </w:t>
            </w:r>
            <w:hyperlink r:id="rId464">
              <w:r w:rsidRPr="004B3086">
                <w:rPr>
                  <w:color w:val="4F81BD"/>
                  <w:lang w:val="en-CA"/>
                </w:rPr>
                <w:t>https://www.benaki.org//index.php?option=com_collections&amp;view=collection&amp;id=45&amp;Itemid=540&amp;lang=en</w:t>
              </w:r>
            </w:hyperlink>
            <w:r w:rsidRPr="004B3086">
              <w:rPr>
                <w:color w:val="000000"/>
                <w:lang w:val="en-CA"/>
              </w:rPr>
              <w:t>.</w:t>
            </w:r>
          </w:p>
        </w:tc>
      </w:tr>
      <w:tr w:rsidR="00BF18CF" w:rsidRPr="00103833" w14:paraId="29146170" w14:textId="77777777" w:rsidTr="00BF18CF">
        <w:tc>
          <w:tcPr>
            <w:tcW w:w="10690" w:type="dxa"/>
          </w:tcPr>
          <w:p w14:paraId="767607C1"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Berkoff, Steven. 2013. </w:t>
            </w:r>
            <w:r w:rsidRPr="00EE61A5">
              <w:rPr>
                <w:i/>
                <w:color w:val="000000"/>
                <w:lang w:val="en-CA"/>
              </w:rPr>
              <w:t>Sturm und Drang</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Bloomsbury. </w:t>
            </w:r>
            <w:hyperlink r:id="rId465">
              <w:r w:rsidRPr="00EE61A5">
                <w:rPr>
                  <w:color w:val="4F81BD"/>
                  <w:lang w:val="en-CA"/>
                </w:rPr>
                <w:t>http://dx.doi.org/10.5040/9780571291168.00000104</w:t>
              </w:r>
            </w:hyperlink>
            <w:r w:rsidRPr="00EE61A5">
              <w:rPr>
                <w:color w:val="000000"/>
                <w:lang w:val="en-CA"/>
              </w:rPr>
              <w:t>.</w:t>
            </w:r>
          </w:p>
        </w:tc>
      </w:tr>
      <w:tr w:rsidR="00BF18CF" w14:paraId="051E2046" w14:textId="77777777" w:rsidTr="00BF18CF">
        <w:tc>
          <w:tcPr>
            <w:tcW w:w="10690" w:type="dxa"/>
          </w:tcPr>
          <w:p w14:paraId="0DEAD5F0"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 Berlin Wall built ». s. d. HISTORY. </w:t>
            </w:r>
            <w:r>
              <w:rPr>
                <w:color w:val="000000"/>
              </w:rPr>
              <w:t xml:space="preserve">Consulté le 6 février 2021. </w:t>
            </w:r>
            <w:hyperlink r:id="rId466">
              <w:r>
                <w:rPr>
                  <w:color w:val="4F81BD"/>
                </w:rPr>
                <w:t>https://www.history.com/this-day-in-history/berlin-wall-built</w:t>
              </w:r>
            </w:hyperlink>
            <w:r>
              <w:rPr>
                <w:color w:val="000000"/>
              </w:rPr>
              <w:t>.</w:t>
            </w:r>
          </w:p>
        </w:tc>
      </w:tr>
      <w:tr w:rsidR="00BF18CF" w14:paraId="0481F749" w14:textId="77777777" w:rsidTr="00BF18CF">
        <w:tc>
          <w:tcPr>
            <w:tcW w:w="10690" w:type="dxa"/>
          </w:tcPr>
          <w:p w14:paraId="6FC8C6DD" w14:textId="77777777" w:rsidR="00BF18CF" w:rsidRDefault="00E51347">
            <w:pPr>
              <w:pBdr>
                <w:top w:val="nil"/>
                <w:left w:val="nil"/>
                <w:bottom w:val="nil"/>
                <w:right w:val="nil"/>
                <w:between w:val="nil"/>
              </w:pBdr>
              <w:spacing w:before="36" w:after="36"/>
              <w:rPr>
                <w:color w:val="000000"/>
              </w:rPr>
            </w:pPr>
            <w:r>
              <w:rPr>
                <w:color w:val="000000"/>
              </w:rPr>
              <w:t xml:space="preserve">Bertaud, Jean-Paul. 2004. </w:t>
            </w:r>
            <w:r>
              <w:rPr>
                <w:i/>
                <w:color w:val="000000"/>
              </w:rPr>
              <w:t xml:space="preserve">La </w:t>
            </w:r>
            <w:proofErr w:type="gramStart"/>
            <w:r>
              <w:rPr>
                <w:i/>
                <w:color w:val="000000"/>
              </w:rPr>
              <w:t>révolution</w:t>
            </w:r>
            <w:proofErr w:type="gramEnd"/>
            <w:r>
              <w:rPr>
                <w:i/>
                <w:color w:val="000000"/>
              </w:rPr>
              <w:t xml:space="preserve"> française</w:t>
            </w:r>
            <w:r>
              <w:rPr>
                <w:color w:val="000000"/>
              </w:rPr>
              <w:t>. Paris, FR-75 : Perrin.</w:t>
            </w:r>
          </w:p>
        </w:tc>
      </w:tr>
      <w:tr w:rsidR="00BF18CF" w:rsidRPr="000467B7" w14:paraId="3D9494F6" w14:textId="77777777" w:rsidTr="00BF18CF">
        <w:tc>
          <w:tcPr>
            <w:tcW w:w="10690" w:type="dxa"/>
          </w:tcPr>
          <w:p w14:paraId="08F86DAF"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Bieber, Margarete. 1961. </w:t>
            </w:r>
            <w:r w:rsidRPr="00EE61A5">
              <w:rPr>
                <w:i/>
                <w:color w:val="000000"/>
                <w:lang w:val="en-CA"/>
              </w:rPr>
              <w:t>The Sculpture of the Hellenistic Age - Revised Edition</w:t>
            </w:r>
            <w:r w:rsidRPr="00EE61A5">
              <w:rPr>
                <w:color w:val="000000"/>
                <w:lang w:val="en-CA"/>
              </w:rPr>
              <w:t xml:space="preserve">. </w:t>
            </w:r>
            <w:r w:rsidRPr="005D545E">
              <w:rPr>
                <w:color w:val="000000"/>
                <w:lang w:val="en-CA"/>
              </w:rPr>
              <w:t>New York, US-</w:t>
            </w:r>
            <w:proofErr w:type="gramStart"/>
            <w:r w:rsidRPr="005D545E">
              <w:rPr>
                <w:color w:val="000000"/>
                <w:lang w:val="en-CA"/>
              </w:rPr>
              <w:t>NY :</w:t>
            </w:r>
            <w:proofErr w:type="gramEnd"/>
            <w:r w:rsidRPr="005D545E">
              <w:rPr>
                <w:color w:val="000000"/>
                <w:lang w:val="en-CA"/>
              </w:rPr>
              <w:t xml:space="preserve"> Columbia University Press.</w:t>
            </w:r>
          </w:p>
        </w:tc>
      </w:tr>
      <w:tr w:rsidR="00BF18CF" w:rsidRPr="000467B7" w14:paraId="53D8B652" w14:textId="77777777" w:rsidTr="00BF18CF">
        <w:tc>
          <w:tcPr>
            <w:tcW w:w="10690" w:type="dxa"/>
          </w:tcPr>
          <w:p w14:paraId="082378AA"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Black, Jeremy. 2010. </w:t>
            </w:r>
            <w:r w:rsidRPr="00EE61A5">
              <w:rPr>
                <w:i/>
                <w:color w:val="000000"/>
                <w:lang w:val="en-CA"/>
              </w:rPr>
              <w:t>The Battle of Waterloo</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Random House.</w:t>
            </w:r>
          </w:p>
        </w:tc>
      </w:tr>
      <w:tr w:rsidR="00BF18CF" w14:paraId="4FAC64BE" w14:textId="77777777" w:rsidTr="00BF18CF">
        <w:tc>
          <w:tcPr>
            <w:tcW w:w="10690" w:type="dxa"/>
          </w:tcPr>
          <w:p w14:paraId="3BD75A35"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Blake, S. F. 1918. « Notes on the Clayton Herbarium ». </w:t>
            </w:r>
            <w:r>
              <w:rPr>
                <w:i/>
                <w:color w:val="000000"/>
              </w:rPr>
              <w:t>Rhodora</w:t>
            </w:r>
            <w:r>
              <w:rPr>
                <w:color w:val="000000"/>
              </w:rPr>
              <w:t xml:space="preserve"> 20 (230) : 21‑28, 48‑54, 65‑73.</w:t>
            </w:r>
          </w:p>
        </w:tc>
      </w:tr>
      <w:tr w:rsidR="00BF18CF" w:rsidRPr="009F53E4" w14:paraId="0A210E41" w14:textId="77777777" w:rsidTr="00BF18CF">
        <w:tc>
          <w:tcPr>
            <w:tcW w:w="10690" w:type="dxa"/>
          </w:tcPr>
          <w:p w14:paraId="23A19D6C"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Bleicken, Jochen, et Anthea Bell. 2015. </w:t>
            </w:r>
            <w:r w:rsidRPr="00EE61A5">
              <w:rPr>
                <w:i/>
                <w:color w:val="000000"/>
                <w:lang w:val="en-CA"/>
              </w:rPr>
              <w:t>Augustus: the biography</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Allen Lane.</w:t>
            </w:r>
          </w:p>
        </w:tc>
      </w:tr>
      <w:tr w:rsidR="00BF18CF" w:rsidRPr="005D545E" w14:paraId="1749AC5F" w14:textId="77777777" w:rsidTr="00BF18CF">
        <w:tc>
          <w:tcPr>
            <w:tcW w:w="10690" w:type="dxa"/>
          </w:tcPr>
          <w:p w14:paraId="312C9B2C"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Bonney, Richard. 2014. </w:t>
            </w:r>
            <w:r w:rsidRPr="00EE61A5">
              <w:rPr>
                <w:i/>
                <w:color w:val="000000"/>
                <w:lang w:val="en-CA"/>
              </w:rPr>
              <w:t>The Thirty years’ war: 1618-1648</w:t>
            </w:r>
            <w:r w:rsidRPr="00EE61A5">
              <w:rPr>
                <w:color w:val="000000"/>
                <w:lang w:val="en-CA"/>
              </w:rPr>
              <w:t xml:space="preserve">. </w:t>
            </w:r>
            <w:r w:rsidRPr="005D545E">
              <w:rPr>
                <w:color w:val="000000"/>
                <w:lang w:val="en-CA"/>
              </w:rPr>
              <w:t>Oxford, GB-</w:t>
            </w:r>
            <w:proofErr w:type="gramStart"/>
            <w:r w:rsidRPr="005D545E">
              <w:rPr>
                <w:color w:val="000000"/>
                <w:lang w:val="en-CA"/>
              </w:rPr>
              <w:t>OXF :</w:t>
            </w:r>
            <w:proofErr w:type="gramEnd"/>
            <w:r w:rsidRPr="005D545E">
              <w:rPr>
                <w:color w:val="000000"/>
                <w:lang w:val="en-CA"/>
              </w:rPr>
              <w:t xml:space="preserve"> Osprey.</w:t>
            </w:r>
          </w:p>
        </w:tc>
      </w:tr>
      <w:tr w:rsidR="00BF18CF" w:rsidRPr="000467B7" w14:paraId="756ECD63" w14:textId="77777777" w:rsidTr="00BF18CF">
        <w:tc>
          <w:tcPr>
            <w:tcW w:w="10690" w:type="dxa"/>
          </w:tcPr>
          <w:p w14:paraId="006673A2"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lastRenderedPageBreak/>
              <w:t xml:space="preserve">Borchert, Till-Holger. 2008. </w:t>
            </w:r>
            <w:r w:rsidRPr="00EE61A5">
              <w:rPr>
                <w:i/>
                <w:color w:val="000000"/>
                <w:lang w:val="en-CA"/>
              </w:rPr>
              <w:t>Jan van Eyck</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Taschen.</w:t>
            </w:r>
          </w:p>
        </w:tc>
      </w:tr>
      <w:tr w:rsidR="00BF18CF" w14:paraId="0A7A02B0" w14:textId="77777777" w:rsidTr="00BF18CF">
        <w:tc>
          <w:tcPr>
            <w:tcW w:w="10690" w:type="dxa"/>
          </w:tcPr>
          <w:p w14:paraId="36CA505E" w14:textId="77777777" w:rsidR="00BF18CF" w:rsidRDefault="00E51347">
            <w:pPr>
              <w:pBdr>
                <w:top w:val="nil"/>
                <w:left w:val="nil"/>
                <w:bottom w:val="nil"/>
                <w:right w:val="nil"/>
                <w:between w:val="nil"/>
              </w:pBdr>
              <w:spacing w:before="36" w:after="36"/>
              <w:rPr>
                <w:color w:val="000000"/>
              </w:rPr>
            </w:pPr>
            <w:r>
              <w:rPr>
                <w:color w:val="000000"/>
              </w:rPr>
              <w:t xml:space="preserve">Bortolatto, Luigina Rossi. 1981. </w:t>
            </w:r>
            <w:r>
              <w:rPr>
                <w:i/>
                <w:color w:val="000000"/>
              </w:rPr>
              <w:t>Tout l’œuvre peint de Monet: 1870-1889</w:t>
            </w:r>
            <w:r>
              <w:rPr>
                <w:color w:val="000000"/>
              </w:rPr>
              <w:t>. Paris, FR-75 : Flammarion Groupe.</w:t>
            </w:r>
          </w:p>
        </w:tc>
      </w:tr>
      <w:tr w:rsidR="00BF18CF" w:rsidRPr="000467B7" w14:paraId="12463796" w14:textId="77777777" w:rsidTr="00BF18CF">
        <w:tc>
          <w:tcPr>
            <w:tcW w:w="10690" w:type="dxa"/>
          </w:tcPr>
          <w:p w14:paraId="05C5D9EE"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Boyer, Martha. 1959. </w:t>
            </w:r>
            <w:r w:rsidRPr="00EE61A5">
              <w:rPr>
                <w:i/>
                <w:color w:val="000000"/>
                <w:lang w:val="en-CA"/>
              </w:rPr>
              <w:t>Japanese export lacquers from the seventeenth century in the National Museum of Denmark</w:t>
            </w:r>
            <w:r w:rsidRPr="00EE61A5">
              <w:rPr>
                <w:color w:val="000000"/>
                <w:lang w:val="en-CA"/>
              </w:rPr>
              <w:t xml:space="preserve">. </w:t>
            </w:r>
            <w:r w:rsidRPr="005D545E">
              <w:rPr>
                <w:color w:val="000000"/>
                <w:lang w:val="en-CA"/>
              </w:rPr>
              <w:t>Copenhague, DK-</w:t>
            </w:r>
            <w:proofErr w:type="gramStart"/>
            <w:r w:rsidRPr="005D545E">
              <w:rPr>
                <w:color w:val="000000"/>
                <w:lang w:val="en-CA"/>
              </w:rPr>
              <w:t>84 :</w:t>
            </w:r>
            <w:proofErr w:type="gramEnd"/>
            <w:r w:rsidRPr="005D545E">
              <w:rPr>
                <w:color w:val="000000"/>
                <w:lang w:val="en-CA"/>
              </w:rPr>
              <w:t xml:space="preserve"> National Museum.</w:t>
            </w:r>
          </w:p>
        </w:tc>
      </w:tr>
      <w:tr w:rsidR="00BF18CF" w:rsidRPr="000467B7" w14:paraId="68AB6088" w14:textId="77777777" w:rsidTr="00BF18CF">
        <w:tc>
          <w:tcPr>
            <w:tcW w:w="10690" w:type="dxa"/>
          </w:tcPr>
          <w:p w14:paraId="2ACF2AD8"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Braithwaite, A. 1977. </w:t>
            </w:r>
            <w:r w:rsidRPr="00EE61A5">
              <w:rPr>
                <w:i/>
                <w:color w:val="000000"/>
                <w:lang w:val="en-CA"/>
              </w:rPr>
              <w:t>Bath from Roman time.</w:t>
            </w:r>
            <w:r w:rsidRPr="00EE61A5">
              <w:rPr>
                <w:color w:val="000000"/>
                <w:lang w:val="en-CA"/>
              </w:rPr>
              <w:t xml:space="preserve"> Cambridge, GB-</w:t>
            </w:r>
            <w:proofErr w:type="gramStart"/>
            <w:r w:rsidRPr="00EE61A5">
              <w:rPr>
                <w:color w:val="000000"/>
                <w:lang w:val="en-CA"/>
              </w:rPr>
              <w:t>CAM :</w:t>
            </w:r>
            <w:proofErr w:type="gramEnd"/>
            <w:r w:rsidRPr="00EE61A5">
              <w:rPr>
                <w:color w:val="000000"/>
                <w:lang w:val="en-CA"/>
              </w:rPr>
              <w:t xml:space="preserve"> Dinosaur Publications for Bath City Council.</w:t>
            </w:r>
          </w:p>
        </w:tc>
      </w:tr>
      <w:tr w:rsidR="00BF18CF" w14:paraId="3B169D84" w14:textId="77777777" w:rsidTr="00BF18CF">
        <w:tc>
          <w:tcPr>
            <w:tcW w:w="10690" w:type="dxa"/>
          </w:tcPr>
          <w:p w14:paraId="11A326DD"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Brandreth, G. 2004. </w:t>
            </w:r>
            <w:r w:rsidRPr="00EE61A5">
              <w:rPr>
                <w:i/>
                <w:color w:val="000000"/>
                <w:lang w:val="en-CA"/>
              </w:rPr>
              <w:t>Philip &amp; Elizabeth: Portait of a marriage</w:t>
            </w:r>
            <w:r w:rsidRPr="00EE61A5">
              <w:rPr>
                <w:color w:val="000000"/>
                <w:lang w:val="en-CA"/>
              </w:rPr>
              <w:t xml:space="preserve">. </w:t>
            </w:r>
            <w:r>
              <w:rPr>
                <w:color w:val="000000"/>
              </w:rPr>
              <w:t>Londres, GB-LND : Arrow.</w:t>
            </w:r>
          </w:p>
        </w:tc>
      </w:tr>
      <w:tr w:rsidR="00BF18CF" w14:paraId="03C78B43" w14:textId="77777777" w:rsidTr="00BF18CF">
        <w:tc>
          <w:tcPr>
            <w:tcW w:w="10690" w:type="dxa"/>
          </w:tcPr>
          <w:p w14:paraId="6DA59164" w14:textId="77777777" w:rsidR="00BF18CF" w:rsidRDefault="00E51347">
            <w:pPr>
              <w:pBdr>
                <w:top w:val="nil"/>
                <w:left w:val="nil"/>
                <w:bottom w:val="nil"/>
                <w:right w:val="nil"/>
                <w:between w:val="nil"/>
              </w:pBdr>
              <w:spacing w:before="36" w:after="36"/>
              <w:rPr>
                <w:color w:val="000000"/>
              </w:rPr>
            </w:pPr>
            <w:r>
              <w:rPr>
                <w:color w:val="000000"/>
              </w:rPr>
              <w:t xml:space="preserve">Brandstetter, Gabriele, et Gabriele Klein. 2015. </w:t>
            </w:r>
            <w:r>
              <w:rPr>
                <w:i/>
                <w:color w:val="000000"/>
              </w:rPr>
              <w:t>Methoden der Tanzwissenschaft: Modellanalysen zu Pina Bauschs « Le Sacre du Printemps/Das Frühlingsopfer »</w:t>
            </w:r>
            <w:r>
              <w:rPr>
                <w:color w:val="000000"/>
              </w:rPr>
              <w:t>. Bielefeld, DE-NI : Transcript.</w:t>
            </w:r>
          </w:p>
        </w:tc>
      </w:tr>
      <w:tr w:rsidR="00BF18CF" w:rsidRPr="000467B7" w14:paraId="531DD4B2" w14:textId="77777777" w:rsidTr="00BF18CF">
        <w:tc>
          <w:tcPr>
            <w:tcW w:w="10690" w:type="dxa"/>
          </w:tcPr>
          <w:p w14:paraId="19364C67"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Breasted, James Henry. 1906. </w:t>
            </w:r>
            <w:r w:rsidRPr="00EE61A5">
              <w:rPr>
                <w:i/>
                <w:color w:val="000000"/>
                <w:lang w:val="en-CA"/>
              </w:rPr>
              <w:t>Ancient records</w:t>
            </w:r>
            <w:r w:rsidRPr="00EE61A5">
              <w:rPr>
                <w:color w:val="000000"/>
                <w:lang w:val="en-CA"/>
              </w:rPr>
              <w:t>. Chicago, US-</w:t>
            </w:r>
            <w:proofErr w:type="gramStart"/>
            <w:r w:rsidRPr="00EE61A5">
              <w:rPr>
                <w:color w:val="000000"/>
                <w:lang w:val="en-CA"/>
              </w:rPr>
              <w:t>IL :</w:t>
            </w:r>
            <w:proofErr w:type="gramEnd"/>
            <w:r w:rsidRPr="00EE61A5">
              <w:rPr>
                <w:color w:val="000000"/>
                <w:lang w:val="en-CA"/>
              </w:rPr>
              <w:t xml:space="preserve"> University of Chicago Press.</w:t>
            </w:r>
          </w:p>
        </w:tc>
      </w:tr>
      <w:tr w:rsidR="00BF18CF" w:rsidRPr="000467B7" w14:paraId="4E03DDDB" w14:textId="77777777" w:rsidTr="00BF18CF">
        <w:tc>
          <w:tcPr>
            <w:tcW w:w="10690" w:type="dxa"/>
          </w:tcPr>
          <w:p w14:paraId="3A75A33B"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Brickhill, Paul. 2001. </w:t>
            </w:r>
            <w:r w:rsidRPr="00EE61A5">
              <w:rPr>
                <w:i/>
                <w:color w:val="000000"/>
                <w:lang w:val="en-CA"/>
              </w:rPr>
              <w:t>Reach for the sky: the story of Douglas Bader, legless ace of the Battle of Britain</w:t>
            </w:r>
            <w:r w:rsidRPr="00EE61A5">
              <w:rPr>
                <w:color w:val="000000"/>
                <w:lang w:val="en-CA"/>
              </w:rPr>
              <w:t xml:space="preserve">. </w:t>
            </w:r>
            <w:r w:rsidRPr="005D545E">
              <w:rPr>
                <w:color w:val="000000"/>
                <w:lang w:val="en-CA"/>
              </w:rPr>
              <w:t>Annapolis, US-</w:t>
            </w:r>
            <w:proofErr w:type="gramStart"/>
            <w:r w:rsidRPr="005D545E">
              <w:rPr>
                <w:color w:val="000000"/>
                <w:lang w:val="en-CA"/>
              </w:rPr>
              <w:t>MD :</w:t>
            </w:r>
            <w:proofErr w:type="gramEnd"/>
            <w:r w:rsidRPr="005D545E">
              <w:rPr>
                <w:color w:val="000000"/>
                <w:lang w:val="en-CA"/>
              </w:rPr>
              <w:t xml:space="preserve"> Naval Institute Press.</w:t>
            </w:r>
          </w:p>
        </w:tc>
      </w:tr>
      <w:tr w:rsidR="00BF18CF" w:rsidRPr="000467B7" w14:paraId="43601B08" w14:textId="77777777" w:rsidTr="00BF18CF">
        <w:tc>
          <w:tcPr>
            <w:tcW w:w="10690" w:type="dxa"/>
          </w:tcPr>
          <w:p w14:paraId="05630915"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Brilliant, Richard. 2000. </w:t>
            </w:r>
            <w:r w:rsidRPr="00EE61A5">
              <w:rPr>
                <w:i/>
                <w:color w:val="000000"/>
                <w:lang w:val="en-CA"/>
              </w:rPr>
              <w:t>My Laocoön: alternative claims in the interpretation of artworks</w:t>
            </w:r>
            <w:r w:rsidRPr="00EE61A5">
              <w:rPr>
                <w:color w:val="000000"/>
                <w:lang w:val="en-CA"/>
              </w:rPr>
              <w:t xml:space="preserve">. </w:t>
            </w:r>
            <w:r w:rsidRPr="005D545E">
              <w:rPr>
                <w:color w:val="000000"/>
                <w:lang w:val="en-CA"/>
              </w:rPr>
              <w:t>Berkeley, US-</w:t>
            </w:r>
            <w:proofErr w:type="gramStart"/>
            <w:r w:rsidRPr="005D545E">
              <w:rPr>
                <w:color w:val="000000"/>
                <w:lang w:val="en-CA"/>
              </w:rPr>
              <w:t>CA :</w:t>
            </w:r>
            <w:proofErr w:type="gramEnd"/>
            <w:r w:rsidRPr="005D545E">
              <w:rPr>
                <w:color w:val="000000"/>
                <w:lang w:val="en-CA"/>
              </w:rPr>
              <w:t xml:space="preserve"> Univ. of California Press.</w:t>
            </w:r>
          </w:p>
        </w:tc>
      </w:tr>
      <w:tr w:rsidR="00BF18CF" w14:paraId="0664298F" w14:textId="77777777" w:rsidTr="00BF18CF">
        <w:tc>
          <w:tcPr>
            <w:tcW w:w="10690" w:type="dxa"/>
          </w:tcPr>
          <w:p w14:paraId="58F9E8C8" w14:textId="77777777" w:rsidR="00BF18CF" w:rsidRDefault="00E51347">
            <w:pPr>
              <w:pBdr>
                <w:top w:val="nil"/>
                <w:left w:val="nil"/>
                <w:bottom w:val="nil"/>
                <w:right w:val="nil"/>
                <w:between w:val="nil"/>
              </w:pBdr>
              <w:spacing w:before="36" w:after="36"/>
              <w:rPr>
                <w:color w:val="000000"/>
              </w:rPr>
            </w:pPr>
            <w:r>
              <w:rPr>
                <w:color w:val="000000"/>
              </w:rPr>
              <w:t xml:space="preserve">Briquet, Charles-Moïse. 1985. </w:t>
            </w:r>
            <w:r>
              <w:rPr>
                <w:i/>
                <w:color w:val="000000"/>
              </w:rPr>
              <w:t>Les filigranes: dictionnaire historique des marques du papier : dès leur apparition vers 1282 jusqu’en 1600</w:t>
            </w:r>
            <w:r>
              <w:rPr>
                <w:color w:val="000000"/>
              </w:rPr>
              <w:t>. New York, US-NY : Hacker art Books.</w:t>
            </w:r>
          </w:p>
        </w:tc>
      </w:tr>
      <w:tr w:rsidR="00BF18CF" w:rsidRPr="000467B7" w14:paraId="1707419D" w14:textId="77777777" w:rsidTr="00BF18CF">
        <w:tc>
          <w:tcPr>
            <w:tcW w:w="10690" w:type="dxa"/>
          </w:tcPr>
          <w:p w14:paraId="4B9B11D0"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British Museum. 1972. </w:t>
            </w:r>
            <w:r w:rsidRPr="00EE61A5">
              <w:rPr>
                <w:i/>
                <w:color w:val="000000"/>
                <w:lang w:val="en-CA"/>
              </w:rPr>
              <w:t>Treasures of Tutankhamun.</w:t>
            </w:r>
            <w:r w:rsidRPr="00EE61A5">
              <w:rPr>
                <w:color w:val="000000"/>
                <w:lang w:val="en-CA"/>
              </w:rPr>
              <w:t xml:space="preserve"> Londres, GB-</w:t>
            </w:r>
            <w:proofErr w:type="gramStart"/>
            <w:r w:rsidRPr="00EE61A5">
              <w:rPr>
                <w:color w:val="000000"/>
                <w:lang w:val="en-CA"/>
              </w:rPr>
              <w:t>LND :</w:t>
            </w:r>
            <w:proofErr w:type="gramEnd"/>
            <w:r w:rsidRPr="00EE61A5">
              <w:rPr>
                <w:color w:val="000000"/>
                <w:lang w:val="en-CA"/>
              </w:rPr>
              <w:t xml:space="preserve"> British Museum.</w:t>
            </w:r>
          </w:p>
        </w:tc>
      </w:tr>
      <w:tr w:rsidR="00BF18CF" w:rsidRPr="000467B7" w14:paraId="4A60228D" w14:textId="77777777" w:rsidTr="00BF18CF">
        <w:tc>
          <w:tcPr>
            <w:tcW w:w="10690" w:type="dxa"/>
          </w:tcPr>
          <w:p w14:paraId="0C6CF0D7"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British Museum, et George Francis Hill. 1922. </w:t>
            </w:r>
            <w:r w:rsidRPr="00EE61A5">
              <w:rPr>
                <w:i/>
                <w:color w:val="000000"/>
                <w:lang w:val="en-CA"/>
              </w:rPr>
              <w:t xml:space="preserve">Catalogue of the Greek coins of Arabia, </w:t>
            </w:r>
            <w:proofErr w:type="gramStart"/>
            <w:r w:rsidRPr="00EE61A5">
              <w:rPr>
                <w:i/>
                <w:color w:val="000000"/>
                <w:lang w:val="en-CA"/>
              </w:rPr>
              <w:t>Mesopotamia</w:t>
            </w:r>
            <w:proofErr w:type="gramEnd"/>
            <w:r w:rsidRPr="00EE61A5">
              <w:rPr>
                <w:i/>
                <w:color w:val="000000"/>
                <w:lang w:val="en-CA"/>
              </w:rPr>
              <w:t xml:space="preserve"> and Persia (Nabataea, Arabia Provincia, S. Arabia, Mesopotamia, Babylonia, Assyria, Persia, Alexandrine empire of the East, Persis, Elymais, Characene</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British Museum.</w:t>
            </w:r>
          </w:p>
        </w:tc>
      </w:tr>
      <w:tr w:rsidR="00BF18CF" w:rsidRPr="000467B7" w14:paraId="3C66ADB2" w14:textId="77777777" w:rsidTr="00BF18CF">
        <w:tc>
          <w:tcPr>
            <w:tcW w:w="10690" w:type="dxa"/>
          </w:tcPr>
          <w:p w14:paraId="651A48C6"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Britton, Andrew. 2012. </w:t>
            </w:r>
            <w:r w:rsidRPr="00EE61A5">
              <w:rPr>
                <w:i/>
                <w:color w:val="000000"/>
                <w:lang w:val="en-CA"/>
              </w:rPr>
              <w:t>RMS Queen Mary</w:t>
            </w:r>
            <w:r w:rsidRPr="00EE61A5">
              <w:rPr>
                <w:color w:val="000000"/>
                <w:lang w:val="en-CA"/>
              </w:rPr>
              <w:t>. Stroud, GB-</w:t>
            </w:r>
            <w:proofErr w:type="gramStart"/>
            <w:r w:rsidRPr="00EE61A5">
              <w:rPr>
                <w:color w:val="000000"/>
                <w:lang w:val="en-CA"/>
              </w:rPr>
              <w:t>GLS :</w:t>
            </w:r>
            <w:proofErr w:type="gramEnd"/>
            <w:r w:rsidRPr="00EE61A5">
              <w:rPr>
                <w:color w:val="000000"/>
                <w:lang w:val="en-CA"/>
              </w:rPr>
              <w:t xml:space="preserve"> The History Press Ltd.</w:t>
            </w:r>
          </w:p>
        </w:tc>
      </w:tr>
      <w:tr w:rsidR="00BF18CF" w:rsidRPr="000467B7" w14:paraId="217203A9" w14:textId="77777777" w:rsidTr="00BF18CF">
        <w:tc>
          <w:tcPr>
            <w:tcW w:w="10690" w:type="dxa"/>
          </w:tcPr>
          <w:p w14:paraId="4A22505E"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Brooks, John A. 1973. </w:t>
            </w:r>
            <w:r w:rsidRPr="00EE61A5">
              <w:rPr>
                <w:i/>
                <w:color w:val="000000"/>
                <w:lang w:val="en-CA"/>
              </w:rPr>
              <w:t>Glass</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Golden Press.</w:t>
            </w:r>
          </w:p>
        </w:tc>
      </w:tr>
      <w:tr w:rsidR="00BF18CF" w:rsidRPr="000467B7" w14:paraId="4C919829" w14:textId="77777777" w:rsidTr="00BF18CF">
        <w:tc>
          <w:tcPr>
            <w:tcW w:w="10690" w:type="dxa"/>
          </w:tcPr>
          <w:p w14:paraId="2E03383F"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Brown, Laaren, et Lenny Hort. 2006. </w:t>
            </w:r>
            <w:r w:rsidRPr="00EE61A5">
              <w:rPr>
                <w:i/>
                <w:color w:val="000000"/>
                <w:lang w:val="en-CA"/>
              </w:rPr>
              <w:t>Nelson Mandela</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DK Publ.</w:t>
            </w:r>
          </w:p>
        </w:tc>
      </w:tr>
      <w:tr w:rsidR="00BF18CF" w:rsidRPr="000467B7" w14:paraId="474E5054" w14:textId="77777777" w:rsidTr="00BF18CF">
        <w:tc>
          <w:tcPr>
            <w:tcW w:w="10690" w:type="dxa"/>
          </w:tcPr>
          <w:p w14:paraId="08873D7B"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Browning, Robert. 1980. </w:t>
            </w:r>
            <w:r w:rsidRPr="00EE61A5">
              <w:rPr>
                <w:i/>
                <w:color w:val="000000"/>
                <w:lang w:val="en-CA"/>
              </w:rPr>
              <w:t>The Byzantine Empire</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Weidenfeld and Nicolson.</w:t>
            </w:r>
          </w:p>
        </w:tc>
      </w:tr>
      <w:tr w:rsidR="00BF18CF" w:rsidRPr="000467B7" w14:paraId="395C5F86" w14:textId="77777777" w:rsidTr="00BF18CF">
        <w:tc>
          <w:tcPr>
            <w:tcW w:w="10690" w:type="dxa"/>
          </w:tcPr>
          <w:p w14:paraId="226C8CA5"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Brueggemann, Walter. 1982. </w:t>
            </w:r>
            <w:r w:rsidRPr="00EE61A5">
              <w:rPr>
                <w:i/>
                <w:color w:val="000000"/>
                <w:lang w:val="en-CA"/>
              </w:rPr>
              <w:t xml:space="preserve">Genesis: </w:t>
            </w:r>
            <w:proofErr w:type="gramStart"/>
            <w:r w:rsidRPr="00EE61A5">
              <w:rPr>
                <w:i/>
                <w:color w:val="000000"/>
                <w:lang w:val="en-CA"/>
              </w:rPr>
              <w:t>a</w:t>
            </w:r>
            <w:proofErr w:type="gramEnd"/>
            <w:r w:rsidRPr="00EE61A5">
              <w:rPr>
                <w:i/>
                <w:color w:val="000000"/>
                <w:lang w:val="en-CA"/>
              </w:rPr>
              <w:t xml:space="preserve"> Bible commentary for teaching and preaching</w:t>
            </w:r>
            <w:r w:rsidRPr="00EE61A5">
              <w:rPr>
                <w:color w:val="000000"/>
                <w:lang w:val="en-CA"/>
              </w:rPr>
              <w:t xml:space="preserve">. </w:t>
            </w:r>
            <w:r w:rsidRPr="005D545E">
              <w:rPr>
                <w:color w:val="000000"/>
                <w:lang w:val="en-CA"/>
              </w:rPr>
              <w:t>Atlanta, US-</w:t>
            </w:r>
            <w:proofErr w:type="gramStart"/>
            <w:r w:rsidRPr="005D545E">
              <w:rPr>
                <w:color w:val="000000"/>
                <w:lang w:val="en-CA"/>
              </w:rPr>
              <w:t>GA :</w:t>
            </w:r>
            <w:proofErr w:type="gramEnd"/>
            <w:r w:rsidRPr="005D545E">
              <w:rPr>
                <w:color w:val="000000"/>
                <w:lang w:val="en-CA"/>
              </w:rPr>
              <w:t xml:space="preserve"> John Knox Press.</w:t>
            </w:r>
          </w:p>
        </w:tc>
      </w:tr>
      <w:tr w:rsidR="00BF18CF" w:rsidRPr="000467B7" w14:paraId="727736A1" w14:textId="77777777" w:rsidTr="00BF18CF">
        <w:tc>
          <w:tcPr>
            <w:tcW w:w="10690" w:type="dxa"/>
          </w:tcPr>
          <w:p w14:paraId="27C95965"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Bryant, Julius. 1990. </w:t>
            </w:r>
            <w:r w:rsidRPr="00EE61A5">
              <w:rPr>
                <w:i/>
                <w:color w:val="000000"/>
                <w:lang w:val="en-CA"/>
              </w:rPr>
              <w:t>The Iveagh Bequest, Kenwood</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English Heritage Guidebooks.</w:t>
            </w:r>
          </w:p>
        </w:tc>
      </w:tr>
      <w:tr w:rsidR="00BF18CF" w:rsidRPr="000467B7" w14:paraId="246E79FC" w14:textId="77777777" w:rsidTr="00BF18CF">
        <w:tc>
          <w:tcPr>
            <w:tcW w:w="10690" w:type="dxa"/>
          </w:tcPr>
          <w:p w14:paraId="6277AE81" w14:textId="77777777" w:rsidR="00BF18CF" w:rsidRPr="00EE61A5" w:rsidRDefault="00E51347">
            <w:pPr>
              <w:pBdr>
                <w:top w:val="nil"/>
                <w:left w:val="nil"/>
                <w:bottom w:val="nil"/>
                <w:right w:val="nil"/>
                <w:between w:val="nil"/>
              </w:pBdr>
              <w:spacing w:before="36" w:after="36"/>
              <w:rPr>
                <w:color w:val="000000"/>
                <w:lang w:val="en-CA"/>
              </w:rPr>
            </w:pPr>
            <w:r>
              <w:rPr>
                <w:color w:val="000000"/>
              </w:rPr>
              <w:t xml:space="preserve">Bürger, O. 1892. « Zur Systematik der Nemertinenfauna des Golfs von Neapel ». </w:t>
            </w:r>
            <w:r w:rsidRPr="00EE61A5">
              <w:rPr>
                <w:i/>
                <w:color w:val="000000"/>
                <w:lang w:val="en-CA"/>
              </w:rPr>
              <w:t>Nachrichten von der königlichen Gesellschaft der Wissenschaften und der Georg-Augusts-Universität zu Göttingen</w:t>
            </w:r>
            <w:r w:rsidRPr="00EE61A5">
              <w:rPr>
                <w:color w:val="000000"/>
                <w:lang w:val="en-CA"/>
              </w:rPr>
              <w:t xml:space="preserve"> </w:t>
            </w:r>
            <w:proofErr w:type="gramStart"/>
            <w:r w:rsidRPr="00EE61A5">
              <w:rPr>
                <w:color w:val="000000"/>
                <w:lang w:val="en-CA"/>
              </w:rPr>
              <w:t>5 :</w:t>
            </w:r>
            <w:proofErr w:type="gramEnd"/>
            <w:r w:rsidRPr="00EE61A5">
              <w:rPr>
                <w:color w:val="000000"/>
                <w:lang w:val="en-CA"/>
              </w:rPr>
              <w:t xml:space="preserve"> 137‑78.</w:t>
            </w:r>
          </w:p>
        </w:tc>
      </w:tr>
      <w:tr w:rsidR="00BF18CF" w:rsidRPr="000467B7" w14:paraId="6D43FB26" w14:textId="77777777" w:rsidTr="00BF18CF">
        <w:tc>
          <w:tcPr>
            <w:tcW w:w="10690" w:type="dxa"/>
          </w:tcPr>
          <w:p w14:paraId="3D4A7A56"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Butson, Thomas G. 1986. </w:t>
            </w:r>
            <w:r w:rsidRPr="00EE61A5">
              <w:rPr>
                <w:i/>
                <w:color w:val="000000"/>
                <w:lang w:val="en-CA"/>
              </w:rPr>
              <w:t>Mikhail Gorbachev</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Chelsea House.</w:t>
            </w:r>
          </w:p>
        </w:tc>
      </w:tr>
      <w:tr w:rsidR="00BF18CF" w:rsidRPr="000467B7" w14:paraId="73E7DE71" w14:textId="77777777" w:rsidTr="00BF18CF">
        <w:tc>
          <w:tcPr>
            <w:tcW w:w="10690" w:type="dxa"/>
          </w:tcPr>
          <w:p w14:paraId="6406CCB3"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Cali, Joseph, John Dougill, et Geoff Ciotti. 2012. </w:t>
            </w:r>
            <w:r w:rsidRPr="00EE61A5">
              <w:rPr>
                <w:i/>
                <w:color w:val="000000"/>
                <w:lang w:val="en-CA"/>
              </w:rPr>
              <w:t>Shinto shrines: a guide to the sacred sites of Japan’s ancient religion</w:t>
            </w:r>
            <w:r w:rsidRPr="00EE61A5">
              <w:rPr>
                <w:color w:val="000000"/>
                <w:lang w:val="en-CA"/>
              </w:rPr>
              <w:t xml:space="preserve">. </w:t>
            </w:r>
            <w:r w:rsidRPr="005D545E">
              <w:rPr>
                <w:color w:val="000000"/>
                <w:lang w:val="en-CA"/>
              </w:rPr>
              <w:t>Honolulu, US-</w:t>
            </w:r>
            <w:proofErr w:type="gramStart"/>
            <w:r w:rsidRPr="005D545E">
              <w:rPr>
                <w:color w:val="000000"/>
                <w:lang w:val="en-CA"/>
              </w:rPr>
              <w:t>HI :</w:t>
            </w:r>
            <w:proofErr w:type="gramEnd"/>
            <w:r w:rsidRPr="005D545E">
              <w:rPr>
                <w:color w:val="000000"/>
                <w:lang w:val="en-CA"/>
              </w:rPr>
              <w:t xml:space="preserve"> University of Hawaiʻi Press.</w:t>
            </w:r>
          </w:p>
        </w:tc>
      </w:tr>
      <w:tr w:rsidR="00BF18CF" w:rsidRPr="00103833" w14:paraId="38F649D7" w14:textId="77777777" w:rsidTr="00BF18CF">
        <w:tc>
          <w:tcPr>
            <w:tcW w:w="10690" w:type="dxa"/>
          </w:tcPr>
          <w:p w14:paraId="214D9914"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Camardo, Domenico. 2013. « Herculaneum from the ad 79 eruption to the medieval period: analysis of the documentary, iconographic and archaeological sources, with new data on the beginning of exploration at the ancient town1 ». </w:t>
            </w:r>
            <w:r w:rsidRPr="00EE61A5">
              <w:rPr>
                <w:i/>
                <w:color w:val="000000"/>
                <w:lang w:val="en-CA"/>
              </w:rPr>
              <w:t>Papers of the British School at Rome</w:t>
            </w:r>
            <w:r w:rsidRPr="00EE61A5">
              <w:rPr>
                <w:color w:val="000000"/>
                <w:lang w:val="en-CA"/>
              </w:rPr>
              <w:t xml:space="preserve"> 81 (octobre</w:t>
            </w:r>
            <w:proofErr w:type="gramStart"/>
            <w:r w:rsidRPr="00EE61A5">
              <w:rPr>
                <w:color w:val="000000"/>
                <w:lang w:val="en-CA"/>
              </w:rPr>
              <w:t>) :</w:t>
            </w:r>
            <w:proofErr w:type="gramEnd"/>
            <w:r w:rsidRPr="00EE61A5">
              <w:rPr>
                <w:color w:val="000000"/>
                <w:lang w:val="en-CA"/>
              </w:rPr>
              <w:t xml:space="preserve"> 303‑40. </w:t>
            </w:r>
            <w:hyperlink r:id="rId467">
              <w:r w:rsidRPr="00EE61A5">
                <w:rPr>
                  <w:color w:val="4F81BD"/>
                  <w:lang w:val="en-CA"/>
                </w:rPr>
                <w:t>https://doi.org/10.1017/S0068246213000123</w:t>
              </w:r>
            </w:hyperlink>
            <w:r w:rsidRPr="00EE61A5">
              <w:rPr>
                <w:color w:val="000000"/>
                <w:lang w:val="en-CA"/>
              </w:rPr>
              <w:t>.</w:t>
            </w:r>
          </w:p>
        </w:tc>
      </w:tr>
      <w:tr w:rsidR="00BF18CF" w14:paraId="2E9FBBFE" w14:textId="77777777" w:rsidTr="00BF18CF">
        <w:tc>
          <w:tcPr>
            <w:tcW w:w="10690" w:type="dxa"/>
          </w:tcPr>
          <w:p w14:paraId="5B7B9213"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Carrington, Norman T. 1954. </w:t>
            </w:r>
            <w:r w:rsidRPr="00EE61A5">
              <w:rPr>
                <w:i/>
                <w:color w:val="000000"/>
                <w:lang w:val="en-CA"/>
              </w:rPr>
              <w:t>Shakespeare: Cymbeline.</w:t>
            </w:r>
            <w:r w:rsidRPr="00EE61A5">
              <w:rPr>
                <w:color w:val="000000"/>
                <w:lang w:val="en-CA"/>
              </w:rPr>
              <w:t xml:space="preserve"> </w:t>
            </w:r>
            <w:r>
              <w:rPr>
                <w:color w:val="000000"/>
              </w:rPr>
              <w:t>Londres, GB-LND : J. Brodie.</w:t>
            </w:r>
          </w:p>
        </w:tc>
      </w:tr>
      <w:tr w:rsidR="00BF18CF" w:rsidRPr="000467B7" w14:paraId="1899E126" w14:textId="77777777" w:rsidTr="00BF18CF">
        <w:tc>
          <w:tcPr>
            <w:tcW w:w="10690" w:type="dxa"/>
          </w:tcPr>
          <w:p w14:paraId="40FBD7FD"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Carroll, Lewis. 1981. </w:t>
            </w:r>
            <w:r w:rsidRPr="00EE61A5">
              <w:rPr>
                <w:i/>
                <w:color w:val="000000"/>
                <w:lang w:val="en-CA"/>
              </w:rPr>
              <w:t>Jabberwocky: and other poems</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Macmillan Children’s Books.</w:t>
            </w:r>
          </w:p>
        </w:tc>
      </w:tr>
      <w:tr w:rsidR="00BF18CF" w:rsidRPr="000467B7" w14:paraId="7A256E1F" w14:textId="77777777" w:rsidTr="00BF18CF">
        <w:tc>
          <w:tcPr>
            <w:tcW w:w="10690" w:type="dxa"/>
          </w:tcPr>
          <w:p w14:paraId="625F3948"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Carter, Howard. 2014. </w:t>
            </w:r>
            <w:r w:rsidRPr="00EE61A5">
              <w:rPr>
                <w:i/>
                <w:color w:val="000000"/>
                <w:lang w:val="en-CA"/>
              </w:rPr>
              <w:t>The tomb of Tutankhamun</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Bloomsbury Academic.</w:t>
            </w:r>
          </w:p>
        </w:tc>
      </w:tr>
      <w:tr w:rsidR="00BF18CF" w:rsidRPr="000467B7" w14:paraId="2AAD5542" w14:textId="77777777" w:rsidTr="00BF18CF">
        <w:tc>
          <w:tcPr>
            <w:tcW w:w="10690" w:type="dxa"/>
          </w:tcPr>
          <w:p w14:paraId="08FE9BD8" w14:textId="77777777" w:rsidR="00BF18CF" w:rsidRPr="005D545E" w:rsidRDefault="00E51347">
            <w:pPr>
              <w:pBdr>
                <w:top w:val="nil"/>
                <w:left w:val="nil"/>
                <w:bottom w:val="nil"/>
                <w:right w:val="nil"/>
                <w:between w:val="nil"/>
              </w:pBdr>
              <w:spacing w:before="36" w:after="36"/>
              <w:rPr>
                <w:color w:val="000000"/>
                <w:lang w:val="en-CA"/>
              </w:rPr>
            </w:pPr>
            <w:r>
              <w:rPr>
                <w:color w:val="000000"/>
              </w:rPr>
              <w:lastRenderedPageBreak/>
              <w:t xml:space="preserve">Carter, Howard, et A. C Mace. 1977. </w:t>
            </w:r>
            <w:r w:rsidRPr="00EE61A5">
              <w:rPr>
                <w:i/>
                <w:color w:val="000000"/>
                <w:lang w:val="en-CA"/>
              </w:rPr>
              <w:t>The discovery of the tomb of Tutankhamen</w:t>
            </w:r>
            <w:r w:rsidRPr="00EE61A5">
              <w:rPr>
                <w:color w:val="000000"/>
                <w:lang w:val="en-CA"/>
              </w:rPr>
              <w:t xml:space="preserve">. </w:t>
            </w:r>
            <w:r w:rsidRPr="005D545E">
              <w:rPr>
                <w:color w:val="000000"/>
                <w:lang w:val="en-CA"/>
              </w:rPr>
              <w:t>New York, US-</w:t>
            </w:r>
            <w:proofErr w:type="gramStart"/>
            <w:r w:rsidRPr="005D545E">
              <w:rPr>
                <w:color w:val="000000"/>
                <w:lang w:val="en-CA"/>
              </w:rPr>
              <w:t>NY :</w:t>
            </w:r>
            <w:proofErr w:type="gramEnd"/>
            <w:r w:rsidRPr="005D545E">
              <w:rPr>
                <w:color w:val="000000"/>
                <w:lang w:val="en-CA"/>
              </w:rPr>
              <w:t xml:space="preserve"> Dover Publications.</w:t>
            </w:r>
          </w:p>
        </w:tc>
      </w:tr>
      <w:tr w:rsidR="00BF18CF" w14:paraId="342DCDF0" w14:textId="77777777" w:rsidTr="00BF18CF">
        <w:tc>
          <w:tcPr>
            <w:tcW w:w="10690" w:type="dxa"/>
          </w:tcPr>
          <w:p w14:paraId="56AC89C2"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Cartwright, M. 2020. « Battle of Agincourt ». </w:t>
            </w:r>
            <w:r>
              <w:rPr>
                <w:color w:val="000000"/>
              </w:rPr>
              <w:t xml:space="preserve">Dans </w:t>
            </w:r>
            <w:r>
              <w:rPr>
                <w:i/>
                <w:color w:val="000000"/>
              </w:rPr>
              <w:t>Ancient History Encyclopedia</w:t>
            </w:r>
            <w:r>
              <w:rPr>
                <w:color w:val="000000"/>
              </w:rPr>
              <w:t xml:space="preserve">. Consulté le 2020. </w:t>
            </w:r>
            <w:hyperlink r:id="rId468">
              <w:r>
                <w:rPr>
                  <w:color w:val="4F81BD"/>
                </w:rPr>
                <w:t>https://www.ancient.eu/Battle_of_Agincourt/Casson</w:t>
              </w:r>
            </w:hyperlink>
            <w:r>
              <w:rPr>
                <w:color w:val="000000"/>
              </w:rPr>
              <w:t>.</w:t>
            </w:r>
          </w:p>
        </w:tc>
      </w:tr>
      <w:tr w:rsidR="00BF18CF" w:rsidRPr="000467B7" w14:paraId="771E94B4" w14:textId="77777777" w:rsidTr="00BF18CF">
        <w:tc>
          <w:tcPr>
            <w:tcW w:w="10690" w:type="dxa"/>
          </w:tcPr>
          <w:p w14:paraId="5C4250B2"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Chan, Hoklam. 2011. </w:t>
            </w:r>
            <w:r w:rsidRPr="00EE61A5">
              <w:rPr>
                <w:i/>
                <w:color w:val="000000"/>
                <w:lang w:val="en-CA"/>
              </w:rPr>
              <w:t>Ming Taizu (r.1368-98) and the foundation of the Ming Dynasty in China</w:t>
            </w:r>
            <w:r w:rsidRPr="00EE61A5">
              <w:rPr>
                <w:color w:val="000000"/>
                <w:lang w:val="en-CA"/>
              </w:rPr>
              <w:t xml:space="preserve">. </w:t>
            </w:r>
            <w:r w:rsidRPr="005D545E">
              <w:rPr>
                <w:color w:val="000000"/>
                <w:lang w:val="en-CA"/>
              </w:rPr>
              <w:t>Farnham, GB-</w:t>
            </w:r>
            <w:proofErr w:type="gramStart"/>
            <w:r w:rsidRPr="005D545E">
              <w:rPr>
                <w:color w:val="000000"/>
                <w:lang w:val="en-CA"/>
              </w:rPr>
              <w:t>SRY :</w:t>
            </w:r>
            <w:proofErr w:type="gramEnd"/>
            <w:r w:rsidRPr="005D545E">
              <w:rPr>
                <w:color w:val="000000"/>
                <w:lang w:val="en-CA"/>
              </w:rPr>
              <w:t xml:space="preserve"> Ashgate.</w:t>
            </w:r>
          </w:p>
        </w:tc>
      </w:tr>
      <w:tr w:rsidR="00BF18CF" w14:paraId="6A9B07EE" w14:textId="77777777" w:rsidTr="00BF18CF">
        <w:tc>
          <w:tcPr>
            <w:tcW w:w="10690" w:type="dxa"/>
          </w:tcPr>
          <w:p w14:paraId="6B3BA7A3"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Chester, David K. 2001. « The 1755 Lisbon earthquake ». </w:t>
            </w:r>
            <w:r w:rsidRPr="00EE61A5">
              <w:rPr>
                <w:i/>
                <w:color w:val="000000"/>
                <w:lang w:val="en-CA"/>
              </w:rPr>
              <w:t>Progress in Physical Geography: Earth and Environment</w:t>
            </w:r>
            <w:r w:rsidRPr="00EE61A5">
              <w:rPr>
                <w:color w:val="000000"/>
                <w:lang w:val="en-CA"/>
              </w:rPr>
              <w:t xml:space="preserve"> 25 (3</w:t>
            </w:r>
            <w:proofErr w:type="gramStart"/>
            <w:r w:rsidRPr="00EE61A5">
              <w:rPr>
                <w:color w:val="000000"/>
                <w:lang w:val="en-CA"/>
              </w:rPr>
              <w:t>) :</w:t>
            </w:r>
            <w:proofErr w:type="gramEnd"/>
            <w:r w:rsidRPr="00EE61A5">
              <w:rPr>
                <w:color w:val="000000"/>
                <w:lang w:val="en-CA"/>
              </w:rPr>
              <w:t xml:space="preserve"> 363‑83. </w:t>
            </w:r>
            <w:hyperlink r:id="rId469">
              <w:r>
                <w:rPr>
                  <w:color w:val="4F81BD"/>
                </w:rPr>
                <w:t>https://doi.org/10.1177/030913330102500304</w:t>
              </w:r>
            </w:hyperlink>
            <w:r>
              <w:rPr>
                <w:color w:val="000000"/>
              </w:rPr>
              <w:t>.</w:t>
            </w:r>
          </w:p>
        </w:tc>
      </w:tr>
      <w:tr w:rsidR="00BF18CF" w:rsidRPr="000467B7" w14:paraId="14F697D0" w14:textId="77777777" w:rsidTr="00BF18CF">
        <w:tc>
          <w:tcPr>
            <w:tcW w:w="10690" w:type="dxa"/>
          </w:tcPr>
          <w:p w14:paraId="588C2F12"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Childe, Vere Gordon. 1963. </w:t>
            </w:r>
            <w:r w:rsidRPr="00EE61A5">
              <w:rPr>
                <w:i/>
                <w:color w:val="000000"/>
                <w:lang w:val="en-CA"/>
              </w:rPr>
              <w:t>The bronze age</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Biblo and Tannen.</w:t>
            </w:r>
          </w:p>
        </w:tc>
      </w:tr>
      <w:tr w:rsidR="00BF18CF" w:rsidRPr="000467B7" w14:paraId="2BB98614" w14:textId="77777777" w:rsidTr="00BF18CF">
        <w:tc>
          <w:tcPr>
            <w:tcW w:w="10690" w:type="dxa"/>
          </w:tcPr>
          <w:p w14:paraId="532ACAF9"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Chipp, Herschel Browning. 1988. </w:t>
            </w:r>
            <w:r w:rsidRPr="00EE61A5">
              <w:rPr>
                <w:i/>
                <w:color w:val="000000"/>
                <w:lang w:val="en-CA"/>
              </w:rPr>
              <w:t>Picasso’s Guernica: history, transformations, meanings.</w:t>
            </w:r>
            <w:r w:rsidRPr="00EE61A5">
              <w:rPr>
                <w:color w:val="000000"/>
                <w:lang w:val="en-CA"/>
              </w:rPr>
              <w:t xml:space="preserve"> </w:t>
            </w:r>
            <w:r w:rsidRPr="005D545E">
              <w:rPr>
                <w:color w:val="000000"/>
                <w:lang w:val="en-CA"/>
              </w:rPr>
              <w:t>Berkeley, US-</w:t>
            </w:r>
            <w:proofErr w:type="gramStart"/>
            <w:r w:rsidRPr="005D545E">
              <w:rPr>
                <w:color w:val="000000"/>
                <w:lang w:val="en-CA"/>
              </w:rPr>
              <w:t>CA :</w:t>
            </w:r>
            <w:proofErr w:type="gramEnd"/>
            <w:r w:rsidRPr="005D545E">
              <w:rPr>
                <w:color w:val="000000"/>
                <w:lang w:val="en-CA"/>
              </w:rPr>
              <w:t xml:space="preserve"> University of California Press.</w:t>
            </w:r>
          </w:p>
        </w:tc>
      </w:tr>
      <w:tr w:rsidR="00BF18CF" w:rsidRPr="000467B7" w14:paraId="0EF77BA0" w14:textId="77777777" w:rsidTr="00BF18CF">
        <w:tc>
          <w:tcPr>
            <w:tcW w:w="10690" w:type="dxa"/>
          </w:tcPr>
          <w:p w14:paraId="07597C05"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Clare, John D, et Michael Edwards. 1992. </w:t>
            </w:r>
            <w:r w:rsidRPr="00EE61A5">
              <w:rPr>
                <w:i/>
                <w:color w:val="000000"/>
                <w:lang w:val="en-CA"/>
              </w:rPr>
              <w:t>I was there: Roman Empire.</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The Bodley Head.</w:t>
            </w:r>
          </w:p>
        </w:tc>
      </w:tr>
      <w:tr w:rsidR="00BF18CF" w:rsidRPr="000467B7" w14:paraId="239C991F" w14:textId="77777777" w:rsidTr="00BF18CF">
        <w:tc>
          <w:tcPr>
            <w:tcW w:w="10690" w:type="dxa"/>
          </w:tcPr>
          <w:p w14:paraId="474E5841"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Cohen, Ada. 1997. </w:t>
            </w:r>
            <w:r w:rsidRPr="00EE61A5">
              <w:rPr>
                <w:i/>
                <w:color w:val="000000"/>
                <w:lang w:val="en-CA"/>
              </w:rPr>
              <w:t>The Alexander mosaic: stories of victory and defeat</w:t>
            </w:r>
            <w:r w:rsidRPr="00EE61A5">
              <w:rPr>
                <w:color w:val="000000"/>
                <w:lang w:val="en-CA"/>
              </w:rPr>
              <w:t xml:space="preserve">. </w:t>
            </w:r>
            <w:r w:rsidRPr="005D545E">
              <w:rPr>
                <w:color w:val="000000"/>
                <w:lang w:val="en-CA"/>
              </w:rPr>
              <w:t>Cambridge, GB-</w:t>
            </w:r>
            <w:proofErr w:type="gramStart"/>
            <w:r w:rsidRPr="005D545E">
              <w:rPr>
                <w:color w:val="000000"/>
                <w:lang w:val="en-CA"/>
              </w:rPr>
              <w:t>CAM :</w:t>
            </w:r>
            <w:proofErr w:type="gramEnd"/>
            <w:r w:rsidRPr="005D545E">
              <w:rPr>
                <w:color w:val="000000"/>
                <w:lang w:val="en-CA"/>
              </w:rPr>
              <w:t xml:space="preserve"> Cambridge University Press.</w:t>
            </w:r>
          </w:p>
        </w:tc>
      </w:tr>
      <w:tr w:rsidR="00BF18CF" w14:paraId="3EB12ED9" w14:textId="77777777" w:rsidTr="00BF18CF">
        <w:tc>
          <w:tcPr>
            <w:tcW w:w="10690" w:type="dxa"/>
          </w:tcPr>
          <w:p w14:paraId="49AAF621" w14:textId="77777777" w:rsidR="00BF18CF" w:rsidRDefault="00E51347">
            <w:pPr>
              <w:pBdr>
                <w:top w:val="nil"/>
                <w:left w:val="nil"/>
                <w:bottom w:val="nil"/>
                <w:right w:val="nil"/>
                <w:between w:val="nil"/>
              </w:pBdr>
              <w:spacing w:before="36" w:after="36"/>
              <w:rPr>
                <w:color w:val="000000"/>
              </w:rPr>
            </w:pPr>
            <w:r>
              <w:rPr>
                <w:color w:val="000000"/>
              </w:rPr>
              <w:t xml:space="preserve">Collectif &amp; Musée d’art et d’histoire Louis-Senlecq. 1900. </w:t>
            </w:r>
            <w:r>
              <w:rPr>
                <w:i/>
                <w:color w:val="000000"/>
              </w:rPr>
              <w:t>Les trésors des princes de Bourbon Conti</w:t>
            </w:r>
            <w:r>
              <w:rPr>
                <w:color w:val="000000"/>
              </w:rPr>
              <w:t>. Paris, FR-75 : Somogy éditions d’art.</w:t>
            </w:r>
          </w:p>
        </w:tc>
      </w:tr>
      <w:tr w:rsidR="00BF18CF" w14:paraId="10699F01" w14:textId="77777777" w:rsidTr="00BF18CF">
        <w:tc>
          <w:tcPr>
            <w:tcW w:w="10690" w:type="dxa"/>
          </w:tcPr>
          <w:p w14:paraId="2E5F1306"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 Construction of massive seawall completed in Shizuoka ». s. d. The Asahi Shimbun. </w:t>
            </w:r>
            <w:r>
              <w:rPr>
                <w:color w:val="000000"/>
              </w:rPr>
              <w:t xml:space="preserve">Consulté le 5 février 2021. </w:t>
            </w:r>
            <w:hyperlink r:id="rId470">
              <w:r>
                <w:rPr>
                  <w:color w:val="4F81BD"/>
                </w:rPr>
                <w:t>http://www.asahi.com/ajw/articles/13257178</w:t>
              </w:r>
            </w:hyperlink>
            <w:r>
              <w:rPr>
                <w:color w:val="000000"/>
              </w:rPr>
              <w:t>.</w:t>
            </w:r>
          </w:p>
        </w:tc>
      </w:tr>
      <w:tr w:rsidR="00BF18CF" w14:paraId="57641E7F" w14:textId="77777777" w:rsidTr="00BF18CF">
        <w:tc>
          <w:tcPr>
            <w:tcW w:w="10690" w:type="dxa"/>
          </w:tcPr>
          <w:p w14:paraId="3F05AA54"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Cooper, B.L. 2008. « Audio Reviews, Blue Suede Shoes: A Rockabilly Session by Carl Perkins and friends. » </w:t>
            </w:r>
            <w:r>
              <w:rPr>
                <w:i/>
                <w:color w:val="000000"/>
              </w:rPr>
              <w:t>Popular Music and Society</w:t>
            </w:r>
            <w:r>
              <w:rPr>
                <w:color w:val="000000"/>
              </w:rPr>
              <w:t xml:space="preserve"> 31 (3) : 395‑401. </w:t>
            </w:r>
            <w:hyperlink r:id="rId471">
              <w:r>
                <w:rPr>
                  <w:color w:val="4F81BD"/>
                </w:rPr>
                <w:t>https://doi.org/10.1080/03007760802021093</w:t>
              </w:r>
            </w:hyperlink>
            <w:r>
              <w:rPr>
                <w:color w:val="000000"/>
              </w:rPr>
              <w:t>.</w:t>
            </w:r>
          </w:p>
        </w:tc>
      </w:tr>
      <w:tr w:rsidR="00BF18CF" w:rsidRPr="000467B7" w14:paraId="1EAEA84D" w14:textId="77777777" w:rsidTr="00BF18CF">
        <w:tc>
          <w:tcPr>
            <w:tcW w:w="10690" w:type="dxa"/>
          </w:tcPr>
          <w:p w14:paraId="36F2E101"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Correll, J. Lee. 1972. </w:t>
            </w:r>
            <w:r w:rsidRPr="00EE61A5">
              <w:rPr>
                <w:i/>
                <w:color w:val="000000"/>
                <w:lang w:val="en-CA"/>
              </w:rPr>
              <w:t>Welcome to the land of the Navajo: a book of information about the Navajo Indians</w:t>
            </w:r>
            <w:r w:rsidRPr="00EE61A5">
              <w:rPr>
                <w:color w:val="000000"/>
                <w:lang w:val="en-CA"/>
              </w:rPr>
              <w:t xml:space="preserve">. </w:t>
            </w:r>
            <w:r w:rsidRPr="005D545E">
              <w:rPr>
                <w:color w:val="000000"/>
                <w:lang w:val="en-CA"/>
              </w:rPr>
              <w:t>3rd éd. US-</w:t>
            </w:r>
            <w:proofErr w:type="gramStart"/>
            <w:r w:rsidRPr="005D545E">
              <w:rPr>
                <w:color w:val="000000"/>
                <w:lang w:val="en-CA"/>
              </w:rPr>
              <w:t>AZ :</w:t>
            </w:r>
            <w:proofErr w:type="gramEnd"/>
            <w:r w:rsidRPr="005D545E">
              <w:rPr>
                <w:color w:val="000000"/>
                <w:lang w:val="en-CA"/>
              </w:rPr>
              <w:t xml:space="preserve"> Window Rock.</w:t>
            </w:r>
          </w:p>
        </w:tc>
      </w:tr>
      <w:tr w:rsidR="00BF18CF" w14:paraId="6DC51734" w14:textId="77777777" w:rsidTr="00BF18CF">
        <w:tc>
          <w:tcPr>
            <w:tcW w:w="10690" w:type="dxa"/>
          </w:tcPr>
          <w:p w14:paraId="2D7B49A5" w14:textId="77777777" w:rsidR="00BF18CF" w:rsidRDefault="00E51347">
            <w:pPr>
              <w:pBdr>
                <w:top w:val="nil"/>
                <w:left w:val="nil"/>
                <w:bottom w:val="nil"/>
                <w:right w:val="nil"/>
                <w:between w:val="nil"/>
              </w:pBdr>
              <w:spacing w:before="36" w:after="36"/>
              <w:rPr>
                <w:color w:val="000000"/>
              </w:rPr>
            </w:pPr>
            <w:r>
              <w:rPr>
                <w:color w:val="000000"/>
              </w:rPr>
              <w:t xml:space="preserve">Cox, Neil. 2000. </w:t>
            </w:r>
            <w:r>
              <w:rPr>
                <w:i/>
                <w:color w:val="000000"/>
              </w:rPr>
              <w:t>Cubism</w:t>
            </w:r>
            <w:r>
              <w:rPr>
                <w:color w:val="000000"/>
              </w:rPr>
              <w:t>. Londres, GB-LND : Phaidon.</w:t>
            </w:r>
          </w:p>
        </w:tc>
      </w:tr>
      <w:tr w:rsidR="00BF18CF" w:rsidRPr="005D545E" w14:paraId="6251FA46" w14:textId="77777777" w:rsidTr="00BF18CF">
        <w:tc>
          <w:tcPr>
            <w:tcW w:w="10690" w:type="dxa"/>
          </w:tcPr>
          <w:p w14:paraId="3D18250B"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Craig, Norman C., et Eric A. Gislason. 2002. « First Law of Thermodynamics; Irreversible and Reversible Processes ». </w:t>
            </w:r>
            <w:r w:rsidRPr="005D545E">
              <w:rPr>
                <w:i/>
                <w:color w:val="000000"/>
                <w:lang w:val="en-CA"/>
              </w:rPr>
              <w:t>Journal of Chemical Education</w:t>
            </w:r>
            <w:r w:rsidRPr="005D545E">
              <w:rPr>
                <w:color w:val="000000"/>
                <w:lang w:val="en-CA"/>
              </w:rPr>
              <w:t xml:space="preserve"> 79 (2</w:t>
            </w:r>
            <w:proofErr w:type="gramStart"/>
            <w:r w:rsidRPr="005D545E">
              <w:rPr>
                <w:color w:val="000000"/>
                <w:lang w:val="en-CA"/>
              </w:rPr>
              <w:t>) :</w:t>
            </w:r>
            <w:proofErr w:type="gramEnd"/>
            <w:r w:rsidRPr="005D545E">
              <w:rPr>
                <w:color w:val="000000"/>
                <w:lang w:val="en-CA"/>
              </w:rPr>
              <w:t xml:space="preserve"> 193. </w:t>
            </w:r>
            <w:hyperlink r:id="rId472">
              <w:r w:rsidRPr="005D545E">
                <w:rPr>
                  <w:color w:val="4F81BD"/>
                  <w:lang w:val="en-CA"/>
                </w:rPr>
                <w:t>https://doi.org/10.1021/ed079p193</w:t>
              </w:r>
            </w:hyperlink>
            <w:r w:rsidRPr="005D545E">
              <w:rPr>
                <w:color w:val="000000"/>
                <w:lang w:val="en-CA"/>
              </w:rPr>
              <w:t>.</w:t>
            </w:r>
          </w:p>
        </w:tc>
      </w:tr>
      <w:tr w:rsidR="00BF18CF" w:rsidRPr="009F53E4" w14:paraId="2B4AC11F" w14:textId="77777777" w:rsidTr="00BF18CF">
        <w:tc>
          <w:tcPr>
            <w:tcW w:w="10690" w:type="dxa"/>
          </w:tcPr>
          <w:p w14:paraId="7DFB431E"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Crocker, Betty. 2012. </w:t>
            </w:r>
            <w:r w:rsidRPr="00EE61A5">
              <w:rPr>
                <w:i/>
                <w:color w:val="000000"/>
                <w:lang w:val="en-CA"/>
              </w:rPr>
              <w:t>Betty Crocker vegetarian cooking.</w:t>
            </w:r>
            <w:r w:rsidRPr="00EE61A5">
              <w:rPr>
                <w:color w:val="000000"/>
                <w:lang w:val="en-CA"/>
              </w:rPr>
              <w:t xml:space="preserve"> </w:t>
            </w:r>
            <w:r w:rsidRPr="005D545E">
              <w:rPr>
                <w:color w:val="000000"/>
                <w:lang w:val="en-CA"/>
              </w:rPr>
              <w:t>Hoboken, US-</w:t>
            </w:r>
            <w:proofErr w:type="gramStart"/>
            <w:r w:rsidRPr="005D545E">
              <w:rPr>
                <w:color w:val="000000"/>
                <w:lang w:val="en-CA"/>
              </w:rPr>
              <w:t>NJ :</w:t>
            </w:r>
            <w:proofErr w:type="gramEnd"/>
            <w:r w:rsidRPr="005D545E">
              <w:rPr>
                <w:color w:val="000000"/>
                <w:lang w:val="en-CA"/>
              </w:rPr>
              <w:t xml:space="preserve"> Wiley.</w:t>
            </w:r>
          </w:p>
        </w:tc>
      </w:tr>
      <w:tr w:rsidR="00BF18CF" w:rsidRPr="000467B7" w14:paraId="360CE7C6" w14:textId="77777777" w:rsidTr="00BF18CF">
        <w:tc>
          <w:tcPr>
            <w:tcW w:w="10690" w:type="dxa"/>
          </w:tcPr>
          <w:p w14:paraId="6DDF9967"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Crofton, Ian. 2015. </w:t>
            </w:r>
            <w:r w:rsidRPr="00EE61A5">
              <w:rPr>
                <w:i/>
                <w:color w:val="000000"/>
                <w:lang w:val="en-CA"/>
              </w:rPr>
              <w:t>Walking the border: a journey between Scotland and England</w:t>
            </w:r>
            <w:r w:rsidRPr="00EE61A5">
              <w:rPr>
                <w:color w:val="000000"/>
                <w:lang w:val="en-CA"/>
              </w:rPr>
              <w:t xml:space="preserve">. </w:t>
            </w:r>
            <w:r w:rsidRPr="005D545E">
              <w:rPr>
                <w:color w:val="000000"/>
                <w:lang w:val="en-CA"/>
              </w:rPr>
              <w:t>Édimbourg, GB-</w:t>
            </w:r>
            <w:proofErr w:type="gramStart"/>
            <w:r w:rsidRPr="005D545E">
              <w:rPr>
                <w:color w:val="000000"/>
                <w:lang w:val="en-CA"/>
              </w:rPr>
              <w:t>EDH :</w:t>
            </w:r>
            <w:proofErr w:type="gramEnd"/>
            <w:r w:rsidRPr="005D545E">
              <w:rPr>
                <w:color w:val="000000"/>
                <w:lang w:val="en-CA"/>
              </w:rPr>
              <w:t xml:space="preserve"> Birlinn.</w:t>
            </w:r>
          </w:p>
        </w:tc>
      </w:tr>
      <w:tr w:rsidR="00BF18CF" w:rsidRPr="000467B7" w14:paraId="1838108D" w14:textId="77777777" w:rsidTr="00BF18CF">
        <w:tc>
          <w:tcPr>
            <w:tcW w:w="10690" w:type="dxa"/>
          </w:tcPr>
          <w:p w14:paraId="28246B60"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Curry, Anne. 2015. </w:t>
            </w:r>
            <w:r w:rsidRPr="00EE61A5">
              <w:rPr>
                <w:i/>
                <w:color w:val="000000"/>
                <w:lang w:val="en-CA"/>
              </w:rPr>
              <w:t>The battle of Agincourt: sources and interpretations</w:t>
            </w:r>
            <w:r w:rsidRPr="00EE61A5">
              <w:rPr>
                <w:color w:val="000000"/>
                <w:lang w:val="en-CA"/>
              </w:rPr>
              <w:t xml:space="preserve">. </w:t>
            </w:r>
            <w:r w:rsidRPr="005D545E">
              <w:rPr>
                <w:color w:val="000000"/>
                <w:lang w:val="en-CA"/>
              </w:rPr>
              <w:t>Woodbridge, GB-</w:t>
            </w:r>
            <w:proofErr w:type="gramStart"/>
            <w:r w:rsidRPr="005D545E">
              <w:rPr>
                <w:color w:val="000000"/>
                <w:lang w:val="en-CA"/>
              </w:rPr>
              <w:t>SFK :</w:t>
            </w:r>
            <w:proofErr w:type="gramEnd"/>
            <w:r w:rsidRPr="005D545E">
              <w:rPr>
                <w:color w:val="000000"/>
                <w:lang w:val="en-CA"/>
              </w:rPr>
              <w:t xml:space="preserve"> The Boydell Press.</w:t>
            </w:r>
          </w:p>
        </w:tc>
      </w:tr>
      <w:tr w:rsidR="00BF18CF" w:rsidRPr="000467B7" w14:paraId="57E5C8D9" w14:textId="77777777" w:rsidTr="00BF18CF">
        <w:tc>
          <w:tcPr>
            <w:tcW w:w="10690" w:type="dxa"/>
          </w:tcPr>
          <w:p w14:paraId="39DFC06C"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Dalrymple, William, et Anita Anand. 2017. </w:t>
            </w:r>
            <w:r w:rsidRPr="00EE61A5">
              <w:rPr>
                <w:i/>
                <w:color w:val="000000"/>
                <w:lang w:val="en-CA"/>
              </w:rPr>
              <w:t>Koh-I-Noor: the history of the world’s most infamous diamond</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Bloomsbury.</w:t>
            </w:r>
          </w:p>
        </w:tc>
      </w:tr>
      <w:tr w:rsidR="00BF18CF" w:rsidRPr="000467B7" w14:paraId="180C361F" w14:textId="77777777" w:rsidTr="00BF18CF">
        <w:tc>
          <w:tcPr>
            <w:tcW w:w="10690" w:type="dxa"/>
          </w:tcPr>
          <w:p w14:paraId="25570FF7"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Daly, Audrey. 1981. </w:t>
            </w:r>
            <w:r w:rsidRPr="00EE61A5">
              <w:rPr>
                <w:i/>
                <w:color w:val="000000"/>
                <w:lang w:val="en-CA"/>
              </w:rPr>
              <w:t>Royal wedding</w:t>
            </w:r>
            <w:r w:rsidRPr="00EE61A5">
              <w:rPr>
                <w:color w:val="000000"/>
                <w:lang w:val="en-CA"/>
              </w:rPr>
              <w:t>. Loughborough, GB-</w:t>
            </w:r>
            <w:proofErr w:type="gramStart"/>
            <w:r w:rsidRPr="00EE61A5">
              <w:rPr>
                <w:color w:val="000000"/>
                <w:lang w:val="en-CA"/>
              </w:rPr>
              <w:t>LCE :</w:t>
            </w:r>
            <w:proofErr w:type="gramEnd"/>
            <w:r w:rsidRPr="00EE61A5">
              <w:rPr>
                <w:color w:val="000000"/>
                <w:lang w:val="en-CA"/>
              </w:rPr>
              <w:t xml:space="preserve"> Ladybird Books.</w:t>
            </w:r>
          </w:p>
        </w:tc>
      </w:tr>
      <w:tr w:rsidR="00BF18CF" w:rsidRPr="000467B7" w14:paraId="36D1961A" w14:textId="77777777" w:rsidTr="00BF18CF">
        <w:tc>
          <w:tcPr>
            <w:tcW w:w="10690" w:type="dxa"/>
          </w:tcPr>
          <w:p w14:paraId="2785105D"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Daniel, Betty C. 2014. « A graceful return of the drachma ». </w:t>
            </w:r>
            <w:r w:rsidRPr="00EE61A5">
              <w:rPr>
                <w:i/>
                <w:color w:val="000000"/>
                <w:lang w:val="en-CA"/>
              </w:rPr>
              <w:t>European Economic Review</w:t>
            </w:r>
            <w:r w:rsidRPr="00EE61A5">
              <w:rPr>
                <w:color w:val="000000"/>
                <w:lang w:val="en-CA"/>
              </w:rPr>
              <w:t xml:space="preserve"> 71 (octobre</w:t>
            </w:r>
            <w:proofErr w:type="gramStart"/>
            <w:r w:rsidRPr="00EE61A5">
              <w:rPr>
                <w:color w:val="000000"/>
                <w:lang w:val="en-CA"/>
              </w:rPr>
              <w:t>) :</w:t>
            </w:r>
            <w:proofErr w:type="gramEnd"/>
            <w:r w:rsidRPr="00EE61A5">
              <w:rPr>
                <w:color w:val="000000"/>
                <w:lang w:val="en-CA"/>
              </w:rPr>
              <w:t xml:space="preserve"> 228‑43. </w:t>
            </w:r>
            <w:hyperlink r:id="rId473">
              <w:r w:rsidRPr="00EE61A5">
                <w:rPr>
                  <w:color w:val="4F81BD"/>
                  <w:lang w:val="en-CA"/>
                </w:rPr>
                <w:t>https://doi.org/10.1016/j.euroecorev.2014.08.004</w:t>
              </w:r>
            </w:hyperlink>
            <w:r w:rsidRPr="00EE61A5">
              <w:rPr>
                <w:color w:val="000000"/>
                <w:lang w:val="en-CA"/>
              </w:rPr>
              <w:t>.</w:t>
            </w:r>
          </w:p>
        </w:tc>
      </w:tr>
      <w:tr w:rsidR="00BF18CF" w14:paraId="1E43DAA4" w14:textId="77777777" w:rsidTr="00BF18CF">
        <w:tc>
          <w:tcPr>
            <w:tcW w:w="10690" w:type="dxa"/>
          </w:tcPr>
          <w:p w14:paraId="217846E1"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Dawson, Paul L. 2018. </w:t>
            </w:r>
            <w:r w:rsidRPr="00EE61A5">
              <w:rPr>
                <w:i/>
                <w:color w:val="000000"/>
                <w:lang w:val="en-CA"/>
              </w:rPr>
              <w:t>Waterloo: the truth at last: why Napoleon lost the great battle</w:t>
            </w:r>
            <w:r w:rsidRPr="00EE61A5">
              <w:rPr>
                <w:color w:val="000000"/>
                <w:lang w:val="en-CA"/>
              </w:rPr>
              <w:t xml:space="preserve">. </w:t>
            </w:r>
            <w:r>
              <w:rPr>
                <w:color w:val="000000"/>
              </w:rPr>
              <w:t>Barnsley, GB-BNS : Frontline Books.</w:t>
            </w:r>
          </w:p>
        </w:tc>
      </w:tr>
      <w:tr w:rsidR="00BF18CF" w14:paraId="02BA8FFC" w14:textId="77777777" w:rsidTr="00BF18CF">
        <w:tc>
          <w:tcPr>
            <w:tcW w:w="10690" w:type="dxa"/>
          </w:tcPr>
          <w:p w14:paraId="2C278232" w14:textId="77777777" w:rsidR="00BF18CF" w:rsidRDefault="00E51347">
            <w:pPr>
              <w:pBdr>
                <w:top w:val="nil"/>
                <w:left w:val="nil"/>
                <w:bottom w:val="nil"/>
                <w:right w:val="nil"/>
                <w:between w:val="nil"/>
              </w:pBdr>
              <w:spacing w:before="36" w:after="36"/>
              <w:rPr>
                <w:color w:val="000000"/>
              </w:rPr>
            </w:pPr>
            <w:r>
              <w:rPr>
                <w:color w:val="000000"/>
              </w:rPr>
              <w:t xml:space="preserve">Delacroix, E., et Helene Toussaint. 1982. </w:t>
            </w:r>
            <w:r>
              <w:rPr>
                <w:i/>
                <w:color w:val="000000"/>
              </w:rPr>
              <w:t>La Liberte guidant le peuple de Delacroix: [catalogue d’une exposition presentee au Musee du Louvre, 5 nov. 1982 au 7 fev. 1983</w:t>
            </w:r>
            <w:r>
              <w:rPr>
                <w:color w:val="000000"/>
              </w:rPr>
              <w:t>. Paris, FR-75 : Reunion des Musees Nationaux.</w:t>
            </w:r>
          </w:p>
        </w:tc>
      </w:tr>
      <w:tr w:rsidR="00BF18CF" w:rsidRPr="000467B7" w14:paraId="0A6DC19E" w14:textId="77777777" w:rsidTr="00BF18CF">
        <w:tc>
          <w:tcPr>
            <w:tcW w:w="10690" w:type="dxa"/>
          </w:tcPr>
          <w:p w14:paraId="4A326587"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lastRenderedPageBreak/>
              <w:t xml:space="preserve">Deutsch, Otto Erich. 1965. </w:t>
            </w:r>
            <w:r w:rsidRPr="00EE61A5">
              <w:rPr>
                <w:i/>
                <w:color w:val="000000"/>
                <w:lang w:val="en-CA"/>
              </w:rPr>
              <w:t>Mozart, a documentary biography</w:t>
            </w:r>
            <w:r w:rsidRPr="00EE61A5">
              <w:rPr>
                <w:color w:val="000000"/>
                <w:lang w:val="en-CA"/>
              </w:rPr>
              <w:t>. Standford, US-</w:t>
            </w:r>
            <w:proofErr w:type="gramStart"/>
            <w:r w:rsidRPr="00EE61A5">
              <w:rPr>
                <w:color w:val="000000"/>
                <w:lang w:val="en-CA"/>
              </w:rPr>
              <w:t>CA :</w:t>
            </w:r>
            <w:proofErr w:type="gramEnd"/>
            <w:r w:rsidRPr="00EE61A5">
              <w:rPr>
                <w:color w:val="000000"/>
                <w:lang w:val="en-CA"/>
              </w:rPr>
              <w:t xml:space="preserve"> Stanford University Press.</w:t>
            </w:r>
          </w:p>
        </w:tc>
      </w:tr>
      <w:tr w:rsidR="00BF18CF" w14:paraId="147FA9DA" w14:textId="77777777" w:rsidTr="00BF18CF">
        <w:tc>
          <w:tcPr>
            <w:tcW w:w="10690" w:type="dxa"/>
          </w:tcPr>
          <w:p w14:paraId="2FA97F26"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Dewey, D. 2003. « The Little Mermaid ». </w:t>
            </w:r>
            <w:r>
              <w:rPr>
                <w:i/>
                <w:color w:val="000000"/>
              </w:rPr>
              <w:t>Scandinavian Review</w:t>
            </w:r>
            <w:r>
              <w:rPr>
                <w:color w:val="000000"/>
              </w:rPr>
              <w:t xml:space="preserve"> 91 (1) : 34.</w:t>
            </w:r>
          </w:p>
        </w:tc>
      </w:tr>
      <w:tr w:rsidR="00BF18CF" w14:paraId="2685046D" w14:textId="77777777" w:rsidTr="00BF18CF">
        <w:tc>
          <w:tcPr>
            <w:tcW w:w="10690" w:type="dxa"/>
          </w:tcPr>
          <w:p w14:paraId="00A3C9E5"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Dodge, B. O. 1933. « The Perithecium and Ascus of Penicillium ». </w:t>
            </w:r>
            <w:r>
              <w:rPr>
                <w:i/>
                <w:color w:val="000000"/>
              </w:rPr>
              <w:t>Mycologia</w:t>
            </w:r>
            <w:r>
              <w:rPr>
                <w:color w:val="000000"/>
              </w:rPr>
              <w:t xml:space="preserve"> 25 (2) : 90‑104. </w:t>
            </w:r>
            <w:hyperlink r:id="rId474">
              <w:r>
                <w:rPr>
                  <w:color w:val="4F81BD"/>
                </w:rPr>
                <w:t>https://doi.org/10.1080/00275514.1933.12020653</w:t>
              </w:r>
            </w:hyperlink>
            <w:r>
              <w:rPr>
                <w:color w:val="000000"/>
              </w:rPr>
              <w:t>.</w:t>
            </w:r>
          </w:p>
        </w:tc>
      </w:tr>
      <w:tr w:rsidR="00BF18CF" w:rsidRPr="009F53E4" w14:paraId="32C07A4B" w14:textId="77777777" w:rsidTr="00BF18CF">
        <w:tc>
          <w:tcPr>
            <w:tcW w:w="10690" w:type="dxa"/>
          </w:tcPr>
          <w:p w14:paraId="58077FD9"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Doerr, Martin. 2003. « The CIDOC Conceptual Reference Module: An Ontological Approach to Semantic Interoperability of Metadata ». </w:t>
            </w:r>
            <w:r w:rsidRPr="005D545E">
              <w:rPr>
                <w:i/>
                <w:color w:val="000000"/>
                <w:lang w:val="en-CA"/>
              </w:rPr>
              <w:t>AI Magazine</w:t>
            </w:r>
            <w:r w:rsidRPr="005D545E">
              <w:rPr>
                <w:color w:val="000000"/>
                <w:lang w:val="en-CA"/>
              </w:rPr>
              <w:t xml:space="preserve"> 24 (3</w:t>
            </w:r>
            <w:proofErr w:type="gramStart"/>
            <w:r w:rsidRPr="005D545E">
              <w:rPr>
                <w:color w:val="000000"/>
                <w:lang w:val="en-CA"/>
              </w:rPr>
              <w:t>) :</w:t>
            </w:r>
            <w:proofErr w:type="gramEnd"/>
            <w:r w:rsidRPr="005D545E">
              <w:rPr>
                <w:color w:val="000000"/>
                <w:lang w:val="en-CA"/>
              </w:rPr>
              <w:t xml:space="preserve"> 75‑92. </w:t>
            </w:r>
            <w:hyperlink r:id="rId475">
              <w:r w:rsidRPr="005D545E">
                <w:rPr>
                  <w:color w:val="4F81BD"/>
                  <w:lang w:val="en-CA"/>
                </w:rPr>
                <w:t>https://doi.org/10.1609/aimag.v24i3.1720</w:t>
              </w:r>
            </w:hyperlink>
            <w:r w:rsidRPr="005D545E">
              <w:rPr>
                <w:color w:val="000000"/>
                <w:lang w:val="en-CA"/>
              </w:rPr>
              <w:t>.</w:t>
            </w:r>
          </w:p>
        </w:tc>
      </w:tr>
      <w:tr w:rsidR="00BF18CF" w:rsidRPr="000467B7" w14:paraId="7BF40A9F" w14:textId="77777777" w:rsidTr="00BF18CF">
        <w:tc>
          <w:tcPr>
            <w:tcW w:w="10690" w:type="dxa"/>
          </w:tcPr>
          <w:p w14:paraId="1D2051EF"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Doerr, Martin, et Gerald Hiebel. 2013. « CRMgeo: Linking the CIDOC CRM to GeoSPARQL through a Spatiotemporal Refinement ». Technical Report ICS-FORTH/TR-435. Heraklion, Crete, GR or </w:t>
            </w:r>
            <w:proofErr w:type="gramStart"/>
            <w:r w:rsidRPr="00EE61A5">
              <w:rPr>
                <w:color w:val="000000"/>
                <w:lang w:val="en-CA"/>
              </w:rPr>
              <w:t>Grèce :</w:t>
            </w:r>
            <w:proofErr w:type="gramEnd"/>
            <w:r w:rsidRPr="00EE61A5">
              <w:rPr>
                <w:color w:val="000000"/>
                <w:lang w:val="en-CA"/>
              </w:rPr>
              <w:t xml:space="preserve"> Institute of Computer Science, Foundation for Research and Technology Hellas.</w:t>
            </w:r>
          </w:p>
        </w:tc>
      </w:tr>
      <w:tr w:rsidR="00BF18CF" w14:paraId="63EDAA60" w14:textId="77777777" w:rsidTr="00BF18CF">
        <w:tc>
          <w:tcPr>
            <w:tcW w:w="10690" w:type="dxa"/>
          </w:tcPr>
          <w:p w14:paraId="5C487CEE"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Dolan, John W. 2005. « The Bermuda Triangle ». </w:t>
            </w:r>
            <w:r>
              <w:rPr>
                <w:i/>
                <w:color w:val="000000"/>
              </w:rPr>
              <w:t>LC GC North America</w:t>
            </w:r>
            <w:r>
              <w:rPr>
                <w:color w:val="000000"/>
              </w:rPr>
              <w:t xml:space="preserve"> 23 (4) : 370‑75.</w:t>
            </w:r>
          </w:p>
        </w:tc>
      </w:tr>
      <w:tr w:rsidR="00BF18CF" w:rsidRPr="000467B7" w14:paraId="410EA448" w14:textId="77777777" w:rsidTr="00BF18CF">
        <w:tc>
          <w:tcPr>
            <w:tcW w:w="10690" w:type="dxa"/>
          </w:tcPr>
          <w:p w14:paraId="2FADFEA4"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Dorman Long (Firm). 1932. </w:t>
            </w:r>
            <w:r w:rsidRPr="00EE61A5">
              <w:rPr>
                <w:i/>
                <w:color w:val="000000"/>
                <w:lang w:val="en-CA"/>
              </w:rPr>
              <w:t>Sydney Harbour Bridge.</w:t>
            </w:r>
            <w:r w:rsidRPr="00EE61A5">
              <w:rPr>
                <w:color w:val="000000"/>
                <w:lang w:val="en-CA"/>
              </w:rPr>
              <w:t xml:space="preserve"> Middlesbrough, GB-</w:t>
            </w:r>
            <w:proofErr w:type="gramStart"/>
            <w:r w:rsidRPr="00EE61A5">
              <w:rPr>
                <w:color w:val="000000"/>
                <w:lang w:val="en-CA"/>
              </w:rPr>
              <w:t>NYK :</w:t>
            </w:r>
            <w:proofErr w:type="gramEnd"/>
            <w:r w:rsidRPr="00EE61A5">
              <w:rPr>
                <w:color w:val="000000"/>
                <w:lang w:val="en-CA"/>
              </w:rPr>
              <w:t xml:space="preserve"> Dorman Long and Company Limited.</w:t>
            </w:r>
          </w:p>
        </w:tc>
      </w:tr>
      <w:tr w:rsidR="00BF18CF" w14:paraId="351ADCF9" w14:textId="77777777" w:rsidTr="00BF18CF">
        <w:tc>
          <w:tcPr>
            <w:tcW w:w="10690" w:type="dxa"/>
          </w:tcPr>
          <w:p w14:paraId="69C13BAA" w14:textId="77777777" w:rsidR="00BF18CF" w:rsidRDefault="00E51347">
            <w:pPr>
              <w:pBdr>
                <w:top w:val="nil"/>
                <w:left w:val="nil"/>
                <w:bottom w:val="nil"/>
                <w:right w:val="nil"/>
                <w:between w:val="nil"/>
              </w:pBdr>
              <w:spacing w:before="36" w:after="36"/>
              <w:rPr>
                <w:color w:val="000000"/>
              </w:rPr>
            </w:pPr>
            <w:r>
              <w:rPr>
                <w:color w:val="000000"/>
              </w:rPr>
              <w:t xml:space="preserve">Droste, Magdalena, et P Gössel. 2006. </w:t>
            </w:r>
            <w:r>
              <w:rPr>
                <w:i/>
                <w:color w:val="000000"/>
              </w:rPr>
              <w:t>Bauhaus 1919-1933: reform and Avant-Garde</w:t>
            </w:r>
            <w:r>
              <w:rPr>
                <w:color w:val="000000"/>
              </w:rPr>
              <w:t>. Cologne, DE-NW : Taschen.</w:t>
            </w:r>
          </w:p>
        </w:tc>
      </w:tr>
      <w:tr w:rsidR="00BF18CF" w:rsidRPr="000467B7" w14:paraId="177AE585" w14:textId="77777777" w:rsidTr="00BF18CF">
        <w:tc>
          <w:tcPr>
            <w:tcW w:w="10690" w:type="dxa"/>
          </w:tcPr>
          <w:p w14:paraId="629C0BBB"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Edwards, I. E. S, et Lee Boltin. 1979. </w:t>
            </w:r>
            <w:r w:rsidRPr="00EE61A5">
              <w:rPr>
                <w:i/>
                <w:color w:val="000000"/>
                <w:lang w:val="en-CA"/>
              </w:rPr>
              <w:t>Tutankhamun: his tomb and its treasures</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Gollancz.</w:t>
            </w:r>
          </w:p>
        </w:tc>
      </w:tr>
      <w:tr w:rsidR="00BF18CF" w:rsidRPr="000467B7" w14:paraId="5440DE7E" w14:textId="77777777" w:rsidTr="00BF18CF">
        <w:tc>
          <w:tcPr>
            <w:tcW w:w="10690" w:type="dxa"/>
          </w:tcPr>
          <w:p w14:paraId="60C3D7F6"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Einstein, Albert. 2001. </w:t>
            </w:r>
            <w:r w:rsidRPr="00EE61A5">
              <w:rPr>
                <w:i/>
                <w:color w:val="000000"/>
                <w:lang w:val="en-CA"/>
              </w:rPr>
              <w:t>Relativity: the special and the general theory</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Routledge.</w:t>
            </w:r>
          </w:p>
        </w:tc>
      </w:tr>
      <w:tr w:rsidR="00BF18CF" w:rsidRPr="000467B7" w14:paraId="5B918F8E" w14:textId="77777777" w:rsidTr="00BF18CF">
        <w:tc>
          <w:tcPr>
            <w:tcW w:w="10690" w:type="dxa"/>
          </w:tcPr>
          <w:p w14:paraId="57A477B7"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Evans, Arthur. 1921. </w:t>
            </w:r>
            <w:r w:rsidRPr="00EE61A5">
              <w:rPr>
                <w:i/>
                <w:color w:val="000000"/>
                <w:lang w:val="en-CA"/>
              </w:rPr>
              <w:t>The palace of Minos: a comparative account of the successive stages of the early Cretan civilization as illustrated by the discoveries at Knossos.</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Macmillan &amp; Co.</w:t>
            </w:r>
          </w:p>
        </w:tc>
      </w:tr>
      <w:tr w:rsidR="00BF18CF" w14:paraId="15FD377C" w14:textId="77777777" w:rsidTr="00BF18CF">
        <w:tc>
          <w:tcPr>
            <w:tcW w:w="10690" w:type="dxa"/>
          </w:tcPr>
          <w:p w14:paraId="7A3D1FE3"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Farnie, D. A. 1980. </w:t>
            </w:r>
            <w:r w:rsidRPr="00EE61A5">
              <w:rPr>
                <w:i/>
                <w:color w:val="000000"/>
                <w:lang w:val="en-CA"/>
              </w:rPr>
              <w:t>The Manchester Ship Canal and the rise of the Port of Manchester, 1894-1975.</w:t>
            </w:r>
            <w:r w:rsidRPr="00EE61A5">
              <w:rPr>
                <w:color w:val="000000"/>
                <w:lang w:val="en-CA"/>
              </w:rPr>
              <w:t xml:space="preserve"> </w:t>
            </w:r>
            <w:r>
              <w:rPr>
                <w:color w:val="000000"/>
              </w:rPr>
              <w:t>Manchester, GB-MAN : Manchester University Press.</w:t>
            </w:r>
          </w:p>
        </w:tc>
      </w:tr>
      <w:tr w:rsidR="00BF18CF" w14:paraId="5BC9989F" w14:textId="77777777" w:rsidTr="00BF18CF">
        <w:tc>
          <w:tcPr>
            <w:tcW w:w="10690" w:type="dxa"/>
          </w:tcPr>
          <w:p w14:paraId="2E4658CE"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Farrand, Max. 1913. </w:t>
            </w:r>
            <w:r w:rsidRPr="00EE61A5">
              <w:rPr>
                <w:i/>
                <w:color w:val="000000"/>
                <w:lang w:val="en-CA"/>
              </w:rPr>
              <w:t>Framing of Constitution of United States.</w:t>
            </w:r>
            <w:r w:rsidRPr="00EE61A5">
              <w:rPr>
                <w:color w:val="000000"/>
                <w:lang w:val="en-CA"/>
              </w:rPr>
              <w:t xml:space="preserve"> </w:t>
            </w:r>
            <w:r>
              <w:rPr>
                <w:color w:val="000000"/>
              </w:rPr>
              <w:t>US : Yale University Press.</w:t>
            </w:r>
          </w:p>
        </w:tc>
      </w:tr>
      <w:tr w:rsidR="00BF18CF" w:rsidRPr="000467B7" w14:paraId="3A6836CE" w14:textId="77777777" w:rsidTr="00BF18CF">
        <w:tc>
          <w:tcPr>
            <w:tcW w:w="10690" w:type="dxa"/>
          </w:tcPr>
          <w:p w14:paraId="5FF0F808"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Fisher, John, et Geoff Garvey. 2010. </w:t>
            </w:r>
            <w:r w:rsidRPr="00EE61A5">
              <w:rPr>
                <w:i/>
                <w:color w:val="000000"/>
                <w:lang w:val="en-CA"/>
              </w:rPr>
              <w:t>The rough guide to Crete</w:t>
            </w:r>
            <w:r w:rsidRPr="00EE61A5">
              <w:rPr>
                <w:color w:val="000000"/>
                <w:lang w:val="en-CA"/>
              </w:rPr>
              <w:t xml:space="preserve">. </w:t>
            </w:r>
            <w:proofErr w:type="gramStart"/>
            <w:r w:rsidRPr="005D545E">
              <w:rPr>
                <w:color w:val="000000"/>
                <w:lang w:val="en-CA"/>
              </w:rPr>
              <w:t>GB :</w:t>
            </w:r>
            <w:proofErr w:type="gramEnd"/>
            <w:r w:rsidRPr="005D545E">
              <w:rPr>
                <w:color w:val="000000"/>
                <w:lang w:val="en-CA"/>
              </w:rPr>
              <w:t xml:space="preserve"> Rough Guides Limited.</w:t>
            </w:r>
          </w:p>
        </w:tc>
      </w:tr>
      <w:tr w:rsidR="00BF18CF" w:rsidRPr="000467B7" w14:paraId="0A85197E" w14:textId="77777777" w:rsidTr="00BF18CF">
        <w:tc>
          <w:tcPr>
            <w:tcW w:w="10690" w:type="dxa"/>
          </w:tcPr>
          <w:p w14:paraId="4B0B45E4"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Foster, Norman. 2000. </w:t>
            </w:r>
            <w:r w:rsidRPr="00EE61A5">
              <w:rPr>
                <w:i/>
                <w:color w:val="000000"/>
                <w:lang w:val="en-CA"/>
              </w:rPr>
              <w:t>Rebuilding the Reichstag</w:t>
            </w:r>
            <w:r w:rsidRPr="00EE61A5">
              <w:rPr>
                <w:color w:val="000000"/>
                <w:lang w:val="en-CA"/>
              </w:rPr>
              <w:t>. Woodstock, US-</w:t>
            </w:r>
            <w:proofErr w:type="gramStart"/>
            <w:r w:rsidRPr="00EE61A5">
              <w:rPr>
                <w:color w:val="000000"/>
                <w:lang w:val="en-CA"/>
              </w:rPr>
              <w:t>NY :</w:t>
            </w:r>
            <w:proofErr w:type="gramEnd"/>
            <w:r w:rsidRPr="00EE61A5">
              <w:rPr>
                <w:color w:val="000000"/>
                <w:lang w:val="en-CA"/>
              </w:rPr>
              <w:t xml:space="preserve"> Overlook Press.</w:t>
            </w:r>
          </w:p>
        </w:tc>
      </w:tr>
      <w:tr w:rsidR="00BF18CF" w:rsidRPr="000467B7" w14:paraId="52EDE78F" w14:textId="77777777" w:rsidTr="00BF18CF">
        <w:tc>
          <w:tcPr>
            <w:tcW w:w="10690" w:type="dxa"/>
          </w:tcPr>
          <w:p w14:paraId="2F2FAC33"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Franks, Augustus Wollaston, Samuel Birch, Walter de Gray Birch, et George Smith. 1872. </w:t>
            </w:r>
            <w:r w:rsidRPr="00EE61A5">
              <w:rPr>
                <w:i/>
                <w:color w:val="000000"/>
                <w:lang w:val="en-CA"/>
              </w:rPr>
              <w:t xml:space="preserve">Catalogue of a series of photographs from the collections of the British Museum ... Pt. I. Pre-historic and ethnographical </w:t>
            </w:r>
            <w:proofErr w:type="gramStart"/>
            <w:r w:rsidRPr="00EE61A5">
              <w:rPr>
                <w:i/>
                <w:color w:val="000000"/>
                <w:lang w:val="en-CA"/>
              </w:rPr>
              <w:t>Series.-</w:t>
            </w:r>
            <w:proofErr w:type="gramEnd"/>
            <w:r w:rsidRPr="00EE61A5">
              <w:rPr>
                <w:i/>
                <w:color w:val="000000"/>
                <w:lang w:val="en-CA"/>
              </w:rPr>
              <w:t>Pt. VI. Antiquities of Britain, etc.</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British Museum.</w:t>
            </w:r>
          </w:p>
        </w:tc>
      </w:tr>
      <w:tr w:rsidR="00BF18CF" w:rsidRPr="000467B7" w14:paraId="279DB420" w14:textId="77777777" w:rsidTr="00BF18CF">
        <w:tc>
          <w:tcPr>
            <w:tcW w:w="10690" w:type="dxa"/>
          </w:tcPr>
          <w:p w14:paraId="0BD93A49"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Galeotti, Mark. 1997. </w:t>
            </w:r>
            <w:r w:rsidRPr="00EE61A5">
              <w:rPr>
                <w:i/>
                <w:color w:val="000000"/>
                <w:lang w:val="en-CA"/>
              </w:rPr>
              <w:t>Gorbachev and His Revolution</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Macmillan Education, Limited.</w:t>
            </w:r>
          </w:p>
        </w:tc>
      </w:tr>
      <w:tr w:rsidR="00BF18CF" w14:paraId="5F665DD2" w14:textId="77777777" w:rsidTr="00BF18CF">
        <w:tc>
          <w:tcPr>
            <w:tcW w:w="10690" w:type="dxa"/>
          </w:tcPr>
          <w:p w14:paraId="6813EC8A" w14:textId="77777777" w:rsidR="00BF18CF" w:rsidRDefault="00E51347">
            <w:pPr>
              <w:pBdr>
                <w:top w:val="nil"/>
                <w:left w:val="nil"/>
                <w:bottom w:val="nil"/>
                <w:right w:val="nil"/>
                <w:between w:val="nil"/>
              </w:pBdr>
              <w:spacing w:before="36" w:after="36"/>
              <w:rPr>
                <w:color w:val="000000"/>
              </w:rPr>
            </w:pPr>
            <w:r>
              <w:rPr>
                <w:color w:val="000000"/>
              </w:rPr>
              <w:t xml:space="preserve">Gangemi, Aldo, Nicola Guarino, Claudio Masolo, Alessandro Oltramari, et Luc Schneider. </w:t>
            </w:r>
            <w:r w:rsidRPr="00EE61A5">
              <w:rPr>
                <w:color w:val="000000"/>
                <w:lang w:val="en-CA"/>
              </w:rPr>
              <w:t xml:space="preserve">2002. « Sweetening Ontologies with DOLCE ». Dans </w:t>
            </w:r>
            <w:r w:rsidRPr="00EE61A5">
              <w:rPr>
                <w:i/>
                <w:color w:val="000000"/>
                <w:lang w:val="en-CA"/>
              </w:rPr>
              <w:t>Knowledge Engineering and Knowledge Management: Ontologies and the Semantic Web</w:t>
            </w:r>
            <w:r w:rsidRPr="00EE61A5">
              <w:rPr>
                <w:color w:val="000000"/>
                <w:lang w:val="en-CA"/>
              </w:rPr>
              <w:t xml:space="preserve">. </w:t>
            </w:r>
            <w:r>
              <w:rPr>
                <w:color w:val="000000"/>
              </w:rPr>
              <w:t xml:space="preserve">Sous la direction de Asunción Gómez-Pérez et V. Richard Benjamins, 166‑81. Lecture Notes in Computer Science. Berlin, DE-BE; Heidelberg, DE-BW : Springer. </w:t>
            </w:r>
            <w:hyperlink r:id="rId476">
              <w:r>
                <w:rPr>
                  <w:color w:val="4F81BD"/>
                </w:rPr>
                <w:t>https://doi.org/10.1007/3-540-45810-7_18</w:t>
              </w:r>
            </w:hyperlink>
            <w:r>
              <w:rPr>
                <w:color w:val="000000"/>
              </w:rPr>
              <w:t>.</w:t>
            </w:r>
          </w:p>
        </w:tc>
      </w:tr>
      <w:tr w:rsidR="00BF18CF" w:rsidRPr="000467B7" w14:paraId="6DFA74A7" w14:textId="77777777" w:rsidTr="00BF18CF">
        <w:tc>
          <w:tcPr>
            <w:tcW w:w="10690" w:type="dxa"/>
          </w:tcPr>
          <w:p w14:paraId="752A2C82"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Gannett, Henry et Geological Survey (U.S.). 1904. </w:t>
            </w:r>
            <w:r w:rsidRPr="00EE61A5">
              <w:rPr>
                <w:i/>
                <w:color w:val="000000"/>
                <w:lang w:val="en-CA"/>
              </w:rPr>
              <w:t>Boundaries of the United States and of the several states and territories: with an outline of the history of all important changes of territory</w:t>
            </w:r>
            <w:r w:rsidRPr="00EE61A5">
              <w:rPr>
                <w:color w:val="000000"/>
                <w:lang w:val="en-CA"/>
              </w:rPr>
              <w:t>. US-</w:t>
            </w:r>
            <w:proofErr w:type="gramStart"/>
            <w:r w:rsidRPr="00EE61A5">
              <w:rPr>
                <w:color w:val="000000"/>
                <w:lang w:val="en-CA"/>
              </w:rPr>
              <w:t>DC :</w:t>
            </w:r>
            <w:proofErr w:type="gramEnd"/>
            <w:r w:rsidRPr="00EE61A5">
              <w:rPr>
                <w:color w:val="000000"/>
                <w:lang w:val="en-CA"/>
              </w:rPr>
              <w:t xml:space="preserve"> Department of the Interior, United States Geological Survey.</w:t>
            </w:r>
          </w:p>
        </w:tc>
      </w:tr>
      <w:tr w:rsidR="00BF18CF" w14:paraId="6A92FA1A" w14:textId="77777777" w:rsidTr="00BF18CF">
        <w:tc>
          <w:tcPr>
            <w:tcW w:w="10690" w:type="dxa"/>
          </w:tcPr>
          <w:p w14:paraId="3C5A2D91"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George, A. R. 2000. « Review of The Final Sack of Nineveh. The Discovery, Documentation, and Destruction of King Sennacherib’s Throne Room at Nineveh, Iraq ». </w:t>
            </w:r>
            <w:r>
              <w:rPr>
                <w:i/>
                <w:color w:val="000000"/>
              </w:rPr>
              <w:t>Journal of the Royal Asiatic Society</w:t>
            </w:r>
            <w:r>
              <w:rPr>
                <w:color w:val="000000"/>
              </w:rPr>
              <w:t xml:space="preserve"> 10 (1) : 84‑85.</w:t>
            </w:r>
          </w:p>
        </w:tc>
      </w:tr>
      <w:tr w:rsidR="00BF18CF" w:rsidRPr="000467B7" w14:paraId="243CFB26" w14:textId="77777777" w:rsidTr="00BF18CF">
        <w:tc>
          <w:tcPr>
            <w:tcW w:w="10690" w:type="dxa"/>
          </w:tcPr>
          <w:p w14:paraId="23919CE6"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Georgoula, Elektra. 2005. </w:t>
            </w:r>
            <w:r w:rsidRPr="00EE61A5">
              <w:rPr>
                <w:i/>
                <w:color w:val="000000"/>
                <w:lang w:val="en-CA"/>
              </w:rPr>
              <w:t>Greek treasures from the Benaki Museum in Athens</w:t>
            </w:r>
            <w:r w:rsidRPr="00EE61A5">
              <w:rPr>
                <w:color w:val="000000"/>
                <w:lang w:val="en-CA"/>
              </w:rPr>
              <w:t>. Sydney, AU-</w:t>
            </w:r>
            <w:proofErr w:type="gramStart"/>
            <w:r w:rsidRPr="00EE61A5">
              <w:rPr>
                <w:color w:val="000000"/>
                <w:lang w:val="en-CA"/>
              </w:rPr>
              <w:t>NSW :</w:t>
            </w:r>
            <w:proofErr w:type="gramEnd"/>
            <w:r w:rsidRPr="00EE61A5">
              <w:rPr>
                <w:color w:val="000000"/>
                <w:lang w:val="en-CA"/>
              </w:rPr>
              <w:t xml:space="preserve"> Powerhouse Publishing in association with Benaki Museum.</w:t>
            </w:r>
          </w:p>
        </w:tc>
      </w:tr>
      <w:tr w:rsidR="00BF18CF" w:rsidRPr="005D545E" w14:paraId="6BE5A974" w14:textId="77777777" w:rsidTr="00BF18CF">
        <w:tc>
          <w:tcPr>
            <w:tcW w:w="10690" w:type="dxa"/>
          </w:tcPr>
          <w:p w14:paraId="527BA13E" w14:textId="77777777" w:rsidR="00BF18CF" w:rsidRPr="005D545E" w:rsidRDefault="00E51347">
            <w:pPr>
              <w:pBdr>
                <w:top w:val="nil"/>
                <w:left w:val="nil"/>
                <w:bottom w:val="nil"/>
                <w:right w:val="nil"/>
                <w:between w:val="nil"/>
              </w:pBdr>
              <w:spacing w:before="36" w:after="36"/>
              <w:rPr>
                <w:color w:val="000000"/>
                <w:lang w:val="en-CA"/>
              </w:rPr>
            </w:pPr>
            <w:r>
              <w:rPr>
                <w:color w:val="000000"/>
              </w:rPr>
              <w:lastRenderedPageBreak/>
              <w:t xml:space="preserve">Gergatsoulis, Manolis, Lina Bountouri, Panorea Gaitanou, et Christos Papatheodorou. </w:t>
            </w:r>
            <w:r w:rsidRPr="00EE61A5">
              <w:rPr>
                <w:color w:val="000000"/>
                <w:lang w:val="en-CA"/>
              </w:rPr>
              <w:t xml:space="preserve">2010. « Mapping Cultural Metadata Schemas to CIDOC Conceptual Reference Model ». Dans </w:t>
            </w:r>
            <w:r w:rsidRPr="00EE61A5">
              <w:rPr>
                <w:i/>
                <w:color w:val="000000"/>
                <w:lang w:val="en-CA"/>
              </w:rPr>
              <w:t>Artificial Intelligence: Theories, Models and Applications</w:t>
            </w:r>
            <w:proofErr w:type="gramStart"/>
            <w:r w:rsidRPr="00EE61A5">
              <w:rPr>
                <w:color w:val="000000"/>
                <w:lang w:val="en-CA"/>
              </w:rPr>
              <w:t>. ,</w:t>
            </w:r>
            <w:proofErr w:type="gramEnd"/>
            <w:r w:rsidRPr="00EE61A5">
              <w:rPr>
                <w:color w:val="000000"/>
                <w:lang w:val="en-CA"/>
              </w:rPr>
              <w:t xml:space="preserve"> 321‑26. </w:t>
            </w:r>
            <w:r w:rsidRPr="005D545E">
              <w:rPr>
                <w:color w:val="000000"/>
                <w:lang w:val="en-CA"/>
              </w:rPr>
              <w:t xml:space="preserve">Springer, Berlin, Heidelberg. </w:t>
            </w:r>
            <w:hyperlink r:id="rId477">
              <w:r w:rsidRPr="005D545E">
                <w:rPr>
                  <w:color w:val="4F81BD"/>
                  <w:lang w:val="en-CA"/>
                </w:rPr>
                <w:t>https://doi.org/10.1007/978-3-642-12842-4_37</w:t>
              </w:r>
            </w:hyperlink>
            <w:r w:rsidRPr="005D545E">
              <w:rPr>
                <w:color w:val="000000"/>
                <w:lang w:val="en-CA"/>
              </w:rPr>
              <w:t>.</w:t>
            </w:r>
          </w:p>
        </w:tc>
      </w:tr>
      <w:tr w:rsidR="00BF18CF" w:rsidRPr="000467B7" w14:paraId="5059943C" w14:textId="77777777" w:rsidTr="00BF18CF">
        <w:tc>
          <w:tcPr>
            <w:tcW w:w="10690" w:type="dxa"/>
          </w:tcPr>
          <w:p w14:paraId="64A2B07D"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Gibbon, Edward. 2013. </w:t>
            </w:r>
            <w:r w:rsidRPr="00EE61A5">
              <w:rPr>
                <w:i/>
                <w:color w:val="000000"/>
                <w:lang w:val="en-CA"/>
              </w:rPr>
              <w:t>The History of the Decline and Fall of the Roman Empire: Edited in Seven Volumes with Introduction, Notes, Appendices, and Index</w:t>
            </w:r>
            <w:r w:rsidRPr="00EE61A5">
              <w:rPr>
                <w:color w:val="000000"/>
                <w:lang w:val="en-CA"/>
              </w:rPr>
              <w:t xml:space="preserve">. </w:t>
            </w:r>
            <w:r>
              <w:rPr>
                <w:color w:val="000000"/>
              </w:rPr>
              <w:t xml:space="preserve">Sous la direction de J. B. Bury. Vol. 5. Cambridge Library Collection - Classics. </w:t>
            </w:r>
            <w:r w:rsidRPr="00EE61A5">
              <w:rPr>
                <w:color w:val="000000"/>
                <w:lang w:val="en-CA"/>
              </w:rPr>
              <w:t>Cambridge, GB-</w:t>
            </w:r>
            <w:proofErr w:type="gramStart"/>
            <w:r w:rsidRPr="00EE61A5">
              <w:rPr>
                <w:color w:val="000000"/>
                <w:lang w:val="en-CA"/>
              </w:rPr>
              <w:t>CAM :</w:t>
            </w:r>
            <w:proofErr w:type="gramEnd"/>
            <w:r w:rsidRPr="00EE61A5">
              <w:rPr>
                <w:color w:val="000000"/>
                <w:lang w:val="en-CA"/>
              </w:rPr>
              <w:t xml:space="preserve"> Cambridge University Press. </w:t>
            </w:r>
            <w:hyperlink r:id="rId478">
              <w:r w:rsidRPr="00EE61A5">
                <w:rPr>
                  <w:color w:val="4F81BD"/>
                  <w:lang w:val="en-CA"/>
                </w:rPr>
                <w:t>https://doi.org/10.1017/CBO9781139333580</w:t>
              </w:r>
            </w:hyperlink>
            <w:r w:rsidRPr="00EE61A5">
              <w:rPr>
                <w:color w:val="000000"/>
                <w:lang w:val="en-CA"/>
              </w:rPr>
              <w:t>.</w:t>
            </w:r>
          </w:p>
        </w:tc>
      </w:tr>
      <w:tr w:rsidR="00BF18CF" w:rsidRPr="000467B7" w14:paraId="55412641" w14:textId="77777777" w:rsidTr="00BF18CF">
        <w:tc>
          <w:tcPr>
            <w:tcW w:w="10690" w:type="dxa"/>
          </w:tcPr>
          <w:p w14:paraId="1798A00F"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Gibson, Joy Leslie. 1990. </w:t>
            </w:r>
            <w:r w:rsidRPr="00EE61A5">
              <w:rPr>
                <w:i/>
                <w:color w:val="000000"/>
                <w:lang w:val="en-CA"/>
              </w:rPr>
              <w:t>Ian McKellen</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Weidenfeld and Nicolson.</w:t>
            </w:r>
          </w:p>
        </w:tc>
      </w:tr>
      <w:tr w:rsidR="00BF18CF" w:rsidRPr="000467B7" w14:paraId="33AF19BF" w14:textId="77777777" w:rsidTr="00BF18CF">
        <w:tc>
          <w:tcPr>
            <w:tcW w:w="10690" w:type="dxa"/>
          </w:tcPr>
          <w:p w14:paraId="3F657E67"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Gimbutas, Marija Alseikaité. 1965. </w:t>
            </w:r>
            <w:r w:rsidRPr="00EE61A5">
              <w:rPr>
                <w:i/>
                <w:color w:val="000000"/>
                <w:lang w:val="en-CA"/>
              </w:rPr>
              <w:t>Bronze age cultures in central and eastern Europe</w:t>
            </w:r>
            <w:r w:rsidRPr="00EE61A5">
              <w:rPr>
                <w:color w:val="000000"/>
                <w:lang w:val="en-CA"/>
              </w:rPr>
              <w:t xml:space="preserve">. </w:t>
            </w:r>
            <w:r w:rsidRPr="005D545E">
              <w:rPr>
                <w:color w:val="000000"/>
                <w:lang w:val="en-CA"/>
              </w:rPr>
              <w:t>Paris, FR-</w:t>
            </w:r>
            <w:proofErr w:type="gramStart"/>
            <w:r w:rsidRPr="005D545E">
              <w:rPr>
                <w:color w:val="000000"/>
                <w:lang w:val="en-CA"/>
              </w:rPr>
              <w:t>75 :</w:t>
            </w:r>
            <w:proofErr w:type="gramEnd"/>
            <w:r w:rsidRPr="005D545E">
              <w:rPr>
                <w:color w:val="000000"/>
                <w:lang w:val="en-CA"/>
              </w:rPr>
              <w:t xml:space="preserve"> Mouton &amp; Co.</w:t>
            </w:r>
          </w:p>
        </w:tc>
      </w:tr>
      <w:tr w:rsidR="00BF18CF" w:rsidRPr="000467B7" w14:paraId="234B2A64" w14:textId="77777777" w:rsidTr="00BF18CF">
        <w:tc>
          <w:tcPr>
            <w:tcW w:w="10690" w:type="dxa"/>
          </w:tcPr>
          <w:p w14:paraId="5F7B968B"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Gleick, James. 2003. </w:t>
            </w:r>
            <w:r w:rsidRPr="00EE61A5">
              <w:rPr>
                <w:i/>
                <w:color w:val="000000"/>
                <w:lang w:val="en-CA"/>
              </w:rPr>
              <w:t>Isaac Newton</w:t>
            </w:r>
            <w:r w:rsidRPr="00EE61A5">
              <w:rPr>
                <w:color w:val="000000"/>
                <w:lang w:val="en-CA"/>
              </w:rPr>
              <w:t>. London; New York, US-</w:t>
            </w:r>
            <w:proofErr w:type="gramStart"/>
            <w:r w:rsidRPr="00EE61A5">
              <w:rPr>
                <w:color w:val="000000"/>
                <w:lang w:val="en-CA"/>
              </w:rPr>
              <w:t>NY :</w:t>
            </w:r>
            <w:proofErr w:type="gramEnd"/>
            <w:r w:rsidRPr="00EE61A5">
              <w:rPr>
                <w:color w:val="000000"/>
                <w:lang w:val="en-CA"/>
              </w:rPr>
              <w:t xml:space="preserve"> Fourth Estate.</w:t>
            </w:r>
          </w:p>
        </w:tc>
      </w:tr>
      <w:tr w:rsidR="00BF18CF" w:rsidRPr="000467B7" w14:paraId="1A99193E" w14:textId="77777777" w:rsidTr="00BF18CF">
        <w:tc>
          <w:tcPr>
            <w:tcW w:w="10690" w:type="dxa"/>
          </w:tcPr>
          <w:p w14:paraId="15A5F448"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Goldner, Orville, et George E Turner. 1976. </w:t>
            </w:r>
            <w:r w:rsidRPr="00EE61A5">
              <w:rPr>
                <w:i/>
                <w:color w:val="000000"/>
                <w:lang w:val="en-CA"/>
              </w:rPr>
              <w:t>The making of King Kong: the story behind a film classic</w:t>
            </w:r>
            <w:r w:rsidRPr="00EE61A5">
              <w:rPr>
                <w:color w:val="000000"/>
                <w:lang w:val="en-CA"/>
              </w:rPr>
              <w:t xml:space="preserve">. </w:t>
            </w:r>
            <w:r w:rsidRPr="005D545E">
              <w:rPr>
                <w:color w:val="000000"/>
                <w:lang w:val="en-CA"/>
              </w:rPr>
              <w:t>New York, US-</w:t>
            </w:r>
            <w:proofErr w:type="gramStart"/>
            <w:r w:rsidRPr="005D545E">
              <w:rPr>
                <w:color w:val="000000"/>
                <w:lang w:val="en-CA"/>
              </w:rPr>
              <w:t>NY :</w:t>
            </w:r>
            <w:proofErr w:type="gramEnd"/>
            <w:r w:rsidRPr="005D545E">
              <w:rPr>
                <w:color w:val="000000"/>
                <w:lang w:val="en-CA"/>
              </w:rPr>
              <w:t xml:space="preserve"> Ballantine Books.</w:t>
            </w:r>
          </w:p>
        </w:tc>
      </w:tr>
      <w:tr w:rsidR="00BF18CF" w:rsidRPr="000467B7" w14:paraId="48F43B51" w14:textId="77777777" w:rsidTr="00BF18CF">
        <w:tc>
          <w:tcPr>
            <w:tcW w:w="10690" w:type="dxa"/>
          </w:tcPr>
          <w:p w14:paraId="7E6A2401"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Goldscheider, Ludwig. 1953. </w:t>
            </w:r>
            <w:r w:rsidRPr="00EE61A5">
              <w:rPr>
                <w:i/>
                <w:color w:val="000000"/>
                <w:lang w:val="en-CA"/>
              </w:rPr>
              <w:t>Michelangelo: paintings, sculpture, architecture</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Phaidon Press.</w:t>
            </w:r>
          </w:p>
        </w:tc>
      </w:tr>
      <w:tr w:rsidR="00BF18CF" w:rsidRPr="000467B7" w14:paraId="42C59880" w14:textId="77777777" w:rsidTr="00BF18CF">
        <w:tc>
          <w:tcPr>
            <w:tcW w:w="10690" w:type="dxa"/>
          </w:tcPr>
          <w:p w14:paraId="5C945D21"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Goodwin, Peter. 2015. </w:t>
            </w:r>
            <w:r w:rsidRPr="00EE61A5">
              <w:rPr>
                <w:i/>
                <w:color w:val="000000"/>
                <w:lang w:val="en-CA"/>
              </w:rPr>
              <w:t>HMS Victory: 1765-1812 (first rate ship of the line)</w:t>
            </w:r>
            <w:r w:rsidRPr="00EE61A5">
              <w:rPr>
                <w:color w:val="000000"/>
                <w:lang w:val="en-CA"/>
              </w:rPr>
              <w:t>.</w:t>
            </w:r>
          </w:p>
        </w:tc>
      </w:tr>
      <w:tr w:rsidR="00BF18CF" w:rsidRPr="000467B7" w14:paraId="6B7D2FF8" w14:textId="77777777" w:rsidTr="00BF18CF">
        <w:tc>
          <w:tcPr>
            <w:tcW w:w="10690" w:type="dxa"/>
          </w:tcPr>
          <w:p w14:paraId="3178345A"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Gregor, Hugh. 1971. </w:t>
            </w:r>
            <w:r w:rsidRPr="00EE61A5">
              <w:rPr>
                <w:i/>
                <w:color w:val="000000"/>
                <w:lang w:val="en-CA"/>
              </w:rPr>
              <w:t>The S.S. Great Britain</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Published for the S.S. Great Britain Project by Macmillan.</w:t>
            </w:r>
          </w:p>
        </w:tc>
      </w:tr>
      <w:tr w:rsidR="00BF18CF" w14:paraId="4BCD54EE" w14:textId="77777777" w:rsidTr="00BF18CF">
        <w:tc>
          <w:tcPr>
            <w:tcW w:w="10690" w:type="dxa"/>
          </w:tcPr>
          <w:p w14:paraId="3CA61DAD"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Guarino, N. 1998. </w:t>
            </w:r>
            <w:r w:rsidRPr="00EE61A5">
              <w:rPr>
                <w:i/>
                <w:color w:val="000000"/>
                <w:lang w:val="en-CA"/>
              </w:rPr>
              <w:t>Formal Ontology in Information Systems: Proceedings of the 1st International Conference June 6-8, 1998, Trento, Italy</w:t>
            </w:r>
            <w:r w:rsidRPr="00EE61A5">
              <w:rPr>
                <w:color w:val="000000"/>
                <w:lang w:val="en-CA"/>
              </w:rPr>
              <w:t xml:space="preserve">. </w:t>
            </w:r>
            <w:r>
              <w:rPr>
                <w:color w:val="000000"/>
              </w:rPr>
              <w:t>1st éd. Amsterdam, NL : IOS Press.</w:t>
            </w:r>
          </w:p>
        </w:tc>
      </w:tr>
      <w:tr w:rsidR="00BF18CF" w:rsidRPr="000467B7" w14:paraId="796E0268" w14:textId="77777777" w:rsidTr="00BF18CF">
        <w:tc>
          <w:tcPr>
            <w:tcW w:w="10690" w:type="dxa"/>
          </w:tcPr>
          <w:p w14:paraId="1F401B8F"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Gurcke, Karl. 1987. </w:t>
            </w:r>
            <w:r w:rsidRPr="00EE61A5">
              <w:rPr>
                <w:i/>
                <w:color w:val="000000"/>
                <w:lang w:val="en-CA"/>
              </w:rPr>
              <w:t>Bricks and brickmaking: a handbook for historical archaeology</w:t>
            </w:r>
            <w:r w:rsidRPr="00EE61A5">
              <w:rPr>
                <w:color w:val="000000"/>
                <w:lang w:val="en-CA"/>
              </w:rPr>
              <w:t xml:space="preserve">. </w:t>
            </w:r>
            <w:r w:rsidRPr="005D545E">
              <w:rPr>
                <w:color w:val="000000"/>
                <w:lang w:val="en-CA"/>
              </w:rPr>
              <w:t>Moscow, US-</w:t>
            </w:r>
            <w:proofErr w:type="gramStart"/>
            <w:r w:rsidRPr="005D545E">
              <w:rPr>
                <w:color w:val="000000"/>
                <w:lang w:val="en-CA"/>
              </w:rPr>
              <w:t>ID :</w:t>
            </w:r>
            <w:proofErr w:type="gramEnd"/>
            <w:r w:rsidRPr="005D545E">
              <w:rPr>
                <w:color w:val="000000"/>
                <w:lang w:val="en-CA"/>
              </w:rPr>
              <w:t xml:space="preserve"> University of Idaho Press.</w:t>
            </w:r>
          </w:p>
        </w:tc>
      </w:tr>
      <w:tr w:rsidR="00BF18CF" w14:paraId="3BFD115E" w14:textId="77777777" w:rsidTr="00BF18CF">
        <w:tc>
          <w:tcPr>
            <w:tcW w:w="10690" w:type="dxa"/>
          </w:tcPr>
          <w:p w14:paraId="0C5F383C"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Håfors, Birgitta. 2010. « Conservation of the wood of the Swedish warship Vasa of a.d. 1628: evaluation of polyethylene glycol conversation programmes ». </w:t>
            </w:r>
            <w:r>
              <w:rPr>
                <w:color w:val="000000"/>
              </w:rPr>
              <w:t>Göteborg, SE-O : Acta Universitatis Gothoburgensis.</w:t>
            </w:r>
          </w:p>
        </w:tc>
      </w:tr>
      <w:tr w:rsidR="00BF18CF" w:rsidRPr="000467B7" w14:paraId="0E482F08" w14:textId="77777777" w:rsidTr="00BF18CF">
        <w:tc>
          <w:tcPr>
            <w:tcW w:w="10690" w:type="dxa"/>
          </w:tcPr>
          <w:p w14:paraId="76900622"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Hallam, A. 1975. </w:t>
            </w:r>
            <w:r w:rsidRPr="00EE61A5">
              <w:rPr>
                <w:i/>
                <w:color w:val="000000"/>
                <w:lang w:val="en-CA"/>
              </w:rPr>
              <w:t>Jurassic environment.</w:t>
            </w:r>
            <w:r w:rsidRPr="00EE61A5">
              <w:rPr>
                <w:color w:val="000000"/>
                <w:lang w:val="en-CA"/>
              </w:rPr>
              <w:t xml:space="preserve"> Cambridge, GB-</w:t>
            </w:r>
            <w:proofErr w:type="gramStart"/>
            <w:r w:rsidRPr="00EE61A5">
              <w:rPr>
                <w:color w:val="000000"/>
                <w:lang w:val="en-CA"/>
              </w:rPr>
              <w:t>CAM :</w:t>
            </w:r>
            <w:proofErr w:type="gramEnd"/>
            <w:r w:rsidRPr="00EE61A5">
              <w:rPr>
                <w:color w:val="000000"/>
                <w:lang w:val="en-CA"/>
              </w:rPr>
              <w:t xml:space="preserve"> Cambridge University Press.</w:t>
            </w:r>
          </w:p>
        </w:tc>
      </w:tr>
      <w:tr w:rsidR="00BF18CF" w14:paraId="1041C692" w14:textId="77777777" w:rsidTr="00BF18CF">
        <w:tc>
          <w:tcPr>
            <w:tcW w:w="10690" w:type="dxa"/>
          </w:tcPr>
          <w:p w14:paraId="0240EFF2"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Harbutt, Fraser J. 2010. </w:t>
            </w:r>
            <w:r w:rsidRPr="00EE61A5">
              <w:rPr>
                <w:i/>
                <w:color w:val="000000"/>
                <w:lang w:val="en-CA"/>
              </w:rPr>
              <w:t>Yalta 1945: Europe and America at the crossroads</w:t>
            </w:r>
            <w:r w:rsidRPr="00EE61A5">
              <w:rPr>
                <w:color w:val="000000"/>
                <w:lang w:val="en-CA"/>
              </w:rPr>
              <w:t xml:space="preserve">. </w:t>
            </w:r>
            <w:r>
              <w:rPr>
                <w:color w:val="000000"/>
              </w:rPr>
              <w:t>Cambridge, GB-CAM : Cambridge University Press.</w:t>
            </w:r>
          </w:p>
        </w:tc>
      </w:tr>
      <w:tr w:rsidR="00BF18CF" w:rsidRPr="000467B7" w14:paraId="287D47F8" w14:textId="77777777" w:rsidTr="00BF18CF">
        <w:tc>
          <w:tcPr>
            <w:tcW w:w="10690" w:type="dxa"/>
          </w:tcPr>
          <w:p w14:paraId="466B9699"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Harrison, Richard John. 2004. </w:t>
            </w:r>
            <w:r w:rsidRPr="00EE61A5">
              <w:rPr>
                <w:i/>
                <w:color w:val="000000"/>
                <w:lang w:val="en-CA"/>
              </w:rPr>
              <w:t>Symbols and warriors: images of the European Bronze Age</w:t>
            </w:r>
            <w:r w:rsidRPr="00EE61A5">
              <w:rPr>
                <w:color w:val="000000"/>
                <w:lang w:val="en-CA"/>
              </w:rPr>
              <w:t xml:space="preserve">. </w:t>
            </w:r>
            <w:r w:rsidRPr="005D545E">
              <w:rPr>
                <w:color w:val="000000"/>
                <w:lang w:val="en-CA"/>
              </w:rPr>
              <w:t>Bristol, GB-</w:t>
            </w:r>
            <w:proofErr w:type="gramStart"/>
            <w:r w:rsidRPr="005D545E">
              <w:rPr>
                <w:color w:val="000000"/>
                <w:lang w:val="en-CA"/>
              </w:rPr>
              <w:t>BST :</w:t>
            </w:r>
            <w:proofErr w:type="gramEnd"/>
            <w:r w:rsidRPr="005D545E">
              <w:rPr>
                <w:color w:val="000000"/>
                <w:lang w:val="en-CA"/>
              </w:rPr>
              <w:t xml:space="preserve"> Western Academic &amp; Specialist Press.</w:t>
            </w:r>
          </w:p>
        </w:tc>
      </w:tr>
      <w:tr w:rsidR="00BF18CF" w14:paraId="295EDAF4" w14:textId="77777777" w:rsidTr="00BF18CF">
        <w:tc>
          <w:tcPr>
            <w:tcW w:w="10690" w:type="dxa"/>
          </w:tcPr>
          <w:p w14:paraId="693ECD82"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Hartle, James B. 2003. </w:t>
            </w:r>
            <w:r w:rsidRPr="00EE61A5">
              <w:rPr>
                <w:i/>
                <w:color w:val="000000"/>
                <w:lang w:val="en-CA"/>
              </w:rPr>
              <w:t>Gravity an introduction to Einstein’s general relativity</w:t>
            </w:r>
            <w:r w:rsidRPr="00EE61A5">
              <w:rPr>
                <w:color w:val="000000"/>
                <w:lang w:val="en-CA"/>
              </w:rPr>
              <w:t xml:space="preserve">. </w:t>
            </w:r>
            <w:r>
              <w:rPr>
                <w:color w:val="000000"/>
              </w:rPr>
              <w:t>San Francisco, US-CA : Addison-Wesley.</w:t>
            </w:r>
          </w:p>
        </w:tc>
      </w:tr>
      <w:tr w:rsidR="00BF18CF" w:rsidRPr="000467B7" w14:paraId="7A650A6A" w14:textId="77777777" w:rsidTr="00BF18CF">
        <w:tc>
          <w:tcPr>
            <w:tcW w:w="10690" w:type="dxa"/>
          </w:tcPr>
          <w:p w14:paraId="37029D9B" w14:textId="77777777" w:rsidR="00BF18CF" w:rsidRPr="005D545E" w:rsidRDefault="00E51347">
            <w:pPr>
              <w:pBdr>
                <w:top w:val="nil"/>
                <w:left w:val="nil"/>
                <w:bottom w:val="nil"/>
                <w:right w:val="nil"/>
                <w:between w:val="nil"/>
              </w:pBdr>
              <w:spacing w:before="36" w:after="36"/>
              <w:rPr>
                <w:color w:val="000000"/>
                <w:lang w:val="en-CA"/>
              </w:rPr>
            </w:pPr>
            <w:r>
              <w:rPr>
                <w:color w:val="000000"/>
              </w:rPr>
              <w:t xml:space="preserve">Hau, L. V, S. E Harris, Z Dutton, et C. H Behroozi. </w:t>
            </w:r>
            <w:r w:rsidRPr="00EE61A5">
              <w:rPr>
                <w:color w:val="000000"/>
                <w:lang w:val="en-CA"/>
              </w:rPr>
              <w:t xml:space="preserve">1999. « Light speed reduction to 17 metres per second in an ultracold atomic gas ». </w:t>
            </w:r>
            <w:r w:rsidRPr="005D545E">
              <w:rPr>
                <w:i/>
                <w:color w:val="000000"/>
                <w:lang w:val="en-CA"/>
              </w:rPr>
              <w:t>Nature</w:t>
            </w:r>
            <w:r w:rsidRPr="005D545E">
              <w:rPr>
                <w:color w:val="000000"/>
                <w:lang w:val="en-CA"/>
              </w:rPr>
              <w:t>, n</w:t>
            </w:r>
            <w:r w:rsidRPr="005D545E">
              <w:rPr>
                <w:color w:val="000000"/>
                <w:vertAlign w:val="superscript"/>
                <w:lang w:val="en-CA"/>
              </w:rPr>
              <w:t>o</w:t>
            </w:r>
            <w:r w:rsidRPr="005D545E">
              <w:rPr>
                <w:color w:val="000000"/>
                <w:lang w:val="en-CA"/>
              </w:rPr>
              <w:t xml:space="preserve"> </w:t>
            </w:r>
            <w:proofErr w:type="gramStart"/>
            <w:r w:rsidRPr="005D545E">
              <w:rPr>
                <w:color w:val="000000"/>
                <w:lang w:val="en-CA"/>
              </w:rPr>
              <w:t>6720 :</w:t>
            </w:r>
            <w:proofErr w:type="gramEnd"/>
            <w:r w:rsidRPr="005D545E">
              <w:rPr>
                <w:color w:val="000000"/>
                <w:lang w:val="en-CA"/>
              </w:rPr>
              <w:t xml:space="preserve"> 594‑97.</w:t>
            </w:r>
          </w:p>
        </w:tc>
      </w:tr>
      <w:tr w:rsidR="00BF18CF" w14:paraId="6254150B" w14:textId="77777777" w:rsidTr="00BF18CF">
        <w:tc>
          <w:tcPr>
            <w:tcW w:w="10690" w:type="dxa"/>
          </w:tcPr>
          <w:p w14:paraId="114D6CD0"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Hawass, Z. 2000. </w:t>
            </w:r>
            <w:r w:rsidRPr="00EE61A5">
              <w:rPr>
                <w:i/>
                <w:color w:val="000000"/>
                <w:lang w:val="en-CA"/>
              </w:rPr>
              <w:t>The Mysteries of Abu Simbel: Ramesses II and the Temples of the Rising Sun</w:t>
            </w:r>
            <w:r w:rsidRPr="00EE61A5">
              <w:rPr>
                <w:color w:val="000000"/>
                <w:lang w:val="en-CA"/>
              </w:rPr>
              <w:t xml:space="preserve">. </w:t>
            </w:r>
            <w:r>
              <w:rPr>
                <w:color w:val="000000"/>
              </w:rPr>
              <w:t>Le Caire, EG-</w:t>
            </w:r>
            <w:proofErr w:type="gramStart"/>
            <w:r>
              <w:rPr>
                <w:color w:val="000000"/>
              </w:rPr>
              <w:t>C :</w:t>
            </w:r>
            <w:proofErr w:type="gramEnd"/>
            <w:r>
              <w:rPr>
                <w:color w:val="000000"/>
              </w:rPr>
              <w:t xml:space="preserve"> American University in Cairo.</w:t>
            </w:r>
          </w:p>
        </w:tc>
      </w:tr>
      <w:tr w:rsidR="00BF18CF" w:rsidRPr="000467B7" w14:paraId="0A49127A" w14:textId="77777777" w:rsidTr="00BF18CF">
        <w:tc>
          <w:tcPr>
            <w:tcW w:w="10690" w:type="dxa"/>
          </w:tcPr>
          <w:p w14:paraId="4EB82AA6"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Hegen, Edmund Eduard. 1966. </w:t>
            </w:r>
            <w:r w:rsidRPr="00EE61A5">
              <w:rPr>
                <w:i/>
                <w:color w:val="000000"/>
                <w:lang w:val="en-CA"/>
              </w:rPr>
              <w:t>Highways into the Upper Amazon Basin: pioneer lands in southern Colombia, Ecuador, and northern Peru</w:t>
            </w:r>
            <w:r w:rsidRPr="00EE61A5">
              <w:rPr>
                <w:color w:val="000000"/>
                <w:lang w:val="en-CA"/>
              </w:rPr>
              <w:t xml:space="preserve">. </w:t>
            </w:r>
            <w:r w:rsidRPr="005D545E">
              <w:rPr>
                <w:color w:val="000000"/>
                <w:lang w:val="en-CA"/>
              </w:rPr>
              <w:t>Gainesville, US-</w:t>
            </w:r>
            <w:proofErr w:type="gramStart"/>
            <w:r w:rsidRPr="005D545E">
              <w:rPr>
                <w:color w:val="000000"/>
                <w:lang w:val="en-CA"/>
              </w:rPr>
              <w:t>FL :</w:t>
            </w:r>
            <w:proofErr w:type="gramEnd"/>
            <w:r w:rsidRPr="005D545E">
              <w:rPr>
                <w:color w:val="000000"/>
                <w:lang w:val="en-CA"/>
              </w:rPr>
              <w:t xml:space="preserve"> University of Florida Press.</w:t>
            </w:r>
          </w:p>
        </w:tc>
      </w:tr>
      <w:tr w:rsidR="00BF18CF" w:rsidRPr="000467B7" w14:paraId="01DC1A59" w14:textId="77777777" w:rsidTr="00BF18CF">
        <w:tc>
          <w:tcPr>
            <w:tcW w:w="10690" w:type="dxa"/>
          </w:tcPr>
          <w:p w14:paraId="30568293"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Hershberger A.J, Robacker C, et Jenkins T.M. 2015. « Molecular genetic variability of spigelia marilandica and S. Gentianoides ». </w:t>
            </w:r>
            <w:r w:rsidRPr="00EE61A5">
              <w:rPr>
                <w:i/>
                <w:color w:val="000000"/>
                <w:lang w:val="en-CA"/>
              </w:rPr>
              <w:t>J. Am. Soc. Hortic. Sci. Journal of the American Society for Horticultural Science</w:t>
            </w:r>
            <w:r w:rsidRPr="00EE61A5">
              <w:rPr>
                <w:color w:val="000000"/>
                <w:lang w:val="en-CA"/>
              </w:rPr>
              <w:t xml:space="preserve"> 140 (2</w:t>
            </w:r>
            <w:proofErr w:type="gramStart"/>
            <w:r w:rsidRPr="00EE61A5">
              <w:rPr>
                <w:color w:val="000000"/>
                <w:lang w:val="en-CA"/>
              </w:rPr>
              <w:t>) :</w:t>
            </w:r>
            <w:proofErr w:type="gramEnd"/>
            <w:r w:rsidRPr="00EE61A5">
              <w:rPr>
                <w:color w:val="000000"/>
                <w:lang w:val="en-CA"/>
              </w:rPr>
              <w:t xml:space="preserve"> 120‑28.</w:t>
            </w:r>
          </w:p>
        </w:tc>
      </w:tr>
      <w:tr w:rsidR="00BF18CF" w:rsidRPr="004B3086" w14:paraId="29B7BFDF" w14:textId="77777777" w:rsidTr="00BF18CF">
        <w:tc>
          <w:tcPr>
            <w:tcW w:w="10690" w:type="dxa"/>
          </w:tcPr>
          <w:p w14:paraId="73EB6CBF"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lastRenderedPageBreak/>
              <w:t xml:space="preserve">Hiebel, Gerald, et Martin Doerr. 2013. « An ontological spatio-temporal refinement for the CIDOC CRM and GIS standards ». </w:t>
            </w:r>
            <w:r w:rsidRPr="005D545E">
              <w:rPr>
                <w:color w:val="000000"/>
                <w:lang w:val="en-CA"/>
              </w:rPr>
              <w:t>Pilsen, Czech Republic.</w:t>
            </w:r>
          </w:p>
        </w:tc>
      </w:tr>
      <w:tr w:rsidR="00BF18CF" w:rsidRPr="005D545E" w14:paraId="3EA4DE2F" w14:textId="77777777" w:rsidTr="00BF18CF">
        <w:tc>
          <w:tcPr>
            <w:tcW w:w="10690" w:type="dxa"/>
          </w:tcPr>
          <w:p w14:paraId="09488862"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Hilmo, Maidie. 2019. </w:t>
            </w:r>
            <w:r w:rsidRPr="00EE61A5">
              <w:rPr>
                <w:i/>
                <w:color w:val="000000"/>
                <w:lang w:val="en-CA"/>
              </w:rPr>
              <w:t xml:space="preserve">Medieval Images, Icons, and Illustrated English Literary </w:t>
            </w:r>
            <w:proofErr w:type="gramStart"/>
            <w:r w:rsidRPr="00EE61A5">
              <w:rPr>
                <w:i/>
                <w:color w:val="000000"/>
                <w:lang w:val="en-CA"/>
              </w:rPr>
              <w:t>Texts :</w:t>
            </w:r>
            <w:proofErr w:type="gramEnd"/>
            <w:r w:rsidRPr="00EE61A5">
              <w:rPr>
                <w:i/>
                <w:color w:val="000000"/>
                <w:lang w:val="en-CA"/>
              </w:rPr>
              <w:t xml:space="preserve"> From the Ruthwell Cross to the Ellesmere Chaucer</w:t>
            </w:r>
            <w:r w:rsidRPr="00EE61A5">
              <w:rPr>
                <w:color w:val="000000"/>
                <w:lang w:val="en-CA"/>
              </w:rPr>
              <w:t xml:space="preserve">. </w:t>
            </w:r>
            <w:r w:rsidRPr="005D545E">
              <w:rPr>
                <w:color w:val="000000"/>
                <w:lang w:val="en-CA"/>
              </w:rPr>
              <w:t>Aldershot, GB-</w:t>
            </w:r>
            <w:proofErr w:type="gramStart"/>
            <w:r w:rsidRPr="005D545E">
              <w:rPr>
                <w:color w:val="000000"/>
                <w:lang w:val="en-CA"/>
              </w:rPr>
              <w:t>HAM :</w:t>
            </w:r>
            <w:proofErr w:type="gramEnd"/>
            <w:r w:rsidRPr="005D545E">
              <w:rPr>
                <w:color w:val="000000"/>
                <w:lang w:val="en-CA"/>
              </w:rPr>
              <w:t xml:space="preserve"> Ashgate Publishing, Ltd. </w:t>
            </w:r>
            <w:r w:rsidR="000467B7">
              <w:fldChar w:fldCharType="begin"/>
            </w:r>
            <w:r w:rsidR="000467B7" w:rsidRPr="000467B7">
              <w:rPr>
                <w:lang w:val="en-CA"/>
              </w:rPr>
              <w:instrText>HYPERLINK "https://doi.org/10.4324/9781315249278" \h</w:instrText>
            </w:r>
            <w:r w:rsidR="000467B7">
              <w:fldChar w:fldCharType="separate"/>
            </w:r>
            <w:r w:rsidRPr="005D545E">
              <w:rPr>
                <w:color w:val="4F81BD"/>
                <w:lang w:val="en-CA"/>
              </w:rPr>
              <w:t>https://doi.org/10.4324/9781315249278</w:t>
            </w:r>
            <w:r w:rsidR="000467B7">
              <w:rPr>
                <w:color w:val="4F81BD"/>
                <w:lang w:val="en-CA"/>
              </w:rPr>
              <w:fldChar w:fldCharType="end"/>
            </w:r>
            <w:r w:rsidRPr="005D545E">
              <w:rPr>
                <w:color w:val="000000"/>
                <w:lang w:val="en-CA"/>
              </w:rPr>
              <w:t>.</w:t>
            </w:r>
          </w:p>
        </w:tc>
      </w:tr>
      <w:tr w:rsidR="00BF18CF" w14:paraId="6F353DB2" w14:textId="77777777" w:rsidTr="00BF18CF">
        <w:tc>
          <w:tcPr>
            <w:tcW w:w="10690" w:type="dxa"/>
          </w:tcPr>
          <w:p w14:paraId="55EC8EF5"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Hind, Arthur M. 1923. </w:t>
            </w:r>
            <w:r w:rsidRPr="00EE61A5">
              <w:rPr>
                <w:i/>
                <w:color w:val="000000"/>
                <w:lang w:val="en-CA"/>
              </w:rPr>
              <w:t>A catalogue of Rembrandt’s etchings: chronologically arranged and completely illustrated</w:t>
            </w:r>
            <w:r w:rsidRPr="00EE61A5">
              <w:rPr>
                <w:color w:val="000000"/>
                <w:lang w:val="en-CA"/>
              </w:rPr>
              <w:t xml:space="preserve">. </w:t>
            </w:r>
            <w:r>
              <w:rPr>
                <w:color w:val="000000"/>
              </w:rPr>
              <w:t>Londres, GB-LND : Methuen.</w:t>
            </w:r>
          </w:p>
        </w:tc>
      </w:tr>
      <w:tr w:rsidR="00BF18CF" w:rsidRPr="000467B7" w14:paraId="7949AD31" w14:textId="77777777" w:rsidTr="00BF18CF">
        <w:tc>
          <w:tcPr>
            <w:tcW w:w="10690" w:type="dxa"/>
          </w:tcPr>
          <w:p w14:paraId="688CB6B2"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Holliday, Ian, Gérard Marcou, et Roger William Vickerman. 1991. </w:t>
            </w:r>
            <w:r w:rsidRPr="00EE61A5">
              <w:rPr>
                <w:i/>
                <w:color w:val="000000"/>
                <w:lang w:val="en-CA"/>
              </w:rPr>
              <w:t xml:space="preserve">The Channel tunnel: public policy, regional </w:t>
            </w:r>
            <w:proofErr w:type="gramStart"/>
            <w:r w:rsidRPr="00EE61A5">
              <w:rPr>
                <w:i/>
                <w:color w:val="000000"/>
                <w:lang w:val="en-CA"/>
              </w:rPr>
              <w:t>development</w:t>
            </w:r>
            <w:proofErr w:type="gramEnd"/>
            <w:r w:rsidRPr="00EE61A5">
              <w:rPr>
                <w:i/>
                <w:color w:val="000000"/>
                <w:lang w:val="en-CA"/>
              </w:rPr>
              <w:t xml:space="preserve"> and European integration</w:t>
            </w:r>
            <w:r w:rsidRPr="00EE61A5">
              <w:rPr>
                <w:color w:val="000000"/>
                <w:lang w:val="en-CA"/>
              </w:rPr>
              <w:t xml:space="preserve">. </w:t>
            </w:r>
            <w:r w:rsidRPr="005D545E">
              <w:rPr>
                <w:color w:val="000000"/>
                <w:lang w:val="en-CA"/>
              </w:rPr>
              <w:t>London; New York, US-</w:t>
            </w:r>
            <w:proofErr w:type="gramStart"/>
            <w:r w:rsidRPr="005D545E">
              <w:rPr>
                <w:color w:val="000000"/>
                <w:lang w:val="en-CA"/>
              </w:rPr>
              <w:t>NY :</w:t>
            </w:r>
            <w:proofErr w:type="gramEnd"/>
            <w:r w:rsidRPr="005D545E">
              <w:rPr>
                <w:color w:val="000000"/>
                <w:lang w:val="en-CA"/>
              </w:rPr>
              <w:t xml:space="preserve"> Belhaven Press.</w:t>
            </w:r>
          </w:p>
        </w:tc>
      </w:tr>
      <w:tr w:rsidR="00BF18CF" w:rsidRPr="009F53E4" w14:paraId="2840EEA1" w14:textId="77777777" w:rsidTr="00BF18CF">
        <w:tc>
          <w:tcPr>
            <w:tcW w:w="10690" w:type="dxa"/>
          </w:tcPr>
          <w:p w14:paraId="1A862B89" w14:textId="77777777" w:rsidR="00BF18CF" w:rsidRPr="009F53E4" w:rsidRDefault="00E51347">
            <w:pPr>
              <w:pBdr>
                <w:top w:val="nil"/>
                <w:left w:val="nil"/>
                <w:bottom w:val="nil"/>
                <w:right w:val="nil"/>
                <w:between w:val="nil"/>
              </w:pBdr>
              <w:spacing w:before="36" w:after="36"/>
              <w:rPr>
                <w:color w:val="000000"/>
                <w:lang w:val="en-US"/>
              </w:rPr>
            </w:pPr>
            <w:r w:rsidRPr="00EE61A5">
              <w:rPr>
                <w:color w:val="000000"/>
                <w:lang w:val="en-CA"/>
              </w:rPr>
              <w:t xml:space="preserve">Honey, Andrew, et Nicholas Pickwoad. 2010. « Learning from the Past: Using Original Techniques to Conserve a </w:t>
            </w:r>
            <w:proofErr w:type="gramStart"/>
            <w:r w:rsidRPr="00EE61A5">
              <w:rPr>
                <w:color w:val="000000"/>
                <w:lang w:val="en-CA"/>
              </w:rPr>
              <w:t>Twelfth-Century</w:t>
            </w:r>
            <w:proofErr w:type="gramEnd"/>
            <w:r w:rsidRPr="00EE61A5">
              <w:rPr>
                <w:color w:val="000000"/>
                <w:lang w:val="en-CA"/>
              </w:rPr>
              <w:t xml:space="preserve"> Illuminated Manuscript and Its Sixteenthcentury Greek-Style Binding at the Monastery of St Catherine, Sinai ». </w:t>
            </w:r>
            <w:r w:rsidRPr="009F53E4">
              <w:rPr>
                <w:i/>
                <w:color w:val="000000"/>
                <w:lang w:val="en-US"/>
              </w:rPr>
              <w:t>Studies in Conservation</w:t>
            </w:r>
            <w:r w:rsidRPr="009F53E4">
              <w:rPr>
                <w:color w:val="000000"/>
                <w:lang w:val="en-US"/>
              </w:rPr>
              <w:t xml:space="preserve"> 55 (sup2</w:t>
            </w:r>
            <w:proofErr w:type="gramStart"/>
            <w:r w:rsidRPr="009F53E4">
              <w:rPr>
                <w:color w:val="000000"/>
                <w:lang w:val="en-US"/>
              </w:rPr>
              <w:t>) :</w:t>
            </w:r>
            <w:proofErr w:type="gramEnd"/>
            <w:r w:rsidRPr="009F53E4">
              <w:rPr>
                <w:color w:val="000000"/>
                <w:lang w:val="en-US"/>
              </w:rPr>
              <w:t xml:space="preserve"> 56‑61. </w:t>
            </w:r>
            <w:r w:rsidR="000467B7">
              <w:fldChar w:fldCharType="begin"/>
            </w:r>
            <w:r w:rsidR="000467B7" w:rsidRPr="000467B7">
              <w:rPr>
                <w:lang w:val="en-CA"/>
              </w:rPr>
              <w:instrText>HYPERLINK "https://doi.org/10.1179/sic.201</w:instrText>
            </w:r>
            <w:r w:rsidR="000467B7" w:rsidRPr="000467B7">
              <w:rPr>
                <w:lang w:val="en-CA"/>
              </w:rPr>
              <w:instrText>0.55.Supplement-2.56" \h</w:instrText>
            </w:r>
            <w:r w:rsidR="000467B7">
              <w:fldChar w:fldCharType="separate"/>
            </w:r>
            <w:r w:rsidRPr="009F53E4">
              <w:rPr>
                <w:color w:val="4F81BD"/>
                <w:lang w:val="en-US"/>
              </w:rPr>
              <w:t>https://doi.org/10.1179/sic.2010.55.Supplement-2.56</w:t>
            </w:r>
            <w:r w:rsidR="000467B7">
              <w:rPr>
                <w:color w:val="4F81BD"/>
                <w:lang w:val="en-US"/>
              </w:rPr>
              <w:fldChar w:fldCharType="end"/>
            </w:r>
            <w:r w:rsidRPr="009F53E4">
              <w:rPr>
                <w:color w:val="000000"/>
                <w:lang w:val="en-US"/>
              </w:rPr>
              <w:t>.</w:t>
            </w:r>
          </w:p>
        </w:tc>
      </w:tr>
      <w:tr w:rsidR="00BF18CF" w:rsidRPr="000467B7" w14:paraId="0CB1ED9A" w14:textId="77777777" w:rsidTr="00BF18CF">
        <w:tc>
          <w:tcPr>
            <w:tcW w:w="10690" w:type="dxa"/>
          </w:tcPr>
          <w:p w14:paraId="5E0F5161"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Hood, Sinclair. 1971. </w:t>
            </w:r>
            <w:r w:rsidRPr="00EE61A5">
              <w:rPr>
                <w:i/>
                <w:color w:val="000000"/>
                <w:lang w:val="en-CA"/>
              </w:rPr>
              <w:t>The Minoans: Crete in the Bronze Age</w:t>
            </w:r>
            <w:r w:rsidRPr="00EE61A5">
              <w:rPr>
                <w:color w:val="000000"/>
                <w:lang w:val="en-CA"/>
              </w:rPr>
              <w:t>. Ancient Peoples and Places 75. Londres, GB-</w:t>
            </w:r>
            <w:proofErr w:type="gramStart"/>
            <w:r w:rsidRPr="00EE61A5">
              <w:rPr>
                <w:color w:val="000000"/>
                <w:lang w:val="en-CA"/>
              </w:rPr>
              <w:t>LND :</w:t>
            </w:r>
            <w:proofErr w:type="gramEnd"/>
            <w:r w:rsidRPr="00EE61A5">
              <w:rPr>
                <w:color w:val="000000"/>
                <w:lang w:val="en-CA"/>
              </w:rPr>
              <w:t xml:space="preserve"> Thames and Hudson.</w:t>
            </w:r>
          </w:p>
        </w:tc>
      </w:tr>
      <w:tr w:rsidR="00BF18CF" w:rsidRPr="000467B7" w14:paraId="6F5AA97F" w14:textId="77777777" w:rsidTr="00BF18CF">
        <w:tc>
          <w:tcPr>
            <w:tcW w:w="10690" w:type="dxa"/>
          </w:tcPr>
          <w:p w14:paraId="20F4EDFC"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Hopkins, Keith, et Mary Beard. 2011. </w:t>
            </w:r>
            <w:r w:rsidRPr="00EE61A5">
              <w:rPr>
                <w:i/>
                <w:color w:val="000000"/>
                <w:lang w:val="en-CA"/>
              </w:rPr>
              <w:t>The Colosseum</w:t>
            </w:r>
            <w:r w:rsidRPr="00EE61A5">
              <w:rPr>
                <w:color w:val="000000"/>
                <w:lang w:val="en-CA"/>
              </w:rPr>
              <w:t>. Cambridge, US-</w:t>
            </w:r>
            <w:proofErr w:type="gramStart"/>
            <w:r w:rsidRPr="00EE61A5">
              <w:rPr>
                <w:color w:val="000000"/>
                <w:lang w:val="en-CA"/>
              </w:rPr>
              <w:t>MA :</w:t>
            </w:r>
            <w:proofErr w:type="gramEnd"/>
            <w:r w:rsidRPr="00EE61A5">
              <w:rPr>
                <w:color w:val="000000"/>
                <w:lang w:val="en-CA"/>
              </w:rPr>
              <w:t xml:space="preserve"> Harvard University Press.</w:t>
            </w:r>
          </w:p>
        </w:tc>
      </w:tr>
      <w:tr w:rsidR="00BF18CF" w:rsidRPr="000467B7" w14:paraId="2842B290" w14:textId="77777777" w:rsidTr="00BF18CF">
        <w:tc>
          <w:tcPr>
            <w:tcW w:w="10690" w:type="dxa"/>
          </w:tcPr>
          <w:p w14:paraId="04255BE2"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Howard, Martin. 2012. </w:t>
            </w:r>
            <w:r w:rsidRPr="00EE61A5">
              <w:rPr>
                <w:i/>
                <w:color w:val="000000"/>
                <w:lang w:val="en-CA"/>
              </w:rPr>
              <w:t xml:space="preserve">Alexander the Great: </w:t>
            </w:r>
            <w:proofErr w:type="gramStart"/>
            <w:r w:rsidRPr="00EE61A5">
              <w:rPr>
                <w:i/>
                <w:color w:val="000000"/>
                <w:lang w:val="en-CA"/>
              </w:rPr>
              <w:t>the</w:t>
            </w:r>
            <w:proofErr w:type="gramEnd"/>
            <w:r w:rsidRPr="00EE61A5">
              <w:rPr>
                <w:i/>
                <w:color w:val="000000"/>
                <w:lang w:val="en-CA"/>
              </w:rPr>
              <w:t xml:space="preserve"> Story of the Invincible Macedonian King.</w:t>
            </w:r>
            <w:r w:rsidRPr="00EE61A5">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Bloomsbury Publishing Plc.</w:t>
            </w:r>
          </w:p>
        </w:tc>
      </w:tr>
      <w:tr w:rsidR="00BF18CF" w:rsidRPr="000467B7" w14:paraId="37212AD6" w14:textId="77777777" w:rsidTr="00BF18CF">
        <w:tc>
          <w:tcPr>
            <w:tcW w:w="10690" w:type="dxa"/>
          </w:tcPr>
          <w:p w14:paraId="21C90067"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Hoyt, Edwin Palmer. 1993. </w:t>
            </w:r>
            <w:r w:rsidRPr="00EE61A5">
              <w:rPr>
                <w:i/>
                <w:color w:val="000000"/>
                <w:lang w:val="en-CA"/>
              </w:rPr>
              <w:t>199 days: the battle of Stalingrad</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Tor.</w:t>
            </w:r>
          </w:p>
        </w:tc>
      </w:tr>
      <w:tr w:rsidR="00BF18CF" w:rsidRPr="000467B7" w14:paraId="409EDC16" w14:textId="77777777" w:rsidTr="00BF18CF">
        <w:tc>
          <w:tcPr>
            <w:tcW w:w="10690" w:type="dxa"/>
          </w:tcPr>
          <w:p w14:paraId="0E752F28" w14:textId="77777777" w:rsidR="00BF18CF" w:rsidRPr="005D545E" w:rsidRDefault="00E51347">
            <w:pPr>
              <w:pBdr>
                <w:top w:val="nil"/>
                <w:left w:val="nil"/>
                <w:bottom w:val="nil"/>
                <w:right w:val="nil"/>
                <w:between w:val="nil"/>
              </w:pBdr>
              <w:spacing w:before="36" w:after="36"/>
              <w:rPr>
                <w:color w:val="000000"/>
                <w:lang w:val="en-CA"/>
              </w:rPr>
            </w:pPr>
            <w:r>
              <w:rPr>
                <w:color w:val="000000"/>
              </w:rPr>
              <w:t xml:space="preserve">Hufford, D. J, et P Horwitz. </w:t>
            </w:r>
            <w:r w:rsidRPr="00EE61A5">
              <w:rPr>
                <w:color w:val="000000"/>
                <w:lang w:val="en-CA"/>
              </w:rPr>
              <w:t xml:space="preserve">2005. « Fixing the Hole in the Ozone Layer: A Success in the Making ». </w:t>
            </w:r>
            <w:r w:rsidRPr="005D545E">
              <w:rPr>
                <w:i/>
                <w:color w:val="000000"/>
                <w:lang w:val="en-CA"/>
              </w:rPr>
              <w:t>Natural Resources and the Environment - Chicago</w:t>
            </w:r>
            <w:r w:rsidRPr="005D545E">
              <w:rPr>
                <w:color w:val="000000"/>
                <w:lang w:val="en-CA"/>
              </w:rPr>
              <w:t xml:space="preserve"> 19 (4</w:t>
            </w:r>
            <w:proofErr w:type="gramStart"/>
            <w:r w:rsidRPr="005D545E">
              <w:rPr>
                <w:color w:val="000000"/>
                <w:lang w:val="en-CA"/>
              </w:rPr>
              <w:t>) :</w:t>
            </w:r>
            <w:proofErr w:type="gramEnd"/>
            <w:r w:rsidRPr="005D545E">
              <w:rPr>
                <w:color w:val="000000"/>
                <w:lang w:val="en-CA"/>
              </w:rPr>
              <w:t xml:space="preserve"> 8‑14.</w:t>
            </w:r>
          </w:p>
        </w:tc>
      </w:tr>
      <w:tr w:rsidR="00BF18CF" w14:paraId="7D251BC4" w14:textId="77777777" w:rsidTr="00BF18CF">
        <w:tc>
          <w:tcPr>
            <w:tcW w:w="10690" w:type="dxa"/>
          </w:tcPr>
          <w:p w14:paraId="296E0791" w14:textId="77777777" w:rsidR="00BF18CF" w:rsidRDefault="00E51347">
            <w:pPr>
              <w:pBdr>
                <w:top w:val="nil"/>
                <w:left w:val="nil"/>
                <w:bottom w:val="nil"/>
                <w:right w:val="nil"/>
                <w:between w:val="nil"/>
              </w:pBdr>
              <w:spacing w:before="36" w:after="36"/>
              <w:rPr>
                <w:color w:val="000000"/>
              </w:rPr>
            </w:pPr>
            <w:r>
              <w:rPr>
                <w:color w:val="000000"/>
              </w:rPr>
              <w:t xml:space="preserve">Humboldt, Alexander von. 1859. </w:t>
            </w:r>
            <w:r>
              <w:rPr>
                <w:i/>
                <w:color w:val="000000"/>
              </w:rPr>
              <w:t>Reise in die Aequinoctial Gegenden des neuen Continents</w:t>
            </w:r>
            <w:r>
              <w:rPr>
                <w:color w:val="000000"/>
              </w:rPr>
              <w:t>. Traduit par H. Hauff. Stuttgart, DE-BW : J. G. Cotta.</w:t>
            </w:r>
          </w:p>
        </w:tc>
      </w:tr>
      <w:tr w:rsidR="00BF18CF" w:rsidRPr="000467B7" w14:paraId="0DFA10FC" w14:textId="77777777" w:rsidTr="00BF18CF">
        <w:tc>
          <w:tcPr>
            <w:tcW w:w="10690" w:type="dxa"/>
          </w:tcPr>
          <w:p w14:paraId="13A72318"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Huray, Paul G. 2010. </w:t>
            </w:r>
            <w:r w:rsidRPr="00EE61A5">
              <w:rPr>
                <w:i/>
                <w:color w:val="000000"/>
                <w:lang w:val="en-CA"/>
              </w:rPr>
              <w:t>Maxwell’s Equations</w:t>
            </w:r>
            <w:r w:rsidRPr="00EE61A5">
              <w:rPr>
                <w:color w:val="000000"/>
                <w:lang w:val="en-CA"/>
              </w:rPr>
              <w:t>. Hoboken, US-</w:t>
            </w:r>
            <w:proofErr w:type="gramStart"/>
            <w:r w:rsidRPr="00EE61A5">
              <w:rPr>
                <w:color w:val="000000"/>
                <w:lang w:val="en-CA"/>
              </w:rPr>
              <w:t>NJ :</w:t>
            </w:r>
            <w:proofErr w:type="gramEnd"/>
            <w:r w:rsidRPr="00EE61A5">
              <w:rPr>
                <w:color w:val="000000"/>
                <w:lang w:val="en-CA"/>
              </w:rPr>
              <w:t xml:space="preserve"> John Wiley &amp; Sons, Inc.</w:t>
            </w:r>
          </w:p>
        </w:tc>
      </w:tr>
      <w:tr w:rsidR="00BF18CF" w:rsidRPr="000467B7" w14:paraId="02671505" w14:textId="77777777" w:rsidTr="00BF18CF">
        <w:tc>
          <w:tcPr>
            <w:tcW w:w="10690" w:type="dxa"/>
          </w:tcPr>
          <w:p w14:paraId="4D6A4F0A"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Iliffe, Robert. 2013. « Newton: The Making of a Politician ». The Newton Project. 2013. </w:t>
            </w:r>
            <w:r w:rsidR="000467B7">
              <w:fldChar w:fldCharType="begin"/>
            </w:r>
            <w:r w:rsidR="000467B7" w:rsidRPr="000467B7">
              <w:rPr>
                <w:lang w:val="en-CA"/>
              </w:rPr>
              <w:instrText>HYPERLINK "http://www.newtonproject.ox.ac.uk/view/contexts/CNTX00002" \h</w:instrText>
            </w:r>
            <w:r w:rsidR="000467B7">
              <w:fldChar w:fldCharType="separate"/>
            </w:r>
            <w:r w:rsidRPr="00EE61A5">
              <w:rPr>
                <w:color w:val="4F81BD"/>
                <w:lang w:val="en-CA"/>
              </w:rPr>
              <w:t>http://www.newtonproject.ox.ac.uk/view/contexts/CNTX00002</w:t>
            </w:r>
            <w:r w:rsidR="000467B7">
              <w:rPr>
                <w:color w:val="4F81BD"/>
                <w:lang w:val="en-CA"/>
              </w:rPr>
              <w:fldChar w:fldCharType="end"/>
            </w:r>
            <w:r w:rsidRPr="00EE61A5">
              <w:rPr>
                <w:color w:val="000000"/>
                <w:lang w:val="en-CA"/>
              </w:rPr>
              <w:t>.</w:t>
            </w:r>
          </w:p>
        </w:tc>
      </w:tr>
      <w:tr w:rsidR="00BF18CF" w:rsidRPr="000467B7" w14:paraId="1394D46B" w14:textId="77777777" w:rsidTr="00BF18CF">
        <w:tc>
          <w:tcPr>
            <w:tcW w:w="10690" w:type="dxa"/>
          </w:tcPr>
          <w:p w14:paraId="479E00E3"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Ingamells, John. 1990. </w:t>
            </w:r>
            <w:r w:rsidRPr="00EE61A5">
              <w:rPr>
                <w:i/>
                <w:color w:val="000000"/>
                <w:lang w:val="en-CA"/>
              </w:rPr>
              <w:t>The Wallace collection</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Scala Books.</w:t>
            </w:r>
          </w:p>
        </w:tc>
      </w:tr>
      <w:tr w:rsidR="00BF18CF" w14:paraId="272C8CD9" w14:textId="77777777" w:rsidTr="00BF18CF">
        <w:tc>
          <w:tcPr>
            <w:tcW w:w="10690" w:type="dxa"/>
          </w:tcPr>
          <w:p w14:paraId="4FA5D015"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International Organization for Standardization. 1988. </w:t>
            </w:r>
            <w:r w:rsidRPr="00EE61A5">
              <w:rPr>
                <w:i/>
                <w:color w:val="000000"/>
                <w:lang w:val="en-CA"/>
              </w:rPr>
              <w:t>ISO 639. Code for the Representation of Names of Languages</w:t>
            </w:r>
            <w:r w:rsidRPr="00EE61A5">
              <w:rPr>
                <w:color w:val="000000"/>
                <w:lang w:val="en-CA"/>
              </w:rPr>
              <w:t xml:space="preserve">. </w:t>
            </w:r>
            <w:r>
              <w:rPr>
                <w:color w:val="000000"/>
              </w:rPr>
              <w:t>Genève, CH-GE : International Organization for Standardization.</w:t>
            </w:r>
          </w:p>
        </w:tc>
      </w:tr>
      <w:tr w:rsidR="00BF18CF" w14:paraId="4CA44FEB" w14:textId="77777777" w:rsidTr="00BF18CF">
        <w:tc>
          <w:tcPr>
            <w:tcW w:w="10690" w:type="dxa"/>
          </w:tcPr>
          <w:p w14:paraId="732424CA"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 1992. </w:t>
            </w:r>
            <w:r w:rsidRPr="00EE61A5">
              <w:rPr>
                <w:i/>
                <w:color w:val="000000"/>
                <w:lang w:val="en-CA"/>
              </w:rPr>
              <w:t>ISO 1000. SI units and recommendations for the use of their multiples and of certain other units.</w:t>
            </w:r>
            <w:r w:rsidRPr="00EE61A5">
              <w:rPr>
                <w:color w:val="000000"/>
                <w:lang w:val="en-CA"/>
              </w:rPr>
              <w:t xml:space="preserve"> </w:t>
            </w:r>
            <w:r>
              <w:rPr>
                <w:color w:val="000000"/>
              </w:rPr>
              <w:t>Genève, CH-GE : International Organization for Standardization.</w:t>
            </w:r>
          </w:p>
        </w:tc>
      </w:tr>
      <w:tr w:rsidR="00BF18CF" w14:paraId="0C77057F" w14:textId="77777777" w:rsidTr="00BF18CF">
        <w:tc>
          <w:tcPr>
            <w:tcW w:w="10690" w:type="dxa"/>
          </w:tcPr>
          <w:p w14:paraId="569AD1FF"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 2013. </w:t>
            </w:r>
            <w:r w:rsidRPr="00EE61A5">
              <w:rPr>
                <w:i/>
                <w:color w:val="000000"/>
                <w:lang w:val="en-CA"/>
              </w:rPr>
              <w:t>ISO 25964-2:2013. Information and documentation — Thesauri and interoperability with other vocabularies — Part 2: Interoperability with other vocabularies</w:t>
            </w:r>
            <w:r w:rsidRPr="00EE61A5">
              <w:rPr>
                <w:color w:val="000000"/>
                <w:lang w:val="en-CA"/>
              </w:rPr>
              <w:t xml:space="preserve">. </w:t>
            </w:r>
            <w:r>
              <w:rPr>
                <w:color w:val="000000"/>
              </w:rPr>
              <w:t>1</w:t>
            </w:r>
            <w:r>
              <w:rPr>
                <w:color w:val="000000"/>
                <w:vertAlign w:val="superscript"/>
              </w:rPr>
              <w:t>re</w:t>
            </w:r>
            <w:r>
              <w:rPr>
                <w:color w:val="000000"/>
              </w:rPr>
              <w:t xml:space="preserve"> éd. Genève, CH-GE : International Organization for Standardization.</w:t>
            </w:r>
          </w:p>
        </w:tc>
      </w:tr>
      <w:tr w:rsidR="00BF18CF" w:rsidRPr="000467B7" w14:paraId="0FD8E5F8" w14:textId="77777777" w:rsidTr="00BF18CF">
        <w:tc>
          <w:tcPr>
            <w:tcW w:w="10690" w:type="dxa"/>
          </w:tcPr>
          <w:p w14:paraId="4D1A9527"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 2014. </w:t>
            </w:r>
            <w:r w:rsidRPr="00EE61A5">
              <w:rPr>
                <w:i/>
                <w:color w:val="000000"/>
                <w:lang w:val="en-CA"/>
              </w:rPr>
              <w:t>ISO 21127:2014 Information and documentation — A reference ontology for the interchange of cultural heritage information</w:t>
            </w:r>
            <w:r w:rsidRPr="00EE61A5">
              <w:rPr>
                <w:color w:val="000000"/>
                <w:lang w:val="en-CA"/>
              </w:rPr>
              <w:t xml:space="preserve">. </w:t>
            </w:r>
            <w:r w:rsidRPr="005D545E">
              <w:rPr>
                <w:color w:val="000000"/>
                <w:lang w:val="en-CA"/>
              </w:rPr>
              <w:t>1</w:t>
            </w:r>
            <w:r w:rsidRPr="005D545E">
              <w:rPr>
                <w:color w:val="000000"/>
                <w:vertAlign w:val="superscript"/>
                <w:lang w:val="en-CA"/>
              </w:rPr>
              <w:t>re</w:t>
            </w:r>
            <w:r w:rsidRPr="005D545E">
              <w:rPr>
                <w:color w:val="000000"/>
                <w:lang w:val="en-CA"/>
              </w:rPr>
              <w:t xml:space="preserve"> éd. Genève, CH-</w:t>
            </w:r>
            <w:proofErr w:type="gramStart"/>
            <w:r w:rsidRPr="005D545E">
              <w:rPr>
                <w:color w:val="000000"/>
                <w:lang w:val="en-CA"/>
              </w:rPr>
              <w:t>GE :</w:t>
            </w:r>
            <w:proofErr w:type="gramEnd"/>
            <w:r w:rsidRPr="005D545E">
              <w:rPr>
                <w:color w:val="000000"/>
                <w:lang w:val="en-CA"/>
              </w:rPr>
              <w:t xml:space="preserve"> International Organization for Standardization.</w:t>
            </w:r>
          </w:p>
        </w:tc>
      </w:tr>
      <w:tr w:rsidR="00BF18CF" w:rsidRPr="000467B7" w14:paraId="4EEF59C8" w14:textId="77777777" w:rsidTr="00BF18CF">
        <w:tc>
          <w:tcPr>
            <w:tcW w:w="10690" w:type="dxa"/>
          </w:tcPr>
          <w:p w14:paraId="0EFB04AF"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Irwin, Wallace Admoh. 1935. </w:t>
            </w:r>
            <w:r w:rsidRPr="00EE61A5">
              <w:rPr>
                <w:i/>
                <w:color w:val="000000"/>
                <w:lang w:val="en-CA"/>
              </w:rPr>
              <w:t>The Julius Caesar Murder Case.</w:t>
            </w:r>
            <w:r w:rsidRPr="00EE61A5">
              <w:rPr>
                <w:color w:val="000000"/>
                <w:lang w:val="en-CA"/>
              </w:rPr>
              <w:t xml:space="preserve"> New York, Londres, GB-</w:t>
            </w:r>
            <w:proofErr w:type="gramStart"/>
            <w:r w:rsidRPr="00EE61A5">
              <w:rPr>
                <w:color w:val="000000"/>
                <w:lang w:val="en-CA"/>
              </w:rPr>
              <w:t>LND :</w:t>
            </w:r>
            <w:proofErr w:type="gramEnd"/>
            <w:r w:rsidRPr="00EE61A5">
              <w:rPr>
                <w:color w:val="000000"/>
                <w:lang w:val="en-CA"/>
              </w:rPr>
              <w:t xml:space="preserve"> D. Appleton-Century Co.</w:t>
            </w:r>
          </w:p>
        </w:tc>
      </w:tr>
      <w:tr w:rsidR="00BF18CF" w:rsidRPr="000467B7" w14:paraId="6B7339AF" w14:textId="77777777" w:rsidTr="00BF18CF">
        <w:tc>
          <w:tcPr>
            <w:tcW w:w="10690" w:type="dxa"/>
          </w:tcPr>
          <w:p w14:paraId="4F542DF0"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Isaacson, Walter. 2011. </w:t>
            </w:r>
            <w:r w:rsidRPr="00EE61A5">
              <w:rPr>
                <w:i/>
                <w:color w:val="000000"/>
                <w:lang w:val="en-CA"/>
              </w:rPr>
              <w:t>Steve Jobs.</w:t>
            </w:r>
            <w:r w:rsidRPr="00EE61A5">
              <w:rPr>
                <w:color w:val="000000"/>
                <w:lang w:val="en-CA"/>
              </w:rPr>
              <w:t xml:space="preserve"> </w:t>
            </w:r>
            <w:proofErr w:type="gramStart"/>
            <w:r w:rsidRPr="00EE61A5">
              <w:rPr>
                <w:color w:val="000000"/>
                <w:lang w:val="en-CA"/>
              </w:rPr>
              <w:t>US :</w:t>
            </w:r>
            <w:proofErr w:type="gramEnd"/>
            <w:r w:rsidRPr="00EE61A5">
              <w:rPr>
                <w:color w:val="000000"/>
                <w:lang w:val="en-CA"/>
              </w:rPr>
              <w:t xml:space="preserve"> Little, Brown.</w:t>
            </w:r>
          </w:p>
        </w:tc>
      </w:tr>
      <w:tr w:rsidR="00BF18CF" w:rsidRPr="000467B7" w14:paraId="3EFD2A98" w14:textId="77777777" w:rsidTr="00BF18CF">
        <w:tc>
          <w:tcPr>
            <w:tcW w:w="10690" w:type="dxa"/>
          </w:tcPr>
          <w:p w14:paraId="3E78E530" w14:textId="77777777" w:rsidR="00BF18CF" w:rsidRPr="00EE61A5" w:rsidRDefault="00E51347">
            <w:pPr>
              <w:pBdr>
                <w:top w:val="nil"/>
                <w:left w:val="nil"/>
                <w:bottom w:val="nil"/>
                <w:right w:val="nil"/>
                <w:between w:val="nil"/>
              </w:pBdr>
              <w:spacing w:before="36" w:after="36"/>
              <w:rPr>
                <w:color w:val="000000"/>
                <w:lang w:val="en-CA"/>
              </w:rPr>
            </w:pPr>
            <w:r w:rsidRPr="00EE61A5">
              <w:rPr>
                <w:i/>
                <w:color w:val="000000"/>
                <w:lang w:val="en-CA"/>
              </w:rPr>
              <w:t>Iveagh Bequest, Catalogue of paintings</w:t>
            </w:r>
            <w:r w:rsidRPr="00EE61A5">
              <w:rPr>
                <w:color w:val="000000"/>
                <w:lang w:val="en-CA"/>
              </w:rPr>
              <w:t>. 1975. Londres, GB-</w:t>
            </w:r>
            <w:proofErr w:type="gramStart"/>
            <w:r w:rsidRPr="00EE61A5">
              <w:rPr>
                <w:color w:val="000000"/>
                <w:lang w:val="en-CA"/>
              </w:rPr>
              <w:t>LND :</w:t>
            </w:r>
            <w:proofErr w:type="gramEnd"/>
            <w:r w:rsidRPr="00EE61A5">
              <w:rPr>
                <w:color w:val="000000"/>
                <w:lang w:val="en-CA"/>
              </w:rPr>
              <w:t xml:space="preserve"> Greater London Council.</w:t>
            </w:r>
          </w:p>
        </w:tc>
      </w:tr>
      <w:tr w:rsidR="00BF18CF" w:rsidRPr="000467B7" w14:paraId="7338AD6C" w14:textId="77777777" w:rsidTr="00BF18CF">
        <w:tc>
          <w:tcPr>
            <w:tcW w:w="10690" w:type="dxa"/>
          </w:tcPr>
          <w:p w14:paraId="1157DFFD"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Jarvis, Charlie. 2021. « Data Portal Query on Clayton Herbarium, 904 records ». Natural History Museum Data Portal. 3 février 2021. </w:t>
            </w:r>
            <w:r w:rsidR="000467B7">
              <w:fldChar w:fldCharType="begin"/>
            </w:r>
            <w:r w:rsidR="000467B7" w:rsidRPr="000467B7">
              <w:rPr>
                <w:lang w:val="en-CA"/>
              </w:rPr>
              <w:instrText>HYPERLINK "https://data.nhm.ac.uk/doi/10.5519/qd.thnwfxy8" \h</w:instrText>
            </w:r>
            <w:r w:rsidR="000467B7">
              <w:fldChar w:fldCharType="separate"/>
            </w:r>
            <w:r w:rsidRPr="00EE61A5">
              <w:rPr>
                <w:color w:val="4F81BD"/>
                <w:lang w:val="en-CA"/>
              </w:rPr>
              <w:t>https://data.nhm.ac.uk/doi/10.5519/qd.thnwfxy8</w:t>
            </w:r>
            <w:r w:rsidR="000467B7">
              <w:rPr>
                <w:color w:val="4F81BD"/>
                <w:lang w:val="en-CA"/>
              </w:rPr>
              <w:fldChar w:fldCharType="end"/>
            </w:r>
            <w:r w:rsidRPr="00EE61A5">
              <w:rPr>
                <w:color w:val="000000"/>
                <w:lang w:val="en-CA"/>
              </w:rPr>
              <w:t>.</w:t>
            </w:r>
          </w:p>
        </w:tc>
      </w:tr>
      <w:tr w:rsidR="00BF18CF" w14:paraId="286C8A95" w14:textId="77777777" w:rsidTr="00BF18CF">
        <w:tc>
          <w:tcPr>
            <w:tcW w:w="10690" w:type="dxa"/>
          </w:tcPr>
          <w:p w14:paraId="6061F122" w14:textId="77777777" w:rsidR="00BF18CF" w:rsidRDefault="00E51347">
            <w:pPr>
              <w:pBdr>
                <w:top w:val="nil"/>
                <w:left w:val="nil"/>
                <w:bottom w:val="nil"/>
                <w:right w:val="nil"/>
                <w:between w:val="nil"/>
              </w:pBdr>
              <w:spacing w:before="36" w:after="36"/>
              <w:rPr>
                <w:color w:val="000000"/>
              </w:rPr>
            </w:pPr>
            <w:r w:rsidRPr="00EE61A5">
              <w:rPr>
                <w:color w:val="000000"/>
                <w:lang w:val="en-CA"/>
              </w:rPr>
              <w:lastRenderedPageBreak/>
              <w:t xml:space="preserve">Jones, Robert F. 1979. </w:t>
            </w:r>
            <w:r w:rsidRPr="00EE61A5">
              <w:rPr>
                <w:i/>
                <w:color w:val="000000"/>
                <w:lang w:val="en-CA"/>
              </w:rPr>
              <w:t>George Washington.</w:t>
            </w:r>
            <w:r w:rsidRPr="00EE61A5">
              <w:rPr>
                <w:color w:val="000000"/>
                <w:lang w:val="en-CA"/>
              </w:rPr>
              <w:t xml:space="preserve"> </w:t>
            </w:r>
            <w:r>
              <w:rPr>
                <w:color w:val="000000"/>
              </w:rPr>
              <w:t>Boston, US-MA : Twayne.</w:t>
            </w:r>
          </w:p>
        </w:tc>
      </w:tr>
      <w:tr w:rsidR="00BF18CF" w14:paraId="014976BB" w14:textId="77777777" w:rsidTr="00BF18CF">
        <w:tc>
          <w:tcPr>
            <w:tcW w:w="10690" w:type="dxa"/>
          </w:tcPr>
          <w:p w14:paraId="670D38D0" w14:textId="77777777" w:rsidR="00BF18CF" w:rsidRDefault="00E51347">
            <w:pPr>
              <w:pBdr>
                <w:top w:val="nil"/>
                <w:left w:val="nil"/>
                <w:bottom w:val="nil"/>
                <w:right w:val="nil"/>
                <w:between w:val="nil"/>
              </w:pBdr>
              <w:spacing w:before="36" w:after="36"/>
              <w:rPr>
                <w:color w:val="000000"/>
              </w:rPr>
            </w:pPr>
            <w:r>
              <w:rPr>
                <w:color w:val="000000"/>
              </w:rPr>
              <w:t xml:space="preserve">Karyanos, Phōtēs, Constantinos Lagos, et John Carr. 2020. </w:t>
            </w:r>
            <w:r w:rsidRPr="00EE61A5">
              <w:rPr>
                <w:i/>
                <w:color w:val="000000"/>
                <w:lang w:val="en-CA"/>
              </w:rPr>
              <w:t>Who really won the Battle of Marathon?</w:t>
            </w:r>
            <w:r w:rsidRPr="00EE61A5">
              <w:rPr>
                <w:color w:val="000000"/>
                <w:lang w:val="en-CA"/>
              </w:rPr>
              <w:t xml:space="preserve"> </w:t>
            </w:r>
            <w:r>
              <w:rPr>
                <w:color w:val="000000"/>
              </w:rPr>
              <w:t>GB : Barnsley Pen et Sword Military.</w:t>
            </w:r>
          </w:p>
        </w:tc>
      </w:tr>
      <w:tr w:rsidR="00BF18CF" w:rsidRPr="000467B7" w14:paraId="4E34BCCA" w14:textId="77777777" w:rsidTr="00BF18CF">
        <w:tc>
          <w:tcPr>
            <w:tcW w:w="10690" w:type="dxa"/>
          </w:tcPr>
          <w:p w14:paraId="7A5C9E60"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Kelly, Douglas. 2014. </w:t>
            </w:r>
            <w:r w:rsidRPr="00EE61A5">
              <w:rPr>
                <w:i/>
                <w:color w:val="000000"/>
                <w:lang w:val="en-CA"/>
              </w:rPr>
              <w:t xml:space="preserve">Machaut and the medieval apprenticeship tradition: truth, </w:t>
            </w:r>
            <w:proofErr w:type="gramStart"/>
            <w:r w:rsidRPr="00EE61A5">
              <w:rPr>
                <w:i/>
                <w:color w:val="000000"/>
                <w:lang w:val="en-CA"/>
              </w:rPr>
              <w:t>fiction</w:t>
            </w:r>
            <w:proofErr w:type="gramEnd"/>
            <w:r w:rsidRPr="00EE61A5">
              <w:rPr>
                <w:i/>
                <w:color w:val="000000"/>
                <w:lang w:val="en-CA"/>
              </w:rPr>
              <w:t xml:space="preserve"> and poetic craft</w:t>
            </w:r>
            <w:r w:rsidRPr="00EE61A5">
              <w:rPr>
                <w:color w:val="000000"/>
                <w:lang w:val="en-CA"/>
              </w:rPr>
              <w:t xml:space="preserve">. </w:t>
            </w:r>
            <w:r w:rsidRPr="005D545E">
              <w:rPr>
                <w:color w:val="000000"/>
                <w:lang w:val="en-CA"/>
              </w:rPr>
              <w:t>New York, US-</w:t>
            </w:r>
            <w:proofErr w:type="gramStart"/>
            <w:r w:rsidRPr="005D545E">
              <w:rPr>
                <w:color w:val="000000"/>
                <w:lang w:val="en-CA"/>
              </w:rPr>
              <w:t>NY :</w:t>
            </w:r>
            <w:proofErr w:type="gramEnd"/>
            <w:r w:rsidRPr="005D545E">
              <w:rPr>
                <w:color w:val="000000"/>
                <w:lang w:val="en-CA"/>
              </w:rPr>
              <w:t xml:space="preserve"> Brewer.</w:t>
            </w:r>
          </w:p>
        </w:tc>
      </w:tr>
      <w:tr w:rsidR="00BF18CF" w:rsidRPr="000467B7" w14:paraId="7C47E776" w14:textId="77777777" w:rsidTr="00BF18CF">
        <w:tc>
          <w:tcPr>
            <w:tcW w:w="10690" w:type="dxa"/>
          </w:tcPr>
          <w:p w14:paraId="583B76C2" w14:textId="77777777" w:rsidR="00BF18CF" w:rsidRPr="005D545E" w:rsidRDefault="00E51347">
            <w:pPr>
              <w:pBdr>
                <w:top w:val="nil"/>
                <w:left w:val="nil"/>
                <w:bottom w:val="nil"/>
                <w:right w:val="nil"/>
                <w:between w:val="nil"/>
              </w:pBdr>
              <w:spacing w:before="36" w:after="36"/>
              <w:rPr>
                <w:color w:val="000000"/>
                <w:lang w:val="en-CA"/>
              </w:rPr>
            </w:pPr>
            <w:r w:rsidRPr="00EE61A5">
              <w:rPr>
                <w:color w:val="000000"/>
                <w:lang w:val="en-CA"/>
              </w:rPr>
              <w:t xml:space="preserve">Kogan, Herman. 1958. </w:t>
            </w:r>
            <w:r w:rsidRPr="00EE61A5">
              <w:rPr>
                <w:i/>
                <w:color w:val="000000"/>
                <w:lang w:val="en-CA"/>
              </w:rPr>
              <w:t>The great EB: the story of the Encyclopædia Britannica</w:t>
            </w:r>
            <w:r w:rsidRPr="00EE61A5">
              <w:rPr>
                <w:color w:val="000000"/>
                <w:lang w:val="en-CA"/>
              </w:rPr>
              <w:t xml:space="preserve">. </w:t>
            </w:r>
            <w:r w:rsidRPr="005D545E">
              <w:rPr>
                <w:color w:val="000000"/>
                <w:lang w:val="en-CA"/>
              </w:rPr>
              <w:t>Chicago, US-</w:t>
            </w:r>
            <w:proofErr w:type="gramStart"/>
            <w:r w:rsidRPr="005D545E">
              <w:rPr>
                <w:color w:val="000000"/>
                <w:lang w:val="en-CA"/>
              </w:rPr>
              <w:t>IL :</w:t>
            </w:r>
            <w:proofErr w:type="gramEnd"/>
            <w:r w:rsidRPr="005D545E">
              <w:rPr>
                <w:color w:val="000000"/>
                <w:lang w:val="en-CA"/>
              </w:rPr>
              <w:t xml:space="preserve"> University of Chicago Press.</w:t>
            </w:r>
          </w:p>
        </w:tc>
      </w:tr>
      <w:tr w:rsidR="00BF18CF" w14:paraId="02FE1B05" w14:textId="77777777" w:rsidTr="00BF18CF">
        <w:tc>
          <w:tcPr>
            <w:tcW w:w="10690" w:type="dxa"/>
          </w:tcPr>
          <w:p w14:paraId="6D8784CA"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Kousser, R. 2005. « Creating the Past: The Venus de Milo and the Hellenistic Reception of Classical GR or Grèce ». </w:t>
            </w:r>
            <w:r>
              <w:rPr>
                <w:i/>
                <w:color w:val="000000"/>
              </w:rPr>
              <w:t>American Journal of Archeaology</w:t>
            </w:r>
            <w:r>
              <w:rPr>
                <w:color w:val="000000"/>
              </w:rPr>
              <w:t xml:space="preserve"> 109 (2) : 227‑50.</w:t>
            </w:r>
          </w:p>
        </w:tc>
      </w:tr>
      <w:tr w:rsidR="00BF18CF" w14:paraId="04A79E22" w14:textId="77777777" w:rsidTr="00BF18CF">
        <w:tc>
          <w:tcPr>
            <w:tcW w:w="10690" w:type="dxa"/>
          </w:tcPr>
          <w:p w14:paraId="695F3600"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Kouwenhoven, Arlette P. 1997. « Newsbriefs: World’s Oldest Spears ». </w:t>
            </w:r>
            <w:r>
              <w:rPr>
                <w:i/>
                <w:color w:val="000000"/>
              </w:rPr>
              <w:t>Archaeology</w:t>
            </w:r>
            <w:r>
              <w:rPr>
                <w:color w:val="000000"/>
              </w:rPr>
              <w:t xml:space="preserve"> 50 (3). </w:t>
            </w:r>
            <w:hyperlink r:id="rId479">
              <w:r>
                <w:rPr>
                  <w:color w:val="4F81BD"/>
                </w:rPr>
                <w:t>https://archive.archaeology.org/9705/newsbriefs/spears.html</w:t>
              </w:r>
            </w:hyperlink>
            <w:r>
              <w:rPr>
                <w:color w:val="000000"/>
              </w:rPr>
              <w:t>.</w:t>
            </w:r>
          </w:p>
        </w:tc>
      </w:tr>
      <w:tr w:rsidR="00BF18CF" w:rsidRPr="000467B7" w14:paraId="5F34361B" w14:textId="77777777" w:rsidTr="00BF18CF">
        <w:tc>
          <w:tcPr>
            <w:tcW w:w="10690" w:type="dxa"/>
          </w:tcPr>
          <w:p w14:paraId="2D6A39B2"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Kozak, Marion. 1998. </w:t>
            </w:r>
            <w:r w:rsidRPr="00EE61A5">
              <w:rPr>
                <w:i/>
                <w:color w:val="000000"/>
                <w:lang w:val="en-CA"/>
              </w:rPr>
              <w:t>Greenpeace</w:t>
            </w:r>
            <w:r w:rsidRPr="00EE61A5">
              <w:rPr>
                <w:color w:val="000000"/>
                <w:lang w:val="en-CA"/>
              </w:rPr>
              <w:t>. Oxford, GB-</w:t>
            </w:r>
            <w:proofErr w:type="gramStart"/>
            <w:r w:rsidRPr="00EE61A5">
              <w:rPr>
                <w:color w:val="000000"/>
                <w:lang w:val="en-CA"/>
              </w:rPr>
              <w:t>OXF :</w:t>
            </w:r>
            <w:proofErr w:type="gramEnd"/>
            <w:r w:rsidRPr="00EE61A5">
              <w:rPr>
                <w:color w:val="000000"/>
                <w:lang w:val="en-CA"/>
              </w:rPr>
              <w:t xml:space="preserve"> Heinemann Library.</w:t>
            </w:r>
          </w:p>
        </w:tc>
      </w:tr>
      <w:tr w:rsidR="00BF18CF" w:rsidRPr="000467B7" w14:paraId="0C36BA09" w14:textId="77777777" w:rsidTr="00BF18CF">
        <w:tc>
          <w:tcPr>
            <w:tcW w:w="10690" w:type="dxa"/>
          </w:tcPr>
          <w:p w14:paraId="710C9ED8"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Krentz, Peter. 2010. </w:t>
            </w:r>
            <w:r w:rsidRPr="00EE61A5">
              <w:rPr>
                <w:i/>
                <w:color w:val="000000"/>
                <w:lang w:val="en-CA"/>
              </w:rPr>
              <w:t>The Battle of Marathon</w:t>
            </w:r>
            <w:r w:rsidRPr="00EE61A5">
              <w:rPr>
                <w:color w:val="000000"/>
                <w:lang w:val="en-CA"/>
              </w:rPr>
              <w:t>. New Haven; Londres, GB-</w:t>
            </w:r>
            <w:proofErr w:type="gramStart"/>
            <w:r w:rsidRPr="00EE61A5">
              <w:rPr>
                <w:color w:val="000000"/>
                <w:lang w:val="en-CA"/>
              </w:rPr>
              <w:t>LND :</w:t>
            </w:r>
            <w:proofErr w:type="gramEnd"/>
            <w:r w:rsidRPr="00EE61A5">
              <w:rPr>
                <w:color w:val="000000"/>
                <w:lang w:val="en-CA"/>
              </w:rPr>
              <w:t xml:space="preserve"> Yale University Press.</w:t>
            </w:r>
          </w:p>
        </w:tc>
      </w:tr>
      <w:tr w:rsidR="00BF18CF" w:rsidRPr="000467B7" w14:paraId="49501751" w14:textId="77777777" w:rsidTr="00BF18CF">
        <w:tc>
          <w:tcPr>
            <w:tcW w:w="10690" w:type="dxa"/>
          </w:tcPr>
          <w:p w14:paraId="2A8B9E99"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Kutschera, W. 2002. « Radiocarbon dating of the Iceman Ötzi with accelerator mass spectrometry ». 2002. </w:t>
            </w:r>
            <w:r w:rsidR="000467B7">
              <w:fldChar w:fldCharType="begin"/>
            </w:r>
            <w:r w:rsidR="000467B7" w:rsidRPr="000467B7">
              <w:rPr>
                <w:lang w:val="en-CA"/>
              </w:rPr>
              <w:instrText>HYPERLINK "https://www.semanticscholar.org/paper/Radiocarbon-datin</w:instrText>
            </w:r>
            <w:r w:rsidR="000467B7" w:rsidRPr="000467B7">
              <w:rPr>
                <w:lang w:val="en-CA"/>
              </w:rPr>
              <w:instrText>g-of-the-Iceman-%C3%96tzi-with-mass-Kutschera/20d9b3be6466e3a6d51ddb213f9c982fdf949024" \h</w:instrText>
            </w:r>
            <w:r w:rsidR="000467B7">
              <w:fldChar w:fldCharType="separate"/>
            </w:r>
            <w:r w:rsidRPr="00EE61A5">
              <w:rPr>
                <w:color w:val="4F81BD"/>
                <w:lang w:val="en-CA"/>
              </w:rPr>
              <w:t>https://www.semanticscholar.org/paper/Radiocarbon-dating-of-the-Iceman-%C3%96tzi-with-mass-Kutschera/20d9b3be6466e3a6d51ddb213f9c982fdf949024</w:t>
            </w:r>
            <w:r w:rsidR="000467B7">
              <w:rPr>
                <w:color w:val="4F81BD"/>
                <w:lang w:val="en-CA"/>
              </w:rPr>
              <w:fldChar w:fldCharType="end"/>
            </w:r>
            <w:r w:rsidRPr="00EE61A5">
              <w:rPr>
                <w:color w:val="000000"/>
                <w:lang w:val="en-CA"/>
              </w:rPr>
              <w:t>.</w:t>
            </w:r>
          </w:p>
        </w:tc>
      </w:tr>
      <w:tr w:rsidR="00BF18CF" w14:paraId="03C0ECEE" w14:textId="77777777" w:rsidTr="00BF18CF">
        <w:tc>
          <w:tcPr>
            <w:tcW w:w="10690" w:type="dxa"/>
          </w:tcPr>
          <w:p w14:paraId="209B600F"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Lamb, R. 2005. « Alexander the Great and Bucephalus ». </w:t>
            </w:r>
            <w:r>
              <w:rPr>
                <w:i/>
                <w:color w:val="000000"/>
              </w:rPr>
              <w:t>Horse &amp; Rider</w:t>
            </w:r>
            <w:r>
              <w:rPr>
                <w:color w:val="000000"/>
              </w:rPr>
              <w:t xml:space="preserve"> 44 (6) : 19.</w:t>
            </w:r>
          </w:p>
        </w:tc>
      </w:tr>
      <w:tr w:rsidR="00BF18CF" w:rsidRPr="000467B7" w14:paraId="1D37AA05" w14:textId="77777777" w:rsidTr="00BF18CF">
        <w:tc>
          <w:tcPr>
            <w:tcW w:w="10690" w:type="dxa"/>
          </w:tcPr>
          <w:p w14:paraId="1B4E12E5"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Lane Fox, Robin. 2004. </w:t>
            </w:r>
            <w:r w:rsidRPr="00EE61A5">
              <w:rPr>
                <w:i/>
                <w:color w:val="000000"/>
                <w:lang w:val="en-CA"/>
              </w:rPr>
              <w:t>Alexander the Great</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Penguin.</w:t>
            </w:r>
          </w:p>
        </w:tc>
      </w:tr>
      <w:tr w:rsidR="00BF18CF" w14:paraId="4DC1CA3A" w14:textId="77777777" w:rsidTr="00BF18CF">
        <w:tc>
          <w:tcPr>
            <w:tcW w:w="10690" w:type="dxa"/>
          </w:tcPr>
          <w:p w14:paraId="7B823896"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Lang, A, dir. 1965. </w:t>
            </w:r>
            <w:r w:rsidRPr="00EE61A5">
              <w:rPr>
                <w:i/>
                <w:color w:val="000000"/>
                <w:lang w:val="en-CA"/>
              </w:rPr>
              <w:t xml:space="preserve">The blue fairy </w:t>
            </w:r>
            <w:proofErr w:type="gramStart"/>
            <w:r w:rsidRPr="00EE61A5">
              <w:rPr>
                <w:i/>
                <w:color w:val="000000"/>
                <w:lang w:val="en-CA"/>
              </w:rPr>
              <w:t>book</w:t>
            </w:r>
            <w:proofErr w:type="gramEnd"/>
            <w:r w:rsidRPr="00EE61A5">
              <w:rPr>
                <w:i/>
                <w:color w:val="000000"/>
                <w:lang w:val="en-CA"/>
              </w:rPr>
              <w:t>.</w:t>
            </w:r>
            <w:r w:rsidRPr="00EE61A5">
              <w:rPr>
                <w:color w:val="000000"/>
                <w:lang w:val="en-CA"/>
              </w:rPr>
              <w:t xml:space="preserve"> </w:t>
            </w:r>
            <w:r>
              <w:rPr>
                <w:color w:val="000000"/>
              </w:rPr>
              <w:t>Dover Pubs.</w:t>
            </w:r>
          </w:p>
        </w:tc>
      </w:tr>
      <w:tr w:rsidR="00BF18CF" w:rsidRPr="000467B7" w14:paraId="7B4F66BA" w14:textId="77777777" w:rsidTr="00BF18CF">
        <w:tc>
          <w:tcPr>
            <w:tcW w:w="10690" w:type="dxa"/>
          </w:tcPr>
          <w:p w14:paraId="1E77F71A"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Leach, Andrew. 2017. </w:t>
            </w:r>
            <w:r w:rsidRPr="00EE61A5">
              <w:rPr>
                <w:i/>
                <w:color w:val="000000"/>
                <w:lang w:val="en-CA"/>
              </w:rPr>
              <w:t>Rome</w:t>
            </w:r>
            <w:r w:rsidRPr="00EE61A5">
              <w:rPr>
                <w:color w:val="000000"/>
                <w:lang w:val="en-CA"/>
              </w:rPr>
              <w:t>. Cambridge, GB-</w:t>
            </w:r>
            <w:proofErr w:type="gramStart"/>
            <w:r w:rsidRPr="00EE61A5">
              <w:rPr>
                <w:color w:val="000000"/>
                <w:lang w:val="en-CA"/>
              </w:rPr>
              <w:t>CAM :</w:t>
            </w:r>
            <w:proofErr w:type="gramEnd"/>
            <w:r w:rsidRPr="00EE61A5">
              <w:rPr>
                <w:color w:val="000000"/>
                <w:lang w:val="en-CA"/>
              </w:rPr>
              <w:t xml:space="preserve"> Polity Press.</w:t>
            </w:r>
          </w:p>
        </w:tc>
      </w:tr>
      <w:tr w:rsidR="00BF18CF" w:rsidRPr="000467B7" w14:paraId="10307FCE" w14:textId="77777777" w:rsidTr="00BF18CF">
        <w:tc>
          <w:tcPr>
            <w:tcW w:w="10690" w:type="dxa"/>
          </w:tcPr>
          <w:p w14:paraId="3024D5F2"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Lee, Stephen John. 1991. </w:t>
            </w:r>
            <w:r w:rsidRPr="00EE61A5">
              <w:rPr>
                <w:i/>
                <w:color w:val="000000"/>
                <w:lang w:val="en-CA"/>
              </w:rPr>
              <w:t>The Thirty years war</w:t>
            </w:r>
            <w:r w:rsidRPr="00EE61A5">
              <w:rPr>
                <w:color w:val="000000"/>
                <w:lang w:val="en-CA"/>
              </w:rPr>
              <w:t>. London; New York, US-</w:t>
            </w:r>
            <w:proofErr w:type="gramStart"/>
            <w:r w:rsidRPr="00EE61A5">
              <w:rPr>
                <w:color w:val="000000"/>
                <w:lang w:val="en-CA"/>
              </w:rPr>
              <w:t>NY :</w:t>
            </w:r>
            <w:proofErr w:type="gramEnd"/>
            <w:r w:rsidRPr="00EE61A5">
              <w:rPr>
                <w:color w:val="000000"/>
                <w:lang w:val="en-CA"/>
              </w:rPr>
              <w:t xml:space="preserve"> Routledge.</w:t>
            </w:r>
          </w:p>
        </w:tc>
      </w:tr>
      <w:tr w:rsidR="00BF18CF" w14:paraId="385559E1" w14:textId="77777777" w:rsidTr="00BF18CF">
        <w:tc>
          <w:tcPr>
            <w:tcW w:w="10690" w:type="dxa"/>
          </w:tcPr>
          <w:p w14:paraId="2FA3C1FA" w14:textId="77777777" w:rsidR="00BF18CF" w:rsidRDefault="00E51347">
            <w:pPr>
              <w:pBdr>
                <w:top w:val="nil"/>
                <w:left w:val="nil"/>
                <w:bottom w:val="nil"/>
                <w:right w:val="nil"/>
                <w:between w:val="nil"/>
              </w:pBdr>
              <w:spacing w:before="36" w:after="36"/>
              <w:rPr>
                <w:color w:val="000000"/>
              </w:rPr>
            </w:pPr>
            <w:r>
              <w:rPr>
                <w:color w:val="000000"/>
              </w:rPr>
              <w:t xml:space="preserve">Lehner, Mark, et Zahi A Hawass. </w:t>
            </w:r>
            <w:r w:rsidRPr="00EE61A5">
              <w:rPr>
                <w:color w:val="000000"/>
                <w:lang w:val="en-CA"/>
              </w:rPr>
              <w:t xml:space="preserve">2017. </w:t>
            </w:r>
            <w:r w:rsidRPr="00EE61A5">
              <w:rPr>
                <w:i/>
                <w:color w:val="000000"/>
                <w:lang w:val="en-CA"/>
              </w:rPr>
              <w:t>Giza and the pyramids: the definitive history</w:t>
            </w:r>
            <w:r w:rsidRPr="00EE61A5">
              <w:rPr>
                <w:color w:val="000000"/>
                <w:lang w:val="en-CA"/>
              </w:rPr>
              <w:t xml:space="preserve">. </w:t>
            </w:r>
            <w:r>
              <w:rPr>
                <w:color w:val="000000"/>
              </w:rPr>
              <w:t>Chicago, US-IL : University of Chicago Press.</w:t>
            </w:r>
          </w:p>
        </w:tc>
      </w:tr>
      <w:tr w:rsidR="00BF18CF" w:rsidRPr="000467B7" w14:paraId="0857386F" w14:textId="77777777" w:rsidTr="00BF18CF">
        <w:tc>
          <w:tcPr>
            <w:tcW w:w="10690" w:type="dxa"/>
          </w:tcPr>
          <w:p w14:paraId="3D65E035"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Lennon, John. 1967. </w:t>
            </w:r>
            <w:r w:rsidRPr="00EE61A5">
              <w:rPr>
                <w:i/>
                <w:color w:val="000000"/>
                <w:lang w:val="en-CA"/>
              </w:rPr>
              <w:t>Lucy in the Sky with Diamonds</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Northern Songs.</w:t>
            </w:r>
          </w:p>
        </w:tc>
      </w:tr>
      <w:tr w:rsidR="00BF18CF" w:rsidRPr="000467B7" w14:paraId="08F3BB42" w14:textId="77777777" w:rsidTr="00BF18CF">
        <w:tc>
          <w:tcPr>
            <w:tcW w:w="10690" w:type="dxa"/>
          </w:tcPr>
          <w:p w14:paraId="151CB260"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Leppmann, Wolfgang. 1970. </w:t>
            </w:r>
            <w:r w:rsidRPr="00EE61A5">
              <w:rPr>
                <w:i/>
                <w:color w:val="000000"/>
                <w:lang w:val="en-CA"/>
              </w:rPr>
              <w:t>Winckelmann</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Knopf.</w:t>
            </w:r>
          </w:p>
        </w:tc>
      </w:tr>
      <w:tr w:rsidR="00BF18CF" w:rsidRPr="009F53E4" w14:paraId="4CAAE4F9" w14:textId="77777777" w:rsidTr="00BF18CF">
        <w:tc>
          <w:tcPr>
            <w:tcW w:w="10690" w:type="dxa"/>
          </w:tcPr>
          <w:p w14:paraId="0963972A" w14:textId="77777777" w:rsidR="00BF18CF" w:rsidRPr="009F53E4" w:rsidRDefault="00E51347">
            <w:pPr>
              <w:pBdr>
                <w:top w:val="nil"/>
                <w:left w:val="nil"/>
                <w:bottom w:val="nil"/>
                <w:right w:val="nil"/>
                <w:between w:val="nil"/>
              </w:pBdr>
              <w:spacing w:before="36" w:after="36"/>
              <w:rPr>
                <w:color w:val="000000"/>
                <w:lang w:val="en-US"/>
              </w:rPr>
            </w:pPr>
            <w:r w:rsidRPr="00EE61A5">
              <w:rPr>
                <w:color w:val="000000"/>
                <w:lang w:val="en-CA"/>
              </w:rPr>
              <w:t xml:space="preserve">Li, Xiuzhen Janice. 2012. « Standardisation, labour organisation and the bronze weapons of the Qin terracotta warriors / Xiuzhen Janice Li. » Ph.D., University College London. </w:t>
            </w:r>
            <w:r w:rsidR="000467B7">
              <w:fldChar w:fldCharType="begin"/>
            </w:r>
            <w:r w:rsidR="000467B7" w:rsidRPr="000467B7">
              <w:rPr>
                <w:lang w:val="en-CA"/>
              </w:rPr>
              <w:instrText>HYPERLINK "http://discovery.ucl.ac.uk/1350109/" \h</w:instrText>
            </w:r>
            <w:r w:rsidR="000467B7">
              <w:fldChar w:fldCharType="separate"/>
            </w:r>
            <w:r w:rsidRPr="009F53E4">
              <w:rPr>
                <w:color w:val="4F81BD"/>
                <w:lang w:val="en-US"/>
              </w:rPr>
              <w:t>http://discovery.ucl.ac.uk/1350109/</w:t>
            </w:r>
            <w:r w:rsidR="000467B7">
              <w:rPr>
                <w:color w:val="4F81BD"/>
                <w:lang w:val="en-US"/>
              </w:rPr>
              <w:fldChar w:fldCharType="end"/>
            </w:r>
            <w:r w:rsidRPr="009F53E4">
              <w:rPr>
                <w:color w:val="000000"/>
                <w:lang w:val="en-US"/>
              </w:rPr>
              <w:t>.</w:t>
            </w:r>
          </w:p>
        </w:tc>
      </w:tr>
      <w:tr w:rsidR="00BF18CF" w14:paraId="673F5915" w14:textId="77777777" w:rsidTr="00BF18CF">
        <w:tc>
          <w:tcPr>
            <w:tcW w:w="10690" w:type="dxa"/>
          </w:tcPr>
          <w:p w14:paraId="531EFF92" w14:textId="77777777" w:rsidR="00BF18CF" w:rsidRDefault="00E51347">
            <w:pPr>
              <w:pBdr>
                <w:top w:val="nil"/>
                <w:left w:val="nil"/>
                <w:bottom w:val="nil"/>
                <w:right w:val="nil"/>
                <w:between w:val="nil"/>
              </w:pBdr>
              <w:spacing w:before="36" w:after="36"/>
              <w:rPr>
                <w:color w:val="000000"/>
              </w:rPr>
            </w:pPr>
            <w:r>
              <w:rPr>
                <w:color w:val="000000"/>
              </w:rPr>
              <w:t xml:space="preserve">Liess, R. 1985. « Der Riss A1 der Straßburger Münsterfassade im Kontinuum der Entwürfe Magister Erwins. » </w:t>
            </w:r>
            <w:r>
              <w:rPr>
                <w:i/>
                <w:color w:val="000000"/>
              </w:rPr>
              <w:t>Kunsthistorisches Jahrbuch Graz</w:t>
            </w:r>
            <w:r>
              <w:rPr>
                <w:color w:val="000000"/>
              </w:rPr>
              <w:t xml:space="preserve"> 21 : 47‑121.</w:t>
            </w:r>
          </w:p>
        </w:tc>
      </w:tr>
      <w:tr w:rsidR="00BF18CF" w:rsidRPr="000467B7" w14:paraId="0D28E689" w14:textId="77777777" w:rsidTr="00BF18CF">
        <w:tc>
          <w:tcPr>
            <w:tcW w:w="10690" w:type="dxa"/>
          </w:tcPr>
          <w:p w14:paraId="04495AB1"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Linnean Society of London, Carl von Linné, Spencer Savage, et Benjamin Daydon Jackson. 1945. </w:t>
            </w:r>
            <w:r w:rsidRPr="00EE61A5">
              <w:rPr>
                <w:i/>
                <w:color w:val="000000"/>
                <w:lang w:val="en-CA"/>
              </w:rPr>
              <w:t>A catalogue of the Linnaean herbarium</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Printed for the Linnean Society of London by Taylor &amp; Francis, Ltd.</w:t>
            </w:r>
          </w:p>
        </w:tc>
      </w:tr>
      <w:tr w:rsidR="00BF18CF" w:rsidRPr="000467B7" w14:paraId="063FA2C7" w14:textId="77777777" w:rsidTr="00BF18CF">
        <w:tc>
          <w:tcPr>
            <w:tcW w:w="10690" w:type="dxa"/>
          </w:tcPr>
          <w:p w14:paraId="7520CC04" w14:textId="77777777" w:rsidR="00BF18CF" w:rsidRPr="009F53E4" w:rsidRDefault="00E51347">
            <w:pPr>
              <w:pBdr>
                <w:top w:val="nil"/>
                <w:left w:val="nil"/>
                <w:bottom w:val="nil"/>
                <w:right w:val="nil"/>
                <w:between w:val="nil"/>
              </w:pBdr>
              <w:spacing w:before="36" w:after="36"/>
              <w:rPr>
                <w:color w:val="000000"/>
                <w:lang w:val="en-US"/>
              </w:rPr>
            </w:pPr>
            <w:r w:rsidRPr="00EE61A5">
              <w:rPr>
                <w:color w:val="000000"/>
                <w:lang w:val="en-CA"/>
              </w:rPr>
              <w:t xml:space="preserve">Lockwood, Lewis. 2015. </w:t>
            </w:r>
            <w:r w:rsidRPr="00EE61A5">
              <w:rPr>
                <w:i/>
                <w:color w:val="000000"/>
                <w:lang w:val="en-CA"/>
              </w:rPr>
              <w:t>Beethoven’s symphonies: an artistic vision</w:t>
            </w:r>
            <w:r w:rsidRPr="00EE61A5">
              <w:rPr>
                <w:color w:val="000000"/>
                <w:lang w:val="en-CA"/>
              </w:rPr>
              <w:t xml:space="preserve">. </w:t>
            </w:r>
            <w:r w:rsidRPr="009F53E4">
              <w:rPr>
                <w:color w:val="000000"/>
                <w:lang w:val="en-US"/>
              </w:rPr>
              <w:t>New York, US-</w:t>
            </w:r>
            <w:proofErr w:type="gramStart"/>
            <w:r w:rsidRPr="009F53E4">
              <w:rPr>
                <w:color w:val="000000"/>
                <w:lang w:val="en-US"/>
              </w:rPr>
              <w:t>NY :</w:t>
            </w:r>
            <w:proofErr w:type="gramEnd"/>
            <w:r w:rsidRPr="009F53E4">
              <w:rPr>
                <w:color w:val="000000"/>
                <w:lang w:val="en-US"/>
              </w:rPr>
              <w:t xml:space="preserve"> W. W. Norton &amp; Company.</w:t>
            </w:r>
          </w:p>
        </w:tc>
      </w:tr>
      <w:tr w:rsidR="00BF18CF" w14:paraId="0A01D935" w14:textId="77777777" w:rsidTr="00BF18CF">
        <w:tc>
          <w:tcPr>
            <w:tcW w:w="10690" w:type="dxa"/>
          </w:tcPr>
          <w:p w14:paraId="5254605E" w14:textId="77777777" w:rsidR="00BF18CF" w:rsidRDefault="00E51347">
            <w:pPr>
              <w:pBdr>
                <w:top w:val="nil"/>
                <w:left w:val="nil"/>
                <w:bottom w:val="nil"/>
                <w:right w:val="nil"/>
                <w:between w:val="nil"/>
              </w:pBdr>
              <w:spacing w:before="36" w:after="36"/>
              <w:rPr>
                <w:color w:val="000000"/>
              </w:rPr>
            </w:pPr>
            <w:r>
              <w:rPr>
                <w:color w:val="000000"/>
              </w:rPr>
              <w:t xml:space="preserve">Loubiere, C. P. 1995. </w:t>
            </w:r>
            <w:r>
              <w:rPr>
                <w:i/>
                <w:color w:val="000000"/>
              </w:rPr>
              <w:t>L’aventure d’Abou Simbel Texte imprimé le regard d’un Roi-Dieu</w:t>
            </w:r>
            <w:r>
              <w:rPr>
                <w:color w:val="000000"/>
              </w:rPr>
              <w:t>. Paris, FR-75 : Publisud.</w:t>
            </w:r>
          </w:p>
        </w:tc>
      </w:tr>
      <w:tr w:rsidR="00BF18CF" w:rsidRPr="000467B7" w14:paraId="22668412" w14:textId="77777777" w:rsidTr="00BF18CF">
        <w:tc>
          <w:tcPr>
            <w:tcW w:w="10690" w:type="dxa"/>
          </w:tcPr>
          <w:p w14:paraId="03F67EAE" w14:textId="77777777" w:rsidR="00BF18CF" w:rsidRPr="009F53E4" w:rsidRDefault="00E51347">
            <w:pPr>
              <w:pBdr>
                <w:top w:val="nil"/>
                <w:left w:val="nil"/>
                <w:bottom w:val="nil"/>
                <w:right w:val="nil"/>
                <w:between w:val="nil"/>
              </w:pBdr>
              <w:spacing w:before="36" w:after="36"/>
              <w:rPr>
                <w:color w:val="000000"/>
                <w:lang w:val="en-US"/>
              </w:rPr>
            </w:pPr>
            <w:r>
              <w:rPr>
                <w:color w:val="000000"/>
              </w:rPr>
              <w:t xml:space="preserve">Lovell, Jim, et Jeffrey Kluger. </w:t>
            </w:r>
            <w:r w:rsidRPr="00EE61A5">
              <w:rPr>
                <w:color w:val="000000"/>
                <w:lang w:val="en-CA"/>
              </w:rPr>
              <w:t xml:space="preserve">1994. </w:t>
            </w:r>
            <w:r w:rsidRPr="00EE61A5">
              <w:rPr>
                <w:i/>
                <w:color w:val="000000"/>
                <w:lang w:val="en-CA"/>
              </w:rPr>
              <w:t>Lost moon: the perilous voyage of Apollo 13</w:t>
            </w:r>
            <w:r w:rsidRPr="00EE61A5">
              <w:rPr>
                <w:color w:val="000000"/>
                <w:lang w:val="en-CA"/>
              </w:rPr>
              <w:t xml:space="preserve">. </w:t>
            </w:r>
            <w:r w:rsidRPr="009F53E4">
              <w:rPr>
                <w:color w:val="000000"/>
                <w:lang w:val="en-US"/>
              </w:rPr>
              <w:t>Boston, US-</w:t>
            </w:r>
            <w:proofErr w:type="gramStart"/>
            <w:r w:rsidRPr="009F53E4">
              <w:rPr>
                <w:color w:val="000000"/>
                <w:lang w:val="en-US"/>
              </w:rPr>
              <w:t>MA :</w:t>
            </w:r>
            <w:proofErr w:type="gramEnd"/>
            <w:r w:rsidRPr="009F53E4">
              <w:rPr>
                <w:color w:val="000000"/>
                <w:lang w:val="en-US"/>
              </w:rPr>
              <w:t xml:space="preserve"> Houghton Mifflin.</w:t>
            </w:r>
          </w:p>
        </w:tc>
      </w:tr>
      <w:tr w:rsidR="00BF18CF" w:rsidRPr="000467B7" w14:paraId="6BE561A2" w14:textId="77777777" w:rsidTr="00BF18CF">
        <w:tc>
          <w:tcPr>
            <w:tcW w:w="10690" w:type="dxa"/>
          </w:tcPr>
          <w:p w14:paraId="51E57C7B" w14:textId="77777777" w:rsidR="00BF18CF" w:rsidRPr="009F53E4" w:rsidRDefault="00E51347">
            <w:pPr>
              <w:pBdr>
                <w:top w:val="nil"/>
                <w:left w:val="nil"/>
                <w:bottom w:val="nil"/>
                <w:right w:val="nil"/>
                <w:between w:val="nil"/>
              </w:pBdr>
              <w:spacing w:before="36" w:after="36"/>
              <w:rPr>
                <w:color w:val="000000"/>
                <w:lang w:val="en-US"/>
              </w:rPr>
            </w:pPr>
            <w:r w:rsidRPr="00EE61A5">
              <w:rPr>
                <w:color w:val="000000"/>
                <w:lang w:val="en-CA"/>
              </w:rPr>
              <w:t xml:space="preserve">Lowe Fri, Maria. 2011. </w:t>
            </w:r>
            <w:r w:rsidRPr="00EE61A5">
              <w:rPr>
                <w:i/>
                <w:color w:val="000000"/>
                <w:lang w:val="en-CA"/>
              </w:rPr>
              <w:t>The double axe in Minoan Crete: an experimental study of production and use</w:t>
            </w:r>
            <w:r w:rsidRPr="00EE61A5">
              <w:rPr>
                <w:color w:val="000000"/>
                <w:lang w:val="en-CA"/>
              </w:rPr>
              <w:t xml:space="preserve">. </w:t>
            </w:r>
            <w:r w:rsidRPr="009F53E4">
              <w:rPr>
                <w:color w:val="000000"/>
                <w:lang w:val="en-US"/>
              </w:rPr>
              <w:t>Oxford, GB-</w:t>
            </w:r>
            <w:proofErr w:type="gramStart"/>
            <w:r w:rsidRPr="009F53E4">
              <w:rPr>
                <w:color w:val="000000"/>
                <w:lang w:val="en-US"/>
              </w:rPr>
              <w:t>OXF :</w:t>
            </w:r>
            <w:proofErr w:type="gramEnd"/>
            <w:r w:rsidRPr="009F53E4">
              <w:rPr>
                <w:color w:val="000000"/>
                <w:lang w:val="en-US"/>
              </w:rPr>
              <w:t xml:space="preserve"> Archaeopress.</w:t>
            </w:r>
          </w:p>
        </w:tc>
      </w:tr>
      <w:tr w:rsidR="00BF18CF" w:rsidRPr="000467B7" w14:paraId="6C673B06" w14:textId="77777777" w:rsidTr="00BF18CF">
        <w:tc>
          <w:tcPr>
            <w:tcW w:w="10690" w:type="dxa"/>
          </w:tcPr>
          <w:p w14:paraId="59DF73B8" w14:textId="77777777" w:rsidR="00BF18CF" w:rsidRPr="009F53E4" w:rsidRDefault="00E51347">
            <w:pPr>
              <w:pBdr>
                <w:top w:val="nil"/>
                <w:left w:val="nil"/>
                <w:bottom w:val="nil"/>
                <w:right w:val="nil"/>
                <w:between w:val="nil"/>
              </w:pBdr>
              <w:spacing w:before="36" w:after="36"/>
              <w:rPr>
                <w:color w:val="000000"/>
                <w:lang w:val="en-US"/>
              </w:rPr>
            </w:pPr>
            <w:r w:rsidRPr="00EE61A5">
              <w:rPr>
                <w:color w:val="000000"/>
                <w:lang w:val="en-CA"/>
              </w:rPr>
              <w:lastRenderedPageBreak/>
              <w:t xml:space="preserve">Macdonald, Fiona. 1992. </w:t>
            </w:r>
            <w:r w:rsidRPr="00EE61A5">
              <w:rPr>
                <w:i/>
                <w:color w:val="000000"/>
                <w:lang w:val="en-CA"/>
              </w:rPr>
              <w:t>The Italian Renaissance: Teacher’s Notes (Collins living history)</w:t>
            </w:r>
            <w:r w:rsidRPr="00EE61A5">
              <w:rPr>
                <w:color w:val="000000"/>
                <w:lang w:val="en-CA"/>
              </w:rPr>
              <w:t xml:space="preserve">. </w:t>
            </w:r>
            <w:r w:rsidRPr="009F53E4">
              <w:rPr>
                <w:color w:val="000000"/>
                <w:lang w:val="en-US"/>
              </w:rPr>
              <w:t>Londres, GB-</w:t>
            </w:r>
            <w:proofErr w:type="gramStart"/>
            <w:r w:rsidRPr="009F53E4">
              <w:rPr>
                <w:color w:val="000000"/>
                <w:lang w:val="en-US"/>
              </w:rPr>
              <w:t>LND :</w:t>
            </w:r>
            <w:proofErr w:type="gramEnd"/>
            <w:r w:rsidRPr="009F53E4">
              <w:rPr>
                <w:color w:val="000000"/>
                <w:lang w:val="en-US"/>
              </w:rPr>
              <w:t xml:space="preserve"> Collins Educational.</w:t>
            </w:r>
          </w:p>
        </w:tc>
      </w:tr>
      <w:tr w:rsidR="00BF18CF" w:rsidRPr="000467B7" w14:paraId="5589DD8F" w14:textId="77777777" w:rsidTr="00BF18CF">
        <w:tc>
          <w:tcPr>
            <w:tcW w:w="10690" w:type="dxa"/>
          </w:tcPr>
          <w:p w14:paraId="4F504592" w14:textId="77777777" w:rsidR="00BF18CF" w:rsidRPr="009F53E4" w:rsidRDefault="00E51347">
            <w:pPr>
              <w:pBdr>
                <w:top w:val="nil"/>
                <w:left w:val="nil"/>
                <w:bottom w:val="nil"/>
                <w:right w:val="nil"/>
                <w:between w:val="nil"/>
              </w:pBdr>
              <w:spacing w:before="36" w:after="36"/>
              <w:rPr>
                <w:color w:val="000000"/>
                <w:lang w:val="en-US"/>
              </w:rPr>
            </w:pPr>
            <w:r w:rsidRPr="00EE61A5">
              <w:rPr>
                <w:color w:val="000000"/>
                <w:lang w:val="en-CA"/>
              </w:rPr>
              <w:t xml:space="preserve">Maddox, Steven. 2015. </w:t>
            </w:r>
            <w:r w:rsidRPr="00EE61A5">
              <w:rPr>
                <w:i/>
                <w:color w:val="000000"/>
                <w:lang w:val="en-CA"/>
              </w:rPr>
              <w:t>Saving Stalin’s imperial city historic preservation in Leningrad, 1930-1950</w:t>
            </w:r>
            <w:r w:rsidRPr="00EE61A5">
              <w:rPr>
                <w:color w:val="000000"/>
                <w:lang w:val="en-CA"/>
              </w:rPr>
              <w:t xml:space="preserve">. </w:t>
            </w:r>
            <w:r w:rsidRPr="009F53E4">
              <w:rPr>
                <w:color w:val="000000"/>
                <w:lang w:val="en-US"/>
              </w:rPr>
              <w:t>Bloomington, US-</w:t>
            </w:r>
            <w:proofErr w:type="gramStart"/>
            <w:r w:rsidRPr="009F53E4">
              <w:rPr>
                <w:color w:val="000000"/>
                <w:lang w:val="en-US"/>
              </w:rPr>
              <w:t>IN :</w:t>
            </w:r>
            <w:proofErr w:type="gramEnd"/>
            <w:r w:rsidRPr="009F53E4">
              <w:rPr>
                <w:color w:val="000000"/>
                <w:lang w:val="en-US"/>
              </w:rPr>
              <w:t xml:space="preserve"> Indiana University Press.</w:t>
            </w:r>
          </w:p>
        </w:tc>
      </w:tr>
      <w:tr w:rsidR="00BF18CF" w14:paraId="65535BBB" w14:textId="77777777" w:rsidTr="00BF18CF">
        <w:tc>
          <w:tcPr>
            <w:tcW w:w="10690" w:type="dxa"/>
          </w:tcPr>
          <w:p w14:paraId="2505A9E4" w14:textId="77777777" w:rsidR="00BF18CF" w:rsidRDefault="00E51347">
            <w:pPr>
              <w:pBdr>
                <w:top w:val="nil"/>
                <w:left w:val="nil"/>
                <w:bottom w:val="nil"/>
                <w:right w:val="nil"/>
                <w:between w:val="nil"/>
              </w:pBdr>
              <w:spacing w:before="36" w:after="36"/>
              <w:rPr>
                <w:color w:val="000000"/>
              </w:rPr>
            </w:pPr>
            <w:r>
              <w:rPr>
                <w:color w:val="000000"/>
              </w:rPr>
              <w:t xml:space="preserve">Marion, Stéphane. 2004. </w:t>
            </w:r>
            <w:r>
              <w:rPr>
                <w:i/>
                <w:color w:val="000000"/>
              </w:rPr>
              <w:t>Recherches sur l’âge du Fer en Ile-de-France: entre Hallstatt final et La Teǹe finale ; analyse des sites fouillés ; chronologie et société.</w:t>
            </w:r>
            <w:r>
              <w:rPr>
                <w:color w:val="000000"/>
              </w:rPr>
              <w:t xml:space="preserve"> Oxford, GB-OXF : John and Erica Hedges Ltd.</w:t>
            </w:r>
          </w:p>
        </w:tc>
      </w:tr>
      <w:tr w:rsidR="00BF18CF" w14:paraId="07C1D37A" w14:textId="77777777" w:rsidTr="00BF18CF">
        <w:tc>
          <w:tcPr>
            <w:tcW w:w="10690" w:type="dxa"/>
          </w:tcPr>
          <w:p w14:paraId="49F2EED9"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Maunder, E. Walter. 1900. </w:t>
            </w:r>
            <w:r w:rsidRPr="00EE61A5">
              <w:rPr>
                <w:i/>
                <w:color w:val="000000"/>
                <w:lang w:val="en-CA"/>
              </w:rPr>
              <w:t>The Royal observatory, Greenwich. A glance at its history and work</w:t>
            </w:r>
            <w:r w:rsidRPr="00EE61A5">
              <w:rPr>
                <w:color w:val="000000"/>
                <w:lang w:val="en-CA"/>
              </w:rPr>
              <w:t xml:space="preserve">. </w:t>
            </w:r>
            <w:r>
              <w:rPr>
                <w:color w:val="000000"/>
              </w:rPr>
              <w:t>London, The Religious tract society.</w:t>
            </w:r>
          </w:p>
        </w:tc>
      </w:tr>
      <w:tr w:rsidR="00BF18CF" w:rsidRPr="000467B7" w14:paraId="2AF4E5AC" w14:textId="77777777" w:rsidTr="00BF18CF">
        <w:tc>
          <w:tcPr>
            <w:tcW w:w="10690" w:type="dxa"/>
          </w:tcPr>
          <w:p w14:paraId="31DA9E3A"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McCullough, C. 2005. </w:t>
            </w:r>
            <w:r w:rsidRPr="00EE61A5">
              <w:rPr>
                <w:i/>
                <w:color w:val="000000"/>
                <w:lang w:val="en-CA"/>
              </w:rPr>
              <w:t>The Merchant of Venice</w:t>
            </w:r>
            <w:r w:rsidRPr="00EE61A5">
              <w:rPr>
                <w:color w:val="000000"/>
                <w:lang w:val="en-CA"/>
              </w:rPr>
              <w:t>. Basingstoke, GB-</w:t>
            </w:r>
            <w:proofErr w:type="gramStart"/>
            <w:r w:rsidRPr="00EE61A5">
              <w:rPr>
                <w:color w:val="000000"/>
                <w:lang w:val="en-CA"/>
              </w:rPr>
              <w:t>HAM :</w:t>
            </w:r>
            <w:proofErr w:type="gramEnd"/>
            <w:r w:rsidRPr="00EE61A5">
              <w:rPr>
                <w:color w:val="000000"/>
                <w:lang w:val="en-CA"/>
              </w:rPr>
              <w:t xml:space="preserve"> Palgrave Macmillan.</w:t>
            </w:r>
          </w:p>
        </w:tc>
      </w:tr>
      <w:tr w:rsidR="00BF18CF" w:rsidRPr="00103833" w14:paraId="1396AD38" w14:textId="77777777" w:rsidTr="00BF18CF">
        <w:tc>
          <w:tcPr>
            <w:tcW w:w="10690" w:type="dxa"/>
          </w:tcPr>
          <w:p w14:paraId="101BBFB8" w14:textId="77777777" w:rsidR="00BF18CF" w:rsidRPr="00EE61A5" w:rsidRDefault="00E51347">
            <w:pPr>
              <w:pBdr>
                <w:top w:val="nil"/>
                <w:left w:val="nil"/>
                <w:bottom w:val="nil"/>
                <w:right w:val="nil"/>
                <w:between w:val="nil"/>
              </w:pBdr>
              <w:spacing w:before="36" w:after="36"/>
              <w:rPr>
                <w:color w:val="000000"/>
                <w:lang w:val="en-CA"/>
              </w:rPr>
            </w:pPr>
            <w:r>
              <w:rPr>
                <w:color w:val="000000"/>
              </w:rPr>
              <w:t xml:space="preserve">Meghini, Carlo, et Martin Doerr. </w:t>
            </w:r>
            <w:r w:rsidRPr="00EE61A5">
              <w:rPr>
                <w:color w:val="000000"/>
                <w:lang w:val="en-CA"/>
              </w:rPr>
              <w:t xml:space="preserve">2018. « A first-order logic expression of the CIDOC conceptual reference model ». </w:t>
            </w:r>
            <w:r w:rsidRPr="00EE61A5">
              <w:rPr>
                <w:i/>
                <w:color w:val="000000"/>
                <w:lang w:val="en-CA"/>
              </w:rPr>
              <w:t>International Journal of Metadata, Semantics and Ontologies</w:t>
            </w:r>
            <w:r w:rsidRPr="00EE61A5">
              <w:rPr>
                <w:color w:val="000000"/>
                <w:lang w:val="en-CA"/>
              </w:rPr>
              <w:t xml:space="preserve"> 13 (2</w:t>
            </w:r>
            <w:proofErr w:type="gramStart"/>
            <w:r w:rsidRPr="00EE61A5">
              <w:rPr>
                <w:color w:val="000000"/>
                <w:lang w:val="en-CA"/>
              </w:rPr>
              <w:t>) :</w:t>
            </w:r>
            <w:proofErr w:type="gramEnd"/>
            <w:r w:rsidRPr="00EE61A5">
              <w:rPr>
                <w:color w:val="000000"/>
                <w:lang w:val="en-CA"/>
              </w:rPr>
              <w:t xml:space="preserve"> 131‑49. </w:t>
            </w:r>
            <w:r w:rsidR="000467B7">
              <w:fldChar w:fldCharType="begin"/>
            </w:r>
            <w:r w:rsidR="000467B7" w:rsidRPr="000467B7">
              <w:rPr>
                <w:lang w:val="en-CA"/>
              </w:rPr>
              <w:instrText>HYPERLINK "https://doi.org/10.1504/IJMSO.2018.098393" \h</w:instrText>
            </w:r>
            <w:r w:rsidR="000467B7">
              <w:fldChar w:fldCharType="separate"/>
            </w:r>
            <w:r w:rsidRPr="00EE61A5">
              <w:rPr>
                <w:color w:val="4F81BD"/>
                <w:lang w:val="en-CA"/>
              </w:rPr>
              <w:t>https://doi.org/10.1504/IJMSO.2018.098393</w:t>
            </w:r>
            <w:r w:rsidR="000467B7">
              <w:rPr>
                <w:color w:val="4F81BD"/>
                <w:lang w:val="en-CA"/>
              </w:rPr>
              <w:fldChar w:fldCharType="end"/>
            </w:r>
            <w:r w:rsidRPr="00EE61A5">
              <w:rPr>
                <w:color w:val="000000"/>
                <w:lang w:val="en-CA"/>
              </w:rPr>
              <w:t>.</w:t>
            </w:r>
          </w:p>
        </w:tc>
      </w:tr>
      <w:tr w:rsidR="00BF18CF" w14:paraId="469C8A92" w14:textId="77777777" w:rsidTr="00BF18CF">
        <w:tc>
          <w:tcPr>
            <w:tcW w:w="10690" w:type="dxa"/>
          </w:tcPr>
          <w:p w14:paraId="167FF9BD" w14:textId="77777777" w:rsidR="00BF18CF" w:rsidRDefault="00E51347">
            <w:pPr>
              <w:pBdr>
                <w:top w:val="nil"/>
                <w:left w:val="nil"/>
                <w:bottom w:val="nil"/>
                <w:right w:val="nil"/>
                <w:between w:val="nil"/>
              </w:pBdr>
              <w:spacing w:before="36" w:after="36"/>
              <w:rPr>
                <w:color w:val="000000"/>
              </w:rPr>
            </w:pPr>
            <w:r>
              <w:rPr>
                <w:color w:val="000000"/>
              </w:rPr>
              <w:t xml:space="preserve">Mellen, Joan. 2002. </w:t>
            </w:r>
            <w:r>
              <w:rPr>
                <w:i/>
                <w:color w:val="000000"/>
              </w:rPr>
              <w:t>Seven samurai</w:t>
            </w:r>
            <w:r>
              <w:rPr>
                <w:color w:val="000000"/>
              </w:rPr>
              <w:t>. Londres, GB-LND : BFI Pub.</w:t>
            </w:r>
          </w:p>
        </w:tc>
      </w:tr>
      <w:tr w:rsidR="00BF18CF" w14:paraId="186047D5" w14:textId="77777777" w:rsidTr="00BF18CF">
        <w:tc>
          <w:tcPr>
            <w:tcW w:w="10690" w:type="dxa"/>
          </w:tcPr>
          <w:p w14:paraId="7E7CE4BE"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Mhaske, S.T. s. d. « Polycarbonate: Medical applications ». </w:t>
            </w:r>
            <w:r>
              <w:rPr>
                <w:i/>
                <w:color w:val="000000"/>
              </w:rPr>
              <w:t>Chemical Weekly</w:t>
            </w:r>
            <w:r>
              <w:rPr>
                <w:color w:val="000000"/>
              </w:rPr>
              <w:t xml:space="preserve"> 56 (30) : 201‑4.</w:t>
            </w:r>
          </w:p>
        </w:tc>
      </w:tr>
      <w:tr w:rsidR="00BF18CF" w14:paraId="4EF01928" w14:textId="77777777" w:rsidTr="00BF18CF">
        <w:tc>
          <w:tcPr>
            <w:tcW w:w="10690" w:type="dxa"/>
          </w:tcPr>
          <w:p w14:paraId="40B08521"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Milne, A. A. 2012. </w:t>
            </w:r>
            <w:r w:rsidRPr="00EE61A5">
              <w:rPr>
                <w:i/>
                <w:color w:val="000000"/>
                <w:lang w:val="en-CA"/>
              </w:rPr>
              <w:t>The Sunny Side</w:t>
            </w:r>
            <w:r w:rsidRPr="00EE61A5">
              <w:rPr>
                <w:color w:val="000000"/>
                <w:lang w:val="en-CA"/>
              </w:rPr>
              <w:t xml:space="preserve">. </w:t>
            </w:r>
            <w:r>
              <w:rPr>
                <w:color w:val="000000"/>
              </w:rPr>
              <w:t>The Floating Press.</w:t>
            </w:r>
          </w:p>
        </w:tc>
      </w:tr>
      <w:tr w:rsidR="00BF18CF" w14:paraId="20556EB0" w14:textId="77777777" w:rsidTr="00BF18CF">
        <w:tc>
          <w:tcPr>
            <w:tcW w:w="10690" w:type="dxa"/>
          </w:tcPr>
          <w:p w14:paraId="6C01E906" w14:textId="77777777" w:rsidR="00BF18CF" w:rsidRDefault="00E51347">
            <w:pPr>
              <w:pBdr>
                <w:top w:val="nil"/>
                <w:left w:val="nil"/>
                <w:bottom w:val="nil"/>
                <w:right w:val="nil"/>
                <w:between w:val="nil"/>
              </w:pBdr>
              <w:spacing w:before="36" w:after="36"/>
              <w:rPr>
                <w:color w:val="000000"/>
              </w:rPr>
            </w:pPr>
            <w:r>
              <w:rPr>
                <w:color w:val="000000"/>
              </w:rPr>
              <w:t xml:space="preserve">Mohen, Jean-Pierre, Michel Menu, et Bruno Mottin. </w:t>
            </w:r>
            <w:r w:rsidRPr="00EE61A5">
              <w:rPr>
                <w:color w:val="000000"/>
                <w:lang w:val="en-CA"/>
              </w:rPr>
              <w:t xml:space="preserve">2006. </w:t>
            </w:r>
            <w:r w:rsidRPr="00EE61A5">
              <w:rPr>
                <w:i/>
                <w:color w:val="000000"/>
                <w:lang w:val="en-CA"/>
              </w:rPr>
              <w:t>Mona Lisa: Inside the Painting</w:t>
            </w:r>
            <w:r w:rsidRPr="00EE61A5">
              <w:rPr>
                <w:color w:val="000000"/>
                <w:lang w:val="en-CA"/>
              </w:rPr>
              <w:t xml:space="preserve">. </w:t>
            </w:r>
            <w:r>
              <w:rPr>
                <w:color w:val="000000"/>
              </w:rPr>
              <w:t>Harry N. Abrams.</w:t>
            </w:r>
          </w:p>
        </w:tc>
      </w:tr>
      <w:tr w:rsidR="00BF18CF" w:rsidRPr="009F53E4" w14:paraId="4DABEAB2" w14:textId="77777777" w:rsidTr="00BF18CF">
        <w:tc>
          <w:tcPr>
            <w:tcW w:w="10690" w:type="dxa"/>
          </w:tcPr>
          <w:p w14:paraId="088411CF" w14:textId="77777777" w:rsidR="00BF18CF" w:rsidRPr="00D573C0" w:rsidRDefault="00E51347">
            <w:pPr>
              <w:pBdr>
                <w:top w:val="nil"/>
                <w:left w:val="nil"/>
                <w:bottom w:val="nil"/>
                <w:right w:val="nil"/>
                <w:between w:val="nil"/>
              </w:pBdr>
              <w:spacing w:before="36" w:after="36"/>
              <w:rPr>
                <w:color w:val="000000"/>
                <w:lang w:val="en-US"/>
              </w:rPr>
            </w:pPr>
            <w:r w:rsidRPr="00EE61A5">
              <w:rPr>
                <w:color w:val="000000"/>
                <w:lang w:val="en-CA"/>
              </w:rPr>
              <w:t xml:space="preserve">Moholy-Nagy, László. 2012. </w:t>
            </w:r>
            <w:r w:rsidRPr="00EE61A5">
              <w:rPr>
                <w:i/>
                <w:color w:val="000000"/>
                <w:lang w:val="en-CA"/>
              </w:rPr>
              <w:t>The New Vision: Fundamentals of Bauhaus Design, Painting, Sculpture, and Architecture</w:t>
            </w:r>
            <w:r w:rsidRPr="00EE61A5">
              <w:rPr>
                <w:color w:val="000000"/>
                <w:lang w:val="en-CA"/>
              </w:rPr>
              <w:t xml:space="preserve">. </w:t>
            </w:r>
            <w:r w:rsidRPr="00D573C0">
              <w:rPr>
                <w:color w:val="000000"/>
                <w:lang w:val="en-US"/>
              </w:rPr>
              <w:t>Courier Corporation.</w:t>
            </w:r>
          </w:p>
        </w:tc>
      </w:tr>
      <w:tr w:rsidR="00BF18CF" w:rsidRPr="000467B7" w14:paraId="53DD5161" w14:textId="77777777" w:rsidTr="00BF18CF">
        <w:tc>
          <w:tcPr>
            <w:tcW w:w="10690" w:type="dxa"/>
          </w:tcPr>
          <w:p w14:paraId="575786DB"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Mommsen, Theodor. 1872. </w:t>
            </w:r>
            <w:r w:rsidRPr="00EE61A5">
              <w:rPr>
                <w:i/>
                <w:color w:val="000000"/>
                <w:lang w:val="en-CA"/>
              </w:rPr>
              <w:t>Corpus inscriptionum Latinarum Vol. 5, Pars 1.</w:t>
            </w:r>
            <w:r w:rsidRPr="00EE61A5">
              <w:rPr>
                <w:color w:val="000000"/>
                <w:lang w:val="en-CA"/>
              </w:rPr>
              <w:t xml:space="preserve"> Berlin, DE-</w:t>
            </w:r>
            <w:proofErr w:type="gramStart"/>
            <w:r w:rsidRPr="00EE61A5">
              <w:rPr>
                <w:color w:val="000000"/>
                <w:lang w:val="en-CA"/>
              </w:rPr>
              <w:t>BE :</w:t>
            </w:r>
            <w:proofErr w:type="gramEnd"/>
            <w:r w:rsidRPr="00EE61A5">
              <w:rPr>
                <w:color w:val="000000"/>
                <w:lang w:val="en-CA"/>
              </w:rPr>
              <w:t xml:space="preserve"> Apud Georgium Reimerum.</w:t>
            </w:r>
          </w:p>
        </w:tc>
      </w:tr>
      <w:tr w:rsidR="00BF18CF" w14:paraId="334BC9A9" w14:textId="77777777" w:rsidTr="00BF18CF">
        <w:tc>
          <w:tcPr>
            <w:tcW w:w="10690" w:type="dxa"/>
          </w:tcPr>
          <w:p w14:paraId="6C87DD90"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Mommsen, Theodor E. 1941. « The Venetians in Athens and the Destruction of the Parthenon in 1687 ». </w:t>
            </w:r>
            <w:r>
              <w:rPr>
                <w:i/>
                <w:color w:val="000000"/>
              </w:rPr>
              <w:t>American Journal of Archaeology</w:t>
            </w:r>
            <w:r>
              <w:rPr>
                <w:color w:val="000000"/>
              </w:rPr>
              <w:t xml:space="preserve"> 45 (4) : 544‑56. </w:t>
            </w:r>
            <w:hyperlink r:id="rId480">
              <w:r>
                <w:rPr>
                  <w:color w:val="4F81BD"/>
                </w:rPr>
                <w:t>https://doi.org/10.2307/499533</w:t>
              </w:r>
            </w:hyperlink>
            <w:r>
              <w:rPr>
                <w:color w:val="000000"/>
              </w:rPr>
              <w:t>.</w:t>
            </w:r>
          </w:p>
        </w:tc>
      </w:tr>
      <w:tr w:rsidR="00BF18CF" w14:paraId="518E103B" w14:textId="77777777" w:rsidTr="00BF18CF">
        <w:tc>
          <w:tcPr>
            <w:tcW w:w="10690" w:type="dxa"/>
          </w:tcPr>
          <w:p w14:paraId="7D84250B"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Monast, Jonas, et Betsy Tao. 2002. « In Memoriam: Paul Wellstone (1944-2002) ». </w:t>
            </w:r>
            <w:r>
              <w:rPr>
                <w:i/>
                <w:color w:val="000000"/>
              </w:rPr>
              <w:t>Georgetown International Environmental Law Review</w:t>
            </w:r>
            <w:r>
              <w:rPr>
                <w:color w:val="000000"/>
              </w:rPr>
              <w:t xml:space="preserve"> 15 : 133.</w:t>
            </w:r>
          </w:p>
        </w:tc>
      </w:tr>
      <w:tr w:rsidR="00BF18CF" w:rsidRPr="000467B7" w14:paraId="0403B2D5" w14:textId="77777777" w:rsidTr="00BF18CF">
        <w:tc>
          <w:tcPr>
            <w:tcW w:w="10690" w:type="dxa"/>
          </w:tcPr>
          <w:p w14:paraId="52117D60" w14:textId="77777777" w:rsidR="00BF18CF" w:rsidRPr="009F53E4" w:rsidRDefault="00E51347">
            <w:pPr>
              <w:pBdr>
                <w:top w:val="nil"/>
                <w:left w:val="nil"/>
                <w:bottom w:val="nil"/>
                <w:right w:val="nil"/>
                <w:between w:val="nil"/>
              </w:pBdr>
              <w:spacing w:before="36" w:after="36"/>
              <w:rPr>
                <w:color w:val="000000"/>
                <w:lang w:val="en-US"/>
              </w:rPr>
            </w:pPr>
            <w:r w:rsidRPr="00EE61A5">
              <w:rPr>
                <w:color w:val="000000"/>
                <w:lang w:val="en-CA"/>
              </w:rPr>
              <w:t xml:space="preserve">Moorhouse, E. Hallam. 1987. </w:t>
            </w:r>
            <w:r w:rsidRPr="00EE61A5">
              <w:rPr>
                <w:i/>
                <w:color w:val="000000"/>
                <w:lang w:val="en-CA"/>
              </w:rPr>
              <w:t>Domesday book: through nine centuries</w:t>
            </w:r>
            <w:r w:rsidRPr="00EE61A5">
              <w:rPr>
                <w:color w:val="000000"/>
                <w:lang w:val="en-CA"/>
              </w:rPr>
              <w:t xml:space="preserve">. </w:t>
            </w:r>
            <w:r w:rsidRPr="009F53E4">
              <w:rPr>
                <w:color w:val="000000"/>
                <w:lang w:val="en-US"/>
              </w:rPr>
              <w:t>Londres, GB-</w:t>
            </w:r>
            <w:proofErr w:type="gramStart"/>
            <w:r w:rsidRPr="009F53E4">
              <w:rPr>
                <w:color w:val="000000"/>
                <w:lang w:val="en-US"/>
              </w:rPr>
              <w:t>LND :</w:t>
            </w:r>
            <w:proofErr w:type="gramEnd"/>
            <w:r w:rsidRPr="009F53E4">
              <w:rPr>
                <w:color w:val="000000"/>
                <w:lang w:val="en-US"/>
              </w:rPr>
              <w:t xml:space="preserve"> Thames and Hudson.</w:t>
            </w:r>
          </w:p>
        </w:tc>
      </w:tr>
      <w:tr w:rsidR="00BF18CF" w14:paraId="46B5276C" w14:textId="77777777" w:rsidTr="00BF18CF">
        <w:tc>
          <w:tcPr>
            <w:tcW w:w="10690" w:type="dxa"/>
          </w:tcPr>
          <w:p w14:paraId="1CF03886"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Morton, Herbert C. 1994. </w:t>
            </w:r>
            <w:r w:rsidRPr="00EE61A5">
              <w:rPr>
                <w:i/>
                <w:color w:val="000000"/>
                <w:lang w:val="en-CA"/>
              </w:rPr>
              <w:t>The story of Webster’s third: Philip Gove’s controversial dictionary and its critics</w:t>
            </w:r>
            <w:r w:rsidRPr="00EE61A5">
              <w:rPr>
                <w:color w:val="000000"/>
                <w:lang w:val="en-CA"/>
              </w:rPr>
              <w:t xml:space="preserve">. </w:t>
            </w:r>
            <w:r>
              <w:rPr>
                <w:color w:val="000000"/>
              </w:rPr>
              <w:t>Cambridge, GB-CAM : Cambridge University Press.</w:t>
            </w:r>
          </w:p>
        </w:tc>
      </w:tr>
      <w:tr w:rsidR="00BF18CF" w14:paraId="214E73AD" w14:textId="77777777" w:rsidTr="00BF18CF">
        <w:tc>
          <w:tcPr>
            <w:tcW w:w="10690" w:type="dxa"/>
          </w:tcPr>
          <w:p w14:paraId="2EB643A9"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Municipality of Heraklion. s. d. « City Hall ». </w:t>
            </w:r>
            <w:r>
              <w:rPr>
                <w:color w:val="000000"/>
              </w:rPr>
              <w:t xml:space="preserve">Consulté le 5 février 2021. </w:t>
            </w:r>
            <w:hyperlink r:id="rId481">
              <w:r>
                <w:rPr>
                  <w:color w:val="4F81BD"/>
                </w:rPr>
                <w:t>https://www.heraklion.gr/en/municipality/city-hall//city-hall.html</w:t>
              </w:r>
            </w:hyperlink>
            <w:r>
              <w:rPr>
                <w:color w:val="000000"/>
              </w:rPr>
              <w:t>.</w:t>
            </w:r>
          </w:p>
        </w:tc>
      </w:tr>
      <w:tr w:rsidR="00BF18CF" w:rsidRPr="000467B7" w14:paraId="16154226" w14:textId="77777777" w:rsidTr="00BF18CF">
        <w:tc>
          <w:tcPr>
            <w:tcW w:w="10690" w:type="dxa"/>
          </w:tcPr>
          <w:p w14:paraId="59B8800C"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Murdoch, David H, Chris Forsey, Anne Yvonne Gilbert, et Eric Thomas. 2003. </w:t>
            </w:r>
            <w:r w:rsidRPr="00EE61A5">
              <w:rPr>
                <w:i/>
                <w:color w:val="000000"/>
                <w:lang w:val="en-CA"/>
              </w:rPr>
              <w:t>Tutankhamun: the life and death of a pharaoh</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Dorling Kindersley.</w:t>
            </w:r>
          </w:p>
        </w:tc>
      </w:tr>
      <w:tr w:rsidR="00BF18CF" w14:paraId="75487B22" w14:textId="77777777" w:rsidTr="00BF18CF">
        <w:tc>
          <w:tcPr>
            <w:tcW w:w="10690" w:type="dxa"/>
          </w:tcPr>
          <w:p w14:paraId="489773F6" w14:textId="77777777" w:rsidR="00BF18CF" w:rsidRDefault="00E51347">
            <w:pPr>
              <w:pBdr>
                <w:top w:val="nil"/>
                <w:left w:val="nil"/>
                <w:bottom w:val="nil"/>
                <w:right w:val="nil"/>
                <w:between w:val="nil"/>
              </w:pBdr>
              <w:spacing w:before="36" w:after="36"/>
              <w:rPr>
                <w:color w:val="000000"/>
              </w:rPr>
            </w:pPr>
            <w:r>
              <w:rPr>
                <w:color w:val="000000"/>
              </w:rPr>
              <w:t xml:space="preserve">Musée d’Orsay. 2020. « Claude Monet “La Pie” ». 2020. </w:t>
            </w:r>
            <w:hyperlink r:id="rId482">
              <w:r>
                <w:rPr>
                  <w:color w:val="4F81BD"/>
                </w:rPr>
                <w:t>https://www.musee-orsay.fr/fr/collections/catalogue-des-oeuvres/notice.html?no_cache=1&amp;nnumid=715</w:t>
              </w:r>
            </w:hyperlink>
            <w:r>
              <w:rPr>
                <w:color w:val="000000"/>
              </w:rPr>
              <w:t>.</w:t>
            </w:r>
          </w:p>
        </w:tc>
      </w:tr>
      <w:tr w:rsidR="00BF18CF" w14:paraId="7A30D00B" w14:textId="77777777" w:rsidTr="00BF18CF">
        <w:tc>
          <w:tcPr>
            <w:tcW w:w="10690" w:type="dxa"/>
          </w:tcPr>
          <w:p w14:paraId="78A8AE3A"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National Gallery of Victoria. s. d. « Portrait group: The singer Farinelli and friends (c. 1750-1752) Jacopo Amigoni ». </w:t>
            </w:r>
            <w:r>
              <w:rPr>
                <w:color w:val="000000"/>
              </w:rPr>
              <w:t xml:space="preserve">Consulté le 5 février 2021. </w:t>
            </w:r>
            <w:hyperlink r:id="rId483">
              <w:r>
                <w:rPr>
                  <w:color w:val="4F81BD"/>
                </w:rPr>
                <w:t>http://www.ngv.vic.gov.au/explore/collection/work/3701/</w:t>
              </w:r>
            </w:hyperlink>
            <w:r>
              <w:rPr>
                <w:color w:val="000000"/>
              </w:rPr>
              <w:t>.</w:t>
            </w:r>
          </w:p>
        </w:tc>
      </w:tr>
      <w:tr w:rsidR="00BF18CF" w:rsidRPr="000467B7" w14:paraId="42F176AD" w14:textId="77777777" w:rsidTr="00BF18CF">
        <w:tc>
          <w:tcPr>
            <w:tcW w:w="10690" w:type="dxa"/>
          </w:tcPr>
          <w:p w14:paraId="3DAA2245"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Nelson, Alan H. 1989. </w:t>
            </w:r>
            <w:r w:rsidRPr="00EE61A5">
              <w:rPr>
                <w:i/>
                <w:color w:val="000000"/>
                <w:lang w:val="en-CA"/>
              </w:rPr>
              <w:t>Cambridge</w:t>
            </w:r>
            <w:r w:rsidRPr="00EE61A5">
              <w:rPr>
                <w:color w:val="000000"/>
                <w:lang w:val="en-CA"/>
              </w:rPr>
              <w:t>. Toronto, CA-</w:t>
            </w:r>
            <w:proofErr w:type="gramStart"/>
            <w:r w:rsidRPr="00EE61A5">
              <w:rPr>
                <w:color w:val="000000"/>
                <w:lang w:val="en-CA"/>
              </w:rPr>
              <w:t>ON :</w:t>
            </w:r>
            <w:proofErr w:type="gramEnd"/>
            <w:r w:rsidRPr="00EE61A5">
              <w:rPr>
                <w:color w:val="000000"/>
                <w:lang w:val="en-CA"/>
              </w:rPr>
              <w:t xml:space="preserve"> University of Toronto Press.</w:t>
            </w:r>
          </w:p>
        </w:tc>
      </w:tr>
      <w:tr w:rsidR="00BF18CF" w14:paraId="15DC368E" w14:textId="77777777" w:rsidTr="00BF18CF">
        <w:tc>
          <w:tcPr>
            <w:tcW w:w="10690" w:type="dxa"/>
          </w:tcPr>
          <w:p w14:paraId="44629ADF"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Norman, C. F. W. 1986. </w:t>
            </w:r>
            <w:r w:rsidRPr="00EE61A5">
              <w:rPr>
                <w:i/>
                <w:color w:val="000000"/>
                <w:lang w:val="en-CA"/>
              </w:rPr>
              <w:t>Corrosion of aluminium.</w:t>
            </w:r>
            <w:r w:rsidRPr="00EE61A5">
              <w:rPr>
                <w:color w:val="000000"/>
                <w:lang w:val="en-CA"/>
              </w:rPr>
              <w:t xml:space="preserve"> </w:t>
            </w:r>
            <w:r>
              <w:rPr>
                <w:color w:val="000000"/>
              </w:rPr>
              <w:t>University of Manchester Press.</w:t>
            </w:r>
          </w:p>
        </w:tc>
      </w:tr>
      <w:tr w:rsidR="00BF18CF" w:rsidRPr="000467B7" w14:paraId="09C6E87B" w14:textId="77777777" w:rsidTr="00BF18CF">
        <w:tc>
          <w:tcPr>
            <w:tcW w:w="10690" w:type="dxa"/>
          </w:tcPr>
          <w:p w14:paraId="3C259B63"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Nuessel, Frank H. 2000. </w:t>
            </w:r>
            <w:r w:rsidRPr="00EE61A5">
              <w:rPr>
                <w:i/>
                <w:color w:val="000000"/>
                <w:lang w:val="en-CA"/>
              </w:rPr>
              <w:t>The Esperanto language</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Legas.</w:t>
            </w:r>
          </w:p>
        </w:tc>
      </w:tr>
      <w:tr w:rsidR="00BF18CF" w:rsidRPr="000467B7" w14:paraId="30EB6F33" w14:textId="77777777" w:rsidTr="00BF18CF">
        <w:tc>
          <w:tcPr>
            <w:tcW w:w="10690" w:type="dxa"/>
          </w:tcPr>
          <w:p w14:paraId="2ED15D0C"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lastRenderedPageBreak/>
              <w:t xml:space="preserve">« Numismatics ». 2005. Historical Museum of Crete. 2020 2005. </w:t>
            </w:r>
            <w:r w:rsidR="000467B7">
              <w:fldChar w:fldCharType="begin"/>
            </w:r>
            <w:r w:rsidR="000467B7" w:rsidRPr="000467B7">
              <w:rPr>
                <w:lang w:val="en-CA"/>
              </w:rPr>
              <w:instrText>HYPERLINK "https://www.historical-museum.gr/eng/collections/view/nomismatikh-sullogh" \h</w:instrText>
            </w:r>
            <w:r w:rsidR="000467B7">
              <w:fldChar w:fldCharType="separate"/>
            </w:r>
            <w:r w:rsidRPr="00EE61A5">
              <w:rPr>
                <w:color w:val="4F81BD"/>
                <w:lang w:val="en-CA"/>
              </w:rPr>
              <w:t>https://www.historical-museum.gr/eng/collections/view/nomismatikh-sullogh</w:t>
            </w:r>
            <w:r w:rsidR="000467B7">
              <w:rPr>
                <w:color w:val="4F81BD"/>
                <w:lang w:val="en-CA"/>
              </w:rPr>
              <w:fldChar w:fldCharType="end"/>
            </w:r>
            <w:r w:rsidRPr="00EE61A5">
              <w:rPr>
                <w:color w:val="000000"/>
                <w:lang w:val="en-CA"/>
              </w:rPr>
              <w:t>.</w:t>
            </w:r>
          </w:p>
        </w:tc>
      </w:tr>
      <w:tr w:rsidR="00BF18CF" w14:paraId="05D482EC" w14:textId="77777777" w:rsidTr="00BF18CF">
        <w:tc>
          <w:tcPr>
            <w:tcW w:w="10690" w:type="dxa"/>
          </w:tcPr>
          <w:p w14:paraId="5315C933" w14:textId="77777777" w:rsidR="00BF18CF" w:rsidRDefault="00E51347">
            <w:pPr>
              <w:pBdr>
                <w:top w:val="nil"/>
                <w:left w:val="nil"/>
                <w:bottom w:val="nil"/>
                <w:right w:val="nil"/>
                <w:between w:val="nil"/>
              </w:pBdr>
              <w:spacing w:before="36" w:after="36"/>
              <w:rPr>
                <w:color w:val="000000"/>
              </w:rPr>
            </w:pPr>
            <w:r w:rsidRPr="00EE61A5">
              <w:rPr>
                <w:i/>
                <w:color w:val="000000"/>
                <w:lang w:val="en-CA"/>
              </w:rPr>
              <w:t xml:space="preserve">Ode to joy: theme and 6 variations on Beethoven’s Ode to joy, in the style of Bach, Mozart, Mendelssohn, Dvořák, Wagner and Scott </w:t>
            </w:r>
            <w:proofErr w:type="gramStart"/>
            <w:r w:rsidRPr="00EE61A5">
              <w:rPr>
                <w:i/>
                <w:color w:val="000000"/>
                <w:lang w:val="en-CA"/>
              </w:rPr>
              <w:t>Joplin :</w:t>
            </w:r>
            <w:proofErr w:type="gramEnd"/>
            <w:r w:rsidRPr="00EE61A5">
              <w:rPr>
                <w:i/>
                <w:color w:val="000000"/>
                <w:lang w:val="en-CA"/>
              </w:rPr>
              <w:t xml:space="preserve"> string orchestra</w:t>
            </w:r>
            <w:r w:rsidRPr="00EE61A5">
              <w:rPr>
                <w:color w:val="000000"/>
                <w:lang w:val="en-CA"/>
              </w:rPr>
              <w:t xml:space="preserve">. </w:t>
            </w:r>
            <w:r>
              <w:rPr>
                <w:color w:val="000000"/>
              </w:rPr>
              <w:t>1999. Monmouth, GB-MON : Spartan Press.</w:t>
            </w:r>
          </w:p>
        </w:tc>
      </w:tr>
      <w:tr w:rsidR="00BF18CF" w:rsidRPr="000467B7" w14:paraId="12279C56" w14:textId="77777777" w:rsidTr="00BF18CF">
        <w:tc>
          <w:tcPr>
            <w:tcW w:w="10690" w:type="dxa"/>
          </w:tcPr>
          <w:p w14:paraId="44AF3F99"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Overy, Richard. 2012. </w:t>
            </w:r>
            <w:r w:rsidRPr="00EE61A5">
              <w:rPr>
                <w:i/>
                <w:color w:val="000000"/>
                <w:lang w:val="en-CA"/>
              </w:rPr>
              <w:t>20th Century</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Dorling Kindersley.</w:t>
            </w:r>
          </w:p>
        </w:tc>
      </w:tr>
      <w:tr w:rsidR="00BF18CF" w14:paraId="26A9543A" w14:textId="77777777" w:rsidTr="00BF18CF">
        <w:tc>
          <w:tcPr>
            <w:tcW w:w="10690" w:type="dxa"/>
          </w:tcPr>
          <w:p w14:paraId="14A55B39"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Owen, Jennifer Chowning. 2009. « Forever </w:t>
            </w:r>
            <w:proofErr w:type="gramStart"/>
            <w:r w:rsidRPr="00EE61A5">
              <w:rPr>
                <w:color w:val="000000"/>
                <w:lang w:val="en-CA"/>
              </w:rPr>
              <w:t>Amber :</w:t>
            </w:r>
            <w:proofErr w:type="gramEnd"/>
            <w:r w:rsidRPr="00EE61A5">
              <w:rPr>
                <w:color w:val="000000"/>
                <w:lang w:val="en-CA"/>
              </w:rPr>
              <w:t xml:space="preserve"> the impact of the Amber Room on Russia’s cultural stature then, now and in the future ». </w:t>
            </w:r>
            <w:r w:rsidRPr="00EE61A5">
              <w:rPr>
                <w:i/>
                <w:color w:val="000000"/>
                <w:lang w:val="en-CA"/>
              </w:rPr>
              <w:t xml:space="preserve">Dept. of Art and Art History, </w:t>
            </w:r>
            <w:proofErr w:type="gramStart"/>
            <w:r w:rsidRPr="00EE61A5">
              <w:rPr>
                <w:i/>
                <w:color w:val="000000"/>
                <w:lang w:val="en-CA"/>
              </w:rPr>
              <w:t>Masters</w:t>
            </w:r>
            <w:proofErr w:type="gramEnd"/>
            <w:r w:rsidRPr="00EE61A5">
              <w:rPr>
                <w:i/>
                <w:color w:val="000000"/>
                <w:lang w:val="en-CA"/>
              </w:rPr>
              <w:t xml:space="preserve"> dissertations, 2009.</w:t>
            </w:r>
            <w:r w:rsidRPr="00EE61A5">
              <w:rPr>
                <w:color w:val="000000"/>
                <w:lang w:val="en-CA"/>
              </w:rPr>
              <w:t xml:space="preserve"> Thesis, Georgetown University. </w:t>
            </w:r>
            <w:hyperlink r:id="rId484">
              <w:r>
                <w:rPr>
                  <w:color w:val="4F81BD"/>
                </w:rPr>
                <w:t>https://repository.library.georgetown.edu/handle/10822/552838</w:t>
              </w:r>
            </w:hyperlink>
            <w:r>
              <w:rPr>
                <w:color w:val="000000"/>
              </w:rPr>
              <w:t>.</w:t>
            </w:r>
          </w:p>
        </w:tc>
      </w:tr>
      <w:tr w:rsidR="00BF18CF" w14:paraId="2DA9BB80" w14:textId="77777777" w:rsidTr="00BF18CF">
        <w:tc>
          <w:tcPr>
            <w:tcW w:w="10690" w:type="dxa"/>
          </w:tcPr>
          <w:p w14:paraId="49110997"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Palmer, L. R. 1980. </w:t>
            </w:r>
            <w:r w:rsidRPr="00EE61A5">
              <w:rPr>
                <w:i/>
                <w:color w:val="000000"/>
                <w:lang w:val="en-CA"/>
              </w:rPr>
              <w:t>The Greek language</w:t>
            </w:r>
            <w:r w:rsidRPr="00EE61A5">
              <w:rPr>
                <w:color w:val="000000"/>
                <w:lang w:val="en-CA"/>
              </w:rPr>
              <w:t xml:space="preserve">. </w:t>
            </w:r>
            <w:r>
              <w:rPr>
                <w:color w:val="000000"/>
              </w:rPr>
              <w:t>Londres, GB-LND : Faber.</w:t>
            </w:r>
          </w:p>
        </w:tc>
      </w:tr>
      <w:tr w:rsidR="00BF18CF" w14:paraId="63094FC1" w14:textId="77777777" w:rsidTr="00BF18CF">
        <w:tc>
          <w:tcPr>
            <w:tcW w:w="10690" w:type="dxa"/>
          </w:tcPr>
          <w:p w14:paraId="638AE894" w14:textId="77777777" w:rsidR="00BF18CF" w:rsidRDefault="00E51347">
            <w:pPr>
              <w:pBdr>
                <w:top w:val="nil"/>
                <w:left w:val="nil"/>
                <w:bottom w:val="nil"/>
                <w:right w:val="nil"/>
                <w:between w:val="nil"/>
              </w:pBdr>
              <w:spacing w:before="36" w:after="36"/>
              <w:rPr>
                <w:color w:val="000000"/>
              </w:rPr>
            </w:pPr>
            <w:r>
              <w:rPr>
                <w:color w:val="000000"/>
              </w:rPr>
              <w:t xml:space="preserve">Panotis, Aristidis. 2016. « « Η Θείω Πνεύματι κραταιωθείσα Σύνοδος της Κρήτης » ». </w:t>
            </w:r>
            <w:r>
              <w:rPr>
                <w:i/>
                <w:color w:val="000000"/>
              </w:rPr>
              <w:t>Πανώτης</w:t>
            </w:r>
            <w:r>
              <w:rPr>
                <w:color w:val="000000"/>
              </w:rPr>
              <w:t xml:space="preserve">. 29 juin. </w:t>
            </w:r>
            <w:hyperlink r:id="rId485">
              <w:r>
                <w:rPr>
                  <w:color w:val="4F81BD"/>
                </w:rPr>
                <w:t>https://www.panotis.gr/index.php/2016/06/29/the-holy-spirit-stressed-summit-of-crete/</w:t>
              </w:r>
            </w:hyperlink>
            <w:r>
              <w:rPr>
                <w:color w:val="000000"/>
              </w:rPr>
              <w:t>.</w:t>
            </w:r>
          </w:p>
        </w:tc>
      </w:tr>
      <w:tr w:rsidR="00BF18CF" w:rsidRPr="00103833" w14:paraId="401B505B" w14:textId="77777777" w:rsidTr="00BF18CF">
        <w:tc>
          <w:tcPr>
            <w:tcW w:w="10690" w:type="dxa"/>
          </w:tcPr>
          <w:p w14:paraId="77457EB8" w14:textId="77777777" w:rsidR="00BF18CF" w:rsidRPr="00EE61A5" w:rsidRDefault="00E51347">
            <w:pPr>
              <w:pBdr>
                <w:top w:val="nil"/>
                <w:left w:val="nil"/>
                <w:bottom w:val="nil"/>
                <w:right w:val="nil"/>
                <w:between w:val="nil"/>
              </w:pBdr>
              <w:spacing w:before="36" w:after="36"/>
              <w:rPr>
                <w:color w:val="000000"/>
                <w:lang w:val="en-CA"/>
              </w:rPr>
            </w:pPr>
            <w:r>
              <w:rPr>
                <w:color w:val="000000"/>
              </w:rPr>
              <w:t xml:space="preserve">Paoletti, John T, et Rolf Bagemihl. </w:t>
            </w:r>
            <w:r w:rsidRPr="00EE61A5">
              <w:rPr>
                <w:color w:val="000000"/>
                <w:lang w:val="en-CA"/>
              </w:rPr>
              <w:t xml:space="preserve">2015. </w:t>
            </w:r>
            <w:r w:rsidRPr="00EE61A5">
              <w:rPr>
                <w:i/>
                <w:color w:val="000000"/>
                <w:lang w:val="en-CA"/>
              </w:rPr>
              <w:t>Michelangelo’s David: Florentine history and civic identity</w:t>
            </w:r>
            <w:r w:rsidRPr="00EE61A5">
              <w:rPr>
                <w:color w:val="000000"/>
                <w:lang w:val="en-CA"/>
              </w:rPr>
              <w:t>. New York, US-</w:t>
            </w:r>
            <w:proofErr w:type="gramStart"/>
            <w:r w:rsidRPr="00EE61A5">
              <w:rPr>
                <w:color w:val="000000"/>
                <w:lang w:val="en-CA"/>
              </w:rPr>
              <w:t>NY :</w:t>
            </w:r>
            <w:proofErr w:type="gramEnd"/>
            <w:r w:rsidRPr="00EE61A5">
              <w:rPr>
                <w:color w:val="000000"/>
                <w:lang w:val="en-CA"/>
              </w:rPr>
              <w:t xml:space="preserve"> Cambridge University Press. </w:t>
            </w:r>
            <w:r w:rsidR="000467B7">
              <w:fldChar w:fldCharType="begin"/>
            </w:r>
            <w:r w:rsidR="000467B7" w:rsidRPr="000467B7">
              <w:rPr>
                <w:lang w:val="en-CA"/>
              </w:rPr>
              <w:instrText>HYPERLINK "https://doi.org/10.1017/CBO9781107338784" \h</w:instrText>
            </w:r>
            <w:r w:rsidR="000467B7">
              <w:fldChar w:fldCharType="separate"/>
            </w:r>
            <w:r w:rsidRPr="00EE61A5">
              <w:rPr>
                <w:color w:val="4F81BD"/>
                <w:lang w:val="en-CA"/>
              </w:rPr>
              <w:t>https://doi.org/10.1017/CBO9781107338784</w:t>
            </w:r>
            <w:r w:rsidR="000467B7">
              <w:rPr>
                <w:color w:val="4F81BD"/>
                <w:lang w:val="en-CA"/>
              </w:rPr>
              <w:fldChar w:fldCharType="end"/>
            </w:r>
            <w:r w:rsidRPr="00EE61A5">
              <w:rPr>
                <w:color w:val="000000"/>
                <w:lang w:val="en-CA"/>
              </w:rPr>
              <w:t>.</w:t>
            </w:r>
          </w:p>
        </w:tc>
      </w:tr>
      <w:tr w:rsidR="00BF18CF" w:rsidRPr="000467B7" w14:paraId="101A37DA" w14:textId="77777777" w:rsidTr="00BF18CF">
        <w:tc>
          <w:tcPr>
            <w:tcW w:w="10690" w:type="dxa"/>
          </w:tcPr>
          <w:p w14:paraId="72E6821B"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Parker, V. 2002. </w:t>
            </w:r>
            <w:r w:rsidRPr="00EE61A5">
              <w:rPr>
                <w:i/>
                <w:color w:val="000000"/>
                <w:lang w:val="en-CA"/>
              </w:rPr>
              <w:t>Queen Elizabeth II</w:t>
            </w:r>
            <w:r w:rsidRPr="00EE61A5">
              <w:rPr>
                <w:color w:val="000000"/>
                <w:lang w:val="en-CA"/>
              </w:rPr>
              <w:t>. Oxford, GB-</w:t>
            </w:r>
            <w:proofErr w:type="gramStart"/>
            <w:r w:rsidRPr="00EE61A5">
              <w:rPr>
                <w:color w:val="000000"/>
                <w:lang w:val="en-CA"/>
              </w:rPr>
              <w:t>OXF :</w:t>
            </w:r>
            <w:proofErr w:type="gramEnd"/>
            <w:r w:rsidRPr="00EE61A5">
              <w:rPr>
                <w:color w:val="000000"/>
                <w:lang w:val="en-CA"/>
              </w:rPr>
              <w:t xml:space="preserve"> Heinemann Library.</w:t>
            </w:r>
          </w:p>
        </w:tc>
      </w:tr>
      <w:tr w:rsidR="00BF18CF" w:rsidRPr="000467B7" w14:paraId="416C4EA3" w14:textId="77777777" w:rsidTr="00BF18CF">
        <w:tc>
          <w:tcPr>
            <w:tcW w:w="10690" w:type="dxa"/>
          </w:tcPr>
          <w:p w14:paraId="58DD6B5A"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Patterson, Richard. 1998. </w:t>
            </w:r>
            <w:r w:rsidRPr="00EE61A5">
              <w:rPr>
                <w:i/>
                <w:color w:val="000000"/>
                <w:lang w:val="en-CA"/>
              </w:rPr>
              <w:t>Butch Cassidy: A Biography.</w:t>
            </w:r>
            <w:r w:rsidRPr="00EE61A5">
              <w:rPr>
                <w:color w:val="000000"/>
                <w:lang w:val="en-CA"/>
              </w:rPr>
              <w:t xml:space="preserve"> Lincoln, US-</w:t>
            </w:r>
            <w:proofErr w:type="gramStart"/>
            <w:r w:rsidRPr="00EE61A5">
              <w:rPr>
                <w:color w:val="000000"/>
                <w:lang w:val="en-CA"/>
              </w:rPr>
              <w:t>NE :</w:t>
            </w:r>
            <w:proofErr w:type="gramEnd"/>
            <w:r w:rsidRPr="00EE61A5">
              <w:rPr>
                <w:color w:val="000000"/>
                <w:lang w:val="en-CA"/>
              </w:rPr>
              <w:t xml:space="preserve"> University of Nebraska Press.</w:t>
            </w:r>
          </w:p>
        </w:tc>
      </w:tr>
      <w:tr w:rsidR="00BF18CF" w14:paraId="03AC4BD1" w14:textId="77777777" w:rsidTr="00BF18CF">
        <w:tc>
          <w:tcPr>
            <w:tcW w:w="10690" w:type="dxa"/>
          </w:tcPr>
          <w:p w14:paraId="73118F1D"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Pedersén, Olof. 1986. </w:t>
            </w:r>
            <w:r w:rsidRPr="00EE61A5">
              <w:rPr>
                <w:i/>
                <w:color w:val="000000"/>
                <w:lang w:val="en-CA"/>
              </w:rPr>
              <w:t>Archives and libraries in the City of Assur: a survey of the material from the German excavations</w:t>
            </w:r>
            <w:r w:rsidRPr="00EE61A5">
              <w:rPr>
                <w:color w:val="000000"/>
                <w:lang w:val="en-CA"/>
              </w:rPr>
              <w:t xml:space="preserve">. </w:t>
            </w:r>
            <w:r>
              <w:rPr>
                <w:color w:val="000000"/>
              </w:rPr>
              <w:t>Uppsala; Stockholm, SE-AB : Uppsala University.</w:t>
            </w:r>
          </w:p>
        </w:tc>
      </w:tr>
      <w:tr w:rsidR="00BF18CF" w14:paraId="0D4FF72A" w14:textId="77777777" w:rsidTr="00BF18CF">
        <w:tc>
          <w:tcPr>
            <w:tcW w:w="10690" w:type="dxa"/>
          </w:tcPr>
          <w:p w14:paraId="03E54335"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Peel, Christine, trad. 1999. </w:t>
            </w:r>
            <w:r w:rsidRPr="00EE61A5">
              <w:rPr>
                <w:i/>
                <w:color w:val="000000"/>
                <w:lang w:val="en-CA"/>
              </w:rPr>
              <w:t>Guta Saga: The History of the Gotlanders</w:t>
            </w:r>
            <w:r w:rsidRPr="00EE61A5">
              <w:rPr>
                <w:color w:val="000000"/>
                <w:lang w:val="en-CA"/>
              </w:rPr>
              <w:t xml:space="preserve">. </w:t>
            </w:r>
            <w:r>
              <w:rPr>
                <w:color w:val="000000"/>
              </w:rPr>
              <w:t>Londres, GB-LND : Viking Society for Northern Research.</w:t>
            </w:r>
          </w:p>
        </w:tc>
      </w:tr>
      <w:tr w:rsidR="00BF18CF" w14:paraId="0738065F" w14:textId="77777777" w:rsidTr="00BF18CF">
        <w:tc>
          <w:tcPr>
            <w:tcW w:w="10690" w:type="dxa"/>
          </w:tcPr>
          <w:p w14:paraId="4FC9AE7E"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Perley, Bernard. 2017. « Declaration of Independence: The First Public Reading ». </w:t>
            </w:r>
            <w:r>
              <w:rPr>
                <w:i/>
                <w:color w:val="000000"/>
              </w:rPr>
              <w:t>Anthropology News</w:t>
            </w:r>
            <w:r>
              <w:rPr>
                <w:color w:val="000000"/>
              </w:rPr>
              <w:t xml:space="preserve"> 58 (3) : e197‑99. </w:t>
            </w:r>
            <w:hyperlink r:id="rId486">
              <w:r>
                <w:rPr>
                  <w:color w:val="4F81BD"/>
                </w:rPr>
                <w:t>https://doi.org/10.1111/AN.445</w:t>
              </w:r>
            </w:hyperlink>
            <w:r>
              <w:rPr>
                <w:color w:val="000000"/>
              </w:rPr>
              <w:t>.</w:t>
            </w:r>
          </w:p>
        </w:tc>
      </w:tr>
      <w:tr w:rsidR="00BF18CF" w14:paraId="7575BDDB" w14:textId="77777777" w:rsidTr="00BF18CF">
        <w:tc>
          <w:tcPr>
            <w:tcW w:w="10690" w:type="dxa"/>
          </w:tcPr>
          <w:p w14:paraId="0B5921E3" w14:textId="77777777" w:rsidR="00BF18CF" w:rsidRDefault="00E51347">
            <w:pPr>
              <w:pBdr>
                <w:top w:val="nil"/>
                <w:left w:val="nil"/>
                <w:bottom w:val="nil"/>
                <w:right w:val="nil"/>
                <w:between w:val="nil"/>
              </w:pBdr>
              <w:spacing w:before="36" w:after="36"/>
              <w:rPr>
                <w:color w:val="000000"/>
              </w:rPr>
            </w:pPr>
            <w:r>
              <w:rPr>
                <w:color w:val="000000"/>
              </w:rPr>
              <w:t xml:space="preserve">Perrault, C. 1697. </w:t>
            </w:r>
            <w:r>
              <w:rPr>
                <w:i/>
                <w:color w:val="000000"/>
              </w:rPr>
              <w:t>Histoires ou Contes du temps passé</w:t>
            </w:r>
            <w:r>
              <w:rPr>
                <w:color w:val="000000"/>
              </w:rPr>
              <w:t>. Paris, FR-75 : Claude Barbin.</w:t>
            </w:r>
          </w:p>
        </w:tc>
      </w:tr>
      <w:tr w:rsidR="00BF18CF" w:rsidRPr="000467B7" w14:paraId="6D5FC428" w14:textId="77777777" w:rsidTr="00BF18CF">
        <w:tc>
          <w:tcPr>
            <w:tcW w:w="10690" w:type="dxa"/>
          </w:tcPr>
          <w:p w14:paraId="410163D5"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Petersen, Toni. 1990. </w:t>
            </w:r>
            <w:r w:rsidRPr="00EE61A5">
              <w:rPr>
                <w:i/>
                <w:color w:val="000000"/>
                <w:lang w:val="en-CA"/>
              </w:rPr>
              <w:t>Art &amp; architecture thesaurus</w:t>
            </w:r>
            <w:r w:rsidRPr="00EE61A5">
              <w:rPr>
                <w:color w:val="000000"/>
                <w:lang w:val="en-CA"/>
              </w:rPr>
              <w:t>. New York; Oxford, GB-</w:t>
            </w:r>
            <w:proofErr w:type="gramStart"/>
            <w:r w:rsidRPr="00EE61A5">
              <w:rPr>
                <w:color w:val="000000"/>
                <w:lang w:val="en-CA"/>
              </w:rPr>
              <w:t>OXF :</w:t>
            </w:r>
            <w:proofErr w:type="gramEnd"/>
            <w:r w:rsidRPr="00EE61A5">
              <w:rPr>
                <w:color w:val="000000"/>
                <w:lang w:val="en-CA"/>
              </w:rPr>
              <w:t xml:space="preserve"> Oxford University Press.</w:t>
            </w:r>
          </w:p>
        </w:tc>
      </w:tr>
      <w:tr w:rsidR="00BF18CF" w14:paraId="12E48542" w14:textId="77777777" w:rsidTr="00BF18CF">
        <w:tc>
          <w:tcPr>
            <w:tcW w:w="10690" w:type="dxa"/>
          </w:tcPr>
          <w:p w14:paraId="0DF5344F" w14:textId="77777777" w:rsidR="00BF18CF" w:rsidRDefault="00E51347">
            <w:pPr>
              <w:pBdr>
                <w:top w:val="nil"/>
                <w:left w:val="nil"/>
                <w:bottom w:val="nil"/>
                <w:right w:val="nil"/>
                <w:between w:val="nil"/>
              </w:pBdr>
              <w:spacing w:before="36" w:after="36"/>
              <w:rPr>
                <w:color w:val="000000"/>
              </w:rPr>
            </w:pPr>
            <w:r>
              <w:rPr>
                <w:color w:val="000000"/>
              </w:rPr>
              <w:t xml:space="preserve">Petrocchi, Giorgio et Società dantesca italiana. 1967. </w:t>
            </w:r>
            <w:r>
              <w:rPr>
                <w:i/>
                <w:color w:val="000000"/>
              </w:rPr>
              <w:t>Le opere di Dante Alighieri: edizione nazionale</w:t>
            </w:r>
            <w:r>
              <w:rPr>
                <w:color w:val="000000"/>
              </w:rPr>
              <w:t>. Milan, IT-MI : Mondadori.</w:t>
            </w:r>
          </w:p>
        </w:tc>
      </w:tr>
      <w:tr w:rsidR="00BF18CF" w14:paraId="11D0AD89" w14:textId="77777777" w:rsidTr="00BF18CF">
        <w:tc>
          <w:tcPr>
            <w:tcW w:w="10690" w:type="dxa"/>
          </w:tcPr>
          <w:p w14:paraId="63D8DE2F"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Pietrangeli, Carlo. 1986. </w:t>
            </w:r>
            <w:r w:rsidRPr="00EE61A5">
              <w:rPr>
                <w:i/>
                <w:color w:val="000000"/>
                <w:lang w:val="en-CA"/>
              </w:rPr>
              <w:t>The Sistine Chapel: the art, the history, and the restoration</w:t>
            </w:r>
            <w:r w:rsidRPr="00EE61A5">
              <w:rPr>
                <w:color w:val="000000"/>
                <w:lang w:val="en-CA"/>
              </w:rPr>
              <w:t xml:space="preserve">. </w:t>
            </w:r>
            <w:r>
              <w:rPr>
                <w:color w:val="000000"/>
              </w:rPr>
              <w:t>New York, US-NY : Harmony Books.</w:t>
            </w:r>
          </w:p>
        </w:tc>
      </w:tr>
      <w:tr w:rsidR="00BF18CF" w:rsidRPr="000467B7" w14:paraId="02C97A17" w14:textId="77777777" w:rsidTr="00BF18CF">
        <w:tc>
          <w:tcPr>
            <w:tcW w:w="10690" w:type="dxa"/>
          </w:tcPr>
          <w:p w14:paraId="0D9E08EF"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Pineda, I. 1993. </w:t>
            </w:r>
            <w:r w:rsidRPr="00EE61A5">
              <w:rPr>
                <w:i/>
                <w:color w:val="000000"/>
                <w:lang w:val="en-CA"/>
              </w:rPr>
              <w:t>Spanish language</w:t>
            </w:r>
            <w:r w:rsidRPr="00EE61A5">
              <w:rPr>
                <w:color w:val="000000"/>
                <w:lang w:val="en-CA"/>
              </w:rPr>
              <w:t>. Londres, GB-</w:t>
            </w:r>
            <w:proofErr w:type="gramStart"/>
            <w:r w:rsidRPr="00EE61A5">
              <w:rPr>
                <w:color w:val="000000"/>
                <w:lang w:val="en-CA"/>
              </w:rPr>
              <w:t>LND :</w:t>
            </w:r>
            <w:proofErr w:type="gramEnd"/>
            <w:r w:rsidRPr="00EE61A5">
              <w:rPr>
                <w:color w:val="000000"/>
                <w:lang w:val="en-CA"/>
              </w:rPr>
              <w:t xml:space="preserve"> University of London.</w:t>
            </w:r>
          </w:p>
        </w:tc>
      </w:tr>
      <w:tr w:rsidR="00BF18CF" w:rsidRPr="000467B7" w14:paraId="4BFE8A37" w14:textId="77777777" w:rsidTr="00BF18CF">
        <w:tc>
          <w:tcPr>
            <w:tcW w:w="10690" w:type="dxa"/>
          </w:tcPr>
          <w:p w14:paraId="065D7FDA"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Pipes, Richard. 1964. </w:t>
            </w:r>
            <w:r w:rsidRPr="00EE61A5">
              <w:rPr>
                <w:i/>
                <w:color w:val="000000"/>
                <w:lang w:val="en-CA"/>
              </w:rPr>
              <w:t>The formation of the Soviet Union.</w:t>
            </w:r>
            <w:r w:rsidRPr="00EE61A5">
              <w:rPr>
                <w:color w:val="000000"/>
                <w:lang w:val="en-CA"/>
              </w:rPr>
              <w:t xml:space="preserve"> Cambridge, GB-</w:t>
            </w:r>
            <w:proofErr w:type="gramStart"/>
            <w:r w:rsidRPr="00EE61A5">
              <w:rPr>
                <w:color w:val="000000"/>
                <w:lang w:val="en-CA"/>
              </w:rPr>
              <w:t>CAM :</w:t>
            </w:r>
            <w:proofErr w:type="gramEnd"/>
            <w:r w:rsidRPr="00EE61A5">
              <w:rPr>
                <w:color w:val="000000"/>
                <w:lang w:val="en-CA"/>
              </w:rPr>
              <w:t xml:space="preserve"> Harvard University Press.</w:t>
            </w:r>
          </w:p>
        </w:tc>
      </w:tr>
      <w:tr w:rsidR="00BF18CF" w14:paraId="20859CBE" w14:textId="77777777" w:rsidTr="00BF18CF">
        <w:tc>
          <w:tcPr>
            <w:tcW w:w="10690" w:type="dxa"/>
          </w:tcPr>
          <w:p w14:paraId="7F093D67"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Poe, Edgar Allan. 1869. </w:t>
            </w:r>
            <w:r w:rsidRPr="00EE61A5">
              <w:rPr>
                <w:i/>
                <w:color w:val="000000"/>
                <w:lang w:val="en-CA"/>
              </w:rPr>
              <w:t>The Raven.</w:t>
            </w:r>
            <w:r w:rsidRPr="00EE61A5">
              <w:rPr>
                <w:color w:val="000000"/>
                <w:lang w:val="en-CA"/>
              </w:rPr>
              <w:t xml:space="preserve"> </w:t>
            </w:r>
            <w:r>
              <w:rPr>
                <w:color w:val="000000"/>
              </w:rPr>
              <w:t>Glasgow.</w:t>
            </w:r>
          </w:p>
        </w:tc>
      </w:tr>
      <w:tr w:rsidR="00BF18CF" w14:paraId="2B2E4471" w14:textId="77777777" w:rsidTr="00BF18CF">
        <w:tc>
          <w:tcPr>
            <w:tcW w:w="10690" w:type="dxa"/>
          </w:tcPr>
          <w:p w14:paraId="40DAF679"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Pomeroy, Sarah B. 1984. </w:t>
            </w:r>
            <w:r w:rsidRPr="00EE61A5">
              <w:rPr>
                <w:i/>
                <w:color w:val="000000"/>
                <w:lang w:val="en-CA"/>
              </w:rPr>
              <w:t>Women in Hellenistic Egypt: from Alexander to Cleopatra</w:t>
            </w:r>
            <w:r w:rsidRPr="00EE61A5">
              <w:rPr>
                <w:color w:val="000000"/>
                <w:lang w:val="en-CA"/>
              </w:rPr>
              <w:t xml:space="preserve">. </w:t>
            </w:r>
            <w:r>
              <w:rPr>
                <w:color w:val="000000"/>
              </w:rPr>
              <w:t>Ann Arbor, US-MI : University of Michigan Library.</w:t>
            </w:r>
          </w:p>
        </w:tc>
      </w:tr>
      <w:tr w:rsidR="00BF18CF" w14:paraId="2C54C735" w14:textId="77777777" w:rsidTr="00BF18CF">
        <w:tc>
          <w:tcPr>
            <w:tcW w:w="10690" w:type="dxa"/>
          </w:tcPr>
          <w:p w14:paraId="29047DA4" w14:textId="77777777" w:rsidR="00BF18CF" w:rsidRDefault="00E51347">
            <w:pPr>
              <w:pBdr>
                <w:top w:val="nil"/>
                <w:left w:val="nil"/>
                <w:bottom w:val="nil"/>
                <w:right w:val="nil"/>
                <w:between w:val="nil"/>
              </w:pBdr>
              <w:spacing w:before="36" w:after="36"/>
              <w:rPr>
                <w:color w:val="000000"/>
              </w:rPr>
            </w:pPr>
            <w:r w:rsidRPr="00EE61A5">
              <w:rPr>
                <w:color w:val="000000"/>
                <w:lang w:val="en-CA"/>
              </w:rPr>
              <w:t xml:space="preserve">Poole, J. B., et R. Reed. 1962. « The Preparation of Leather and Parchment by the Dead Sea Scrolls Community ». </w:t>
            </w:r>
            <w:r>
              <w:rPr>
                <w:i/>
                <w:color w:val="000000"/>
              </w:rPr>
              <w:t>Technology and Culture</w:t>
            </w:r>
            <w:r>
              <w:rPr>
                <w:color w:val="000000"/>
              </w:rPr>
              <w:t xml:space="preserve"> 3 (1) : 1‑26. </w:t>
            </w:r>
            <w:hyperlink r:id="rId487">
              <w:r>
                <w:rPr>
                  <w:color w:val="4F81BD"/>
                </w:rPr>
                <w:t>https://doi.org/10.2307/3100798</w:t>
              </w:r>
            </w:hyperlink>
            <w:r>
              <w:rPr>
                <w:color w:val="000000"/>
              </w:rPr>
              <w:t>.</w:t>
            </w:r>
          </w:p>
        </w:tc>
      </w:tr>
      <w:tr w:rsidR="00BF18CF" w:rsidRPr="000467B7" w14:paraId="65BCEE14" w14:textId="77777777" w:rsidTr="00BF18CF">
        <w:tc>
          <w:tcPr>
            <w:tcW w:w="10690" w:type="dxa"/>
          </w:tcPr>
          <w:p w14:paraId="4B6B12CC" w14:textId="77777777" w:rsidR="00BF18CF" w:rsidRPr="00EE61A5" w:rsidRDefault="00E51347">
            <w:pPr>
              <w:pBdr>
                <w:top w:val="nil"/>
                <w:left w:val="nil"/>
                <w:bottom w:val="nil"/>
                <w:right w:val="nil"/>
                <w:between w:val="nil"/>
              </w:pBdr>
              <w:spacing w:before="36" w:after="36"/>
              <w:rPr>
                <w:color w:val="000000"/>
                <w:lang w:val="en-CA"/>
              </w:rPr>
            </w:pPr>
            <w:r w:rsidRPr="00EE61A5">
              <w:rPr>
                <w:color w:val="000000"/>
                <w:lang w:val="en-CA"/>
              </w:rPr>
              <w:t xml:space="preserve">Porter, Stephen. 2009. </w:t>
            </w:r>
            <w:r w:rsidRPr="00EE61A5">
              <w:rPr>
                <w:i/>
                <w:color w:val="000000"/>
                <w:lang w:val="en-CA"/>
              </w:rPr>
              <w:t>The Great Plague of London</w:t>
            </w:r>
            <w:r w:rsidRPr="00EE61A5">
              <w:rPr>
                <w:color w:val="000000"/>
                <w:lang w:val="en-CA"/>
              </w:rPr>
              <w:t>. Stroud, GB-</w:t>
            </w:r>
            <w:proofErr w:type="gramStart"/>
            <w:r w:rsidRPr="00EE61A5">
              <w:rPr>
                <w:color w:val="000000"/>
                <w:lang w:val="en-CA"/>
              </w:rPr>
              <w:t>GLS :</w:t>
            </w:r>
            <w:proofErr w:type="gramEnd"/>
            <w:r w:rsidRPr="00EE61A5">
              <w:rPr>
                <w:color w:val="000000"/>
                <w:lang w:val="en-CA"/>
              </w:rPr>
              <w:t xml:space="preserve"> Amberley Publishing.</w:t>
            </w:r>
          </w:p>
        </w:tc>
      </w:tr>
      <w:tr w:rsidR="00BF18CF" w:rsidRPr="000467B7" w14:paraId="3D31A126" w14:textId="77777777" w:rsidTr="00BF18CF">
        <w:tc>
          <w:tcPr>
            <w:tcW w:w="10690" w:type="dxa"/>
          </w:tcPr>
          <w:p w14:paraId="1C066A88" w14:textId="77777777" w:rsidR="00BF18CF" w:rsidRPr="005D545E" w:rsidRDefault="00E51347">
            <w:pPr>
              <w:pBdr>
                <w:top w:val="nil"/>
                <w:left w:val="nil"/>
                <w:bottom w:val="nil"/>
                <w:right w:val="nil"/>
                <w:between w:val="nil"/>
              </w:pBdr>
              <w:spacing w:before="36" w:after="36"/>
              <w:rPr>
                <w:color w:val="000000"/>
                <w:lang w:val="en-CA"/>
              </w:rPr>
            </w:pPr>
            <w:r w:rsidRPr="007C10F0">
              <w:rPr>
                <w:color w:val="000000"/>
                <w:lang w:val="en-CA"/>
              </w:rPr>
              <w:t xml:space="preserve">Potts, Timothy. 2015. </w:t>
            </w:r>
            <w:r w:rsidRPr="007C10F0">
              <w:rPr>
                <w:i/>
                <w:color w:val="000000"/>
                <w:lang w:val="en-CA"/>
              </w:rPr>
              <w:t>The J. Paul Getty Museum Handbook of the Collection: Eighth Edition</w:t>
            </w:r>
            <w:r w:rsidRPr="007C10F0">
              <w:rPr>
                <w:color w:val="000000"/>
                <w:lang w:val="en-CA"/>
              </w:rPr>
              <w:t xml:space="preserve">. </w:t>
            </w:r>
            <w:r w:rsidRPr="005D545E">
              <w:rPr>
                <w:color w:val="000000"/>
                <w:lang w:val="en-CA"/>
              </w:rPr>
              <w:t>Revised edition. Los Angeles, US-</w:t>
            </w:r>
            <w:proofErr w:type="gramStart"/>
            <w:r w:rsidRPr="005D545E">
              <w:rPr>
                <w:color w:val="000000"/>
                <w:lang w:val="en-CA"/>
              </w:rPr>
              <w:t>CA :</w:t>
            </w:r>
            <w:proofErr w:type="gramEnd"/>
            <w:r w:rsidRPr="005D545E">
              <w:rPr>
                <w:color w:val="000000"/>
                <w:lang w:val="en-CA"/>
              </w:rPr>
              <w:t xml:space="preserve"> J. Paul Getty Museum.</w:t>
            </w:r>
          </w:p>
        </w:tc>
      </w:tr>
      <w:tr w:rsidR="00BF18CF" w:rsidRPr="000467B7" w14:paraId="7E758956" w14:textId="77777777" w:rsidTr="00BF18CF">
        <w:tc>
          <w:tcPr>
            <w:tcW w:w="10690" w:type="dxa"/>
          </w:tcPr>
          <w:p w14:paraId="33FFFC0F" w14:textId="77777777" w:rsidR="00BF18CF" w:rsidRPr="005D545E" w:rsidRDefault="00E51347">
            <w:pPr>
              <w:pBdr>
                <w:top w:val="nil"/>
                <w:left w:val="nil"/>
                <w:bottom w:val="nil"/>
                <w:right w:val="nil"/>
                <w:between w:val="nil"/>
              </w:pBdr>
              <w:spacing w:before="36" w:after="36"/>
              <w:rPr>
                <w:color w:val="000000"/>
                <w:lang w:val="en-CA"/>
              </w:rPr>
            </w:pPr>
            <w:r w:rsidRPr="005D545E">
              <w:rPr>
                <w:color w:val="000000"/>
                <w:lang w:val="en-CA"/>
              </w:rPr>
              <w:t xml:space="preserve">Pryor, F. 2016. </w:t>
            </w:r>
            <w:r w:rsidRPr="005D545E">
              <w:rPr>
                <w:i/>
                <w:color w:val="000000"/>
                <w:lang w:val="en-CA"/>
              </w:rPr>
              <w:t>Stonehenge</w:t>
            </w:r>
            <w:r w:rsidRPr="005D545E">
              <w:rPr>
                <w:color w:val="000000"/>
                <w:lang w:val="en-CA"/>
              </w:rPr>
              <w:t>. Londres, GB-</w:t>
            </w:r>
            <w:proofErr w:type="gramStart"/>
            <w:r w:rsidRPr="005D545E">
              <w:rPr>
                <w:color w:val="000000"/>
                <w:lang w:val="en-CA"/>
              </w:rPr>
              <w:t>LND :</w:t>
            </w:r>
            <w:proofErr w:type="gramEnd"/>
            <w:r w:rsidRPr="005D545E">
              <w:rPr>
                <w:color w:val="000000"/>
                <w:lang w:val="en-CA"/>
              </w:rPr>
              <w:t xml:space="preserve"> Head of Zeus.</w:t>
            </w:r>
          </w:p>
        </w:tc>
      </w:tr>
      <w:tr w:rsidR="00BF18CF" w:rsidRPr="000467B7" w14:paraId="12D8ACD6" w14:textId="77777777" w:rsidTr="00BF18CF">
        <w:tc>
          <w:tcPr>
            <w:tcW w:w="10690" w:type="dxa"/>
          </w:tcPr>
          <w:p w14:paraId="7E22A9CA" w14:textId="77777777" w:rsidR="00BF18CF" w:rsidRPr="005D545E" w:rsidRDefault="00E51347">
            <w:pPr>
              <w:pBdr>
                <w:top w:val="nil"/>
                <w:left w:val="nil"/>
                <w:bottom w:val="nil"/>
                <w:right w:val="nil"/>
                <w:between w:val="nil"/>
              </w:pBdr>
              <w:spacing w:before="36" w:after="36"/>
              <w:rPr>
                <w:color w:val="000000"/>
                <w:lang w:val="en-CA"/>
              </w:rPr>
            </w:pPr>
            <w:r w:rsidRPr="005D545E">
              <w:rPr>
                <w:color w:val="000000"/>
                <w:lang w:val="en-CA"/>
              </w:rPr>
              <w:t xml:space="preserve">Psimenos, S. 2005. </w:t>
            </w:r>
            <w:r w:rsidRPr="005D545E">
              <w:rPr>
                <w:i/>
                <w:color w:val="000000"/>
                <w:lang w:val="en-CA"/>
              </w:rPr>
              <w:t>Unexplored Peloponnese</w:t>
            </w:r>
            <w:r w:rsidRPr="005D545E">
              <w:rPr>
                <w:color w:val="000000"/>
                <w:lang w:val="en-CA"/>
              </w:rPr>
              <w:t xml:space="preserve">. GR or </w:t>
            </w:r>
            <w:proofErr w:type="gramStart"/>
            <w:r w:rsidRPr="005D545E">
              <w:rPr>
                <w:color w:val="000000"/>
                <w:lang w:val="en-CA"/>
              </w:rPr>
              <w:t>Grèce :</w:t>
            </w:r>
            <w:proofErr w:type="gramEnd"/>
            <w:r w:rsidRPr="005D545E">
              <w:rPr>
                <w:color w:val="000000"/>
                <w:lang w:val="en-CA"/>
              </w:rPr>
              <w:t xml:space="preserve"> Road Editions.</w:t>
            </w:r>
          </w:p>
        </w:tc>
      </w:tr>
      <w:tr w:rsidR="00BF18CF" w:rsidRPr="000467B7" w14:paraId="3810833D" w14:textId="77777777" w:rsidTr="00BF18CF">
        <w:tc>
          <w:tcPr>
            <w:tcW w:w="10690" w:type="dxa"/>
          </w:tcPr>
          <w:p w14:paraId="1D6B4A5D"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lastRenderedPageBreak/>
              <w:t xml:space="preserve">Queen, Ellery. 1964. </w:t>
            </w:r>
            <w:r w:rsidRPr="007C10F0">
              <w:rPr>
                <w:i/>
                <w:color w:val="000000"/>
                <w:lang w:val="en-CA"/>
              </w:rPr>
              <w:t>Ellery Queen’s book of mystery stories: stories by World-famous Authors</w:t>
            </w:r>
            <w:r w:rsidRPr="007C10F0">
              <w:rPr>
                <w:color w:val="000000"/>
                <w:lang w:val="en-CA"/>
              </w:rPr>
              <w:t xml:space="preserve">. </w:t>
            </w:r>
            <w:r w:rsidRPr="009F53E4">
              <w:rPr>
                <w:color w:val="000000"/>
                <w:lang w:val="en-US"/>
              </w:rPr>
              <w:t>Londres, GB-</w:t>
            </w:r>
            <w:proofErr w:type="gramStart"/>
            <w:r w:rsidRPr="009F53E4">
              <w:rPr>
                <w:color w:val="000000"/>
                <w:lang w:val="en-US"/>
              </w:rPr>
              <w:t>LND :</w:t>
            </w:r>
            <w:proofErr w:type="gramEnd"/>
            <w:r w:rsidRPr="009F53E4">
              <w:rPr>
                <w:color w:val="000000"/>
                <w:lang w:val="en-US"/>
              </w:rPr>
              <w:t xml:space="preserve"> Pan Books.</w:t>
            </w:r>
          </w:p>
        </w:tc>
      </w:tr>
      <w:tr w:rsidR="00BF18CF" w:rsidRPr="009F53E4" w14:paraId="27BF7A6F" w14:textId="77777777" w:rsidTr="00BF18CF">
        <w:tc>
          <w:tcPr>
            <w:tcW w:w="10690" w:type="dxa"/>
          </w:tcPr>
          <w:p w14:paraId="6C879080"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Quiviger, François. 2019. </w:t>
            </w:r>
            <w:r w:rsidRPr="007C10F0">
              <w:rPr>
                <w:i/>
                <w:color w:val="000000"/>
                <w:lang w:val="en-CA"/>
              </w:rPr>
              <w:t>Leonardo da Vinci: Self Art and Nature</w:t>
            </w:r>
            <w:r w:rsidRPr="007C10F0">
              <w:rPr>
                <w:color w:val="000000"/>
                <w:lang w:val="en-CA"/>
              </w:rPr>
              <w:t xml:space="preserve">. 1st edition. </w:t>
            </w:r>
            <w:r w:rsidRPr="009F53E4">
              <w:rPr>
                <w:color w:val="000000"/>
                <w:lang w:val="en-US"/>
              </w:rPr>
              <w:t>Reaktion Books.</w:t>
            </w:r>
          </w:p>
        </w:tc>
      </w:tr>
      <w:tr w:rsidR="00BF18CF" w:rsidRPr="000467B7" w14:paraId="6A5E182C" w14:textId="77777777" w:rsidTr="00BF18CF">
        <w:tc>
          <w:tcPr>
            <w:tcW w:w="10690" w:type="dxa"/>
          </w:tcPr>
          <w:p w14:paraId="77C8B895" w14:textId="77777777" w:rsidR="00BF18CF" w:rsidRPr="005D545E" w:rsidRDefault="00E51347">
            <w:pPr>
              <w:pBdr>
                <w:top w:val="nil"/>
                <w:left w:val="nil"/>
                <w:bottom w:val="nil"/>
                <w:right w:val="nil"/>
                <w:between w:val="nil"/>
              </w:pBdr>
              <w:spacing w:before="36" w:after="36"/>
              <w:rPr>
                <w:color w:val="000000"/>
                <w:lang w:val="en-CA"/>
              </w:rPr>
            </w:pPr>
            <w:r w:rsidRPr="007C10F0">
              <w:rPr>
                <w:color w:val="000000"/>
                <w:lang w:val="en-CA"/>
              </w:rPr>
              <w:t xml:space="preserve">Raga, Suzanne. 2016. « How Michael Jackson Bought the Publishing Rights to The Beatles Catalogue ». </w:t>
            </w:r>
            <w:r w:rsidRPr="005D545E">
              <w:rPr>
                <w:i/>
                <w:color w:val="000000"/>
                <w:lang w:val="en-CA"/>
              </w:rPr>
              <w:t>Mental Floss</w:t>
            </w:r>
            <w:r w:rsidRPr="005D545E">
              <w:rPr>
                <w:color w:val="000000"/>
                <w:lang w:val="en-CA"/>
              </w:rPr>
              <w:t xml:space="preserve">, 29 août 2016. </w:t>
            </w:r>
            <w:r w:rsidR="000467B7">
              <w:fldChar w:fldCharType="begin"/>
            </w:r>
            <w:r w:rsidR="000467B7" w:rsidRPr="000467B7">
              <w:rPr>
                <w:lang w:val="en-CA"/>
              </w:rPr>
              <w:instrText>HYPERLINK "https://www.mentalfloss.com/article/85007/how-michael-jackson-bought-publishin</w:instrText>
            </w:r>
            <w:r w:rsidR="000467B7" w:rsidRPr="000467B7">
              <w:rPr>
                <w:lang w:val="en-CA"/>
              </w:rPr>
              <w:instrText>g-rights-beatles-catalogue" \h</w:instrText>
            </w:r>
            <w:r w:rsidR="000467B7">
              <w:fldChar w:fldCharType="separate"/>
            </w:r>
            <w:r w:rsidRPr="005D545E">
              <w:rPr>
                <w:color w:val="4F81BD"/>
                <w:lang w:val="en-CA"/>
              </w:rPr>
              <w:t>https://www.mentalfloss.com/article/85007/how-michael-jackson-bought-publishing-rights-beatles-catalogue</w:t>
            </w:r>
            <w:r w:rsidR="000467B7">
              <w:rPr>
                <w:color w:val="4F81BD"/>
                <w:lang w:val="en-CA"/>
              </w:rPr>
              <w:fldChar w:fldCharType="end"/>
            </w:r>
            <w:r w:rsidRPr="005D545E">
              <w:rPr>
                <w:color w:val="000000"/>
                <w:lang w:val="en-CA"/>
              </w:rPr>
              <w:t>.</w:t>
            </w:r>
          </w:p>
        </w:tc>
      </w:tr>
      <w:tr w:rsidR="00BF18CF" w:rsidRPr="009F53E4" w14:paraId="3CF397C4" w14:textId="77777777" w:rsidTr="00BF18CF">
        <w:tc>
          <w:tcPr>
            <w:tcW w:w="10690" w:type="dxa"/>
          </w:tcPr>
          <w:p w14:paraId="36D24D7D"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Raymond, Lee. 2006. « Exxon Mobil Corp. » </w:t>
            </w:r>
            <w:r w:rsidRPr="007C10F0">
              <w:rPr>
                <w:i/>
                <w:color w:val="000000"/>
                <w:lang w:val="en-CA"/>
              </w:rPr>
              <w:t>Mergent’s Dividend Achievers</w:t>
            </w:r>
            <w:r w:rsidRPr="007C10F0">
              <w:rPr>
                <w:color w:val="000000"/>
                <w:lang w:val="en-CA"/>
              </w:rPr>
              <w:t xml:space="preserve"> 3 (3</w:t>
            </w:r>
            <w:proofErr w:type="gramStart"/>
            <w:r w:rsidRPr="007C10F0">
              <w:rPr>
                <w:color w:val="000000"/>
                <w:lang w:val="en-CA"/>
              </w:rPr>
              <w:t>) :</w:t>
            </w:r>
            <w:proofErr w:type="gramEnd"/>
            <w:r w:rsidRPr="007C10F0">
              <w:rPr>
                <w:color w:val="000000"/>
                <w:lang w:val="en-CA"/>
              </w:rPr>
              <w:t xml:space="preserve"> 97‑97. </w:t>
            </w:r>
            <w:r w:rsidR="000467B7">
              <w:fldChar w:fldCharType="begin"/>
            </w:r>
            <w:r w:rsidR="000467B7" w:rsidRPr="000467B7">
              <w:rPr>
                <w:lang w:val="en-CA"/>
              </w:rPr>
              <w:instrText>HYPERLINK "https://doi.org/10.1002/div.4323" \h</w:instrText>
            </w:r>
            <w:r w:rsidR="000467B7">
              <w:fldChar w:fldCharType="separate"/>
            </w:r>
            <w:r w:rsidRPr="009F53E4">
              <w:rPr>
                <w:color w:val="4F81BD"/>
                <w:lang w:val="en-US"/>
              </w:rPr>
              <w:t>https://doi.org/10.1002/div.4323</w:t>
            </w:r>
            <w:r w:rsidR="000467B7">
              <w:rPr>
                <w:color w:val="4F81BD"/>
                <w:lang w:val="en-US"/>
              </w:rPr>
              <w:fldChar w:fldCharType="end"/>
            </w:r>
            <w:r w:rsidRPr="009F53E4">
              <w:rPr>
                <w:color w:val="000000"/>
                <w:lang w:val="en-US"/>
              </w:rPr>
              <w:t>.</w:t>
            </w:r>
          </w:p>
        </w:tc>
      </w:tr>
      <w:tr w:rsidR="00BF18CF" w:rsidRPr="000467B7" w14:paraId="17C3053E" w14:textId="77777777" w:rsidTr="00BF18CF">
        <w:tc>
          <w:tcPr>
            <w:tcW w:w="10690" w:type="dxa"/>
          </w:tcPr>
          <w:p w14:paraId="68120E7F" w14:textId="77777777" w:rsidR="00BF18CF" w:rsidRPr="005D545E" w:rsidRDefault="00E51347">
            <w:pPr>
              <w:pBdr>
                <w:top w:val="nil"/>
                <w:left w:val="nil"/>
                <w:bottom w:val="nil"/>
                <w:right w:val="nil"/>
                <w:between w:val="nil"/>
              </w:pBdr>
              <w:spacing w:before="36" w:after="36"/>
              <w:rPr>
                <w:color w:val="000000"/>
                <w:lang w:val="en-CA"/>
              </w:rPr>
            </w:pPr>
            <w:r>
              <w:rPr>
                <w:color w:val="000000"/>
              </w:rPr>
              <w:t xml:space="preserve">Reaney, G. 1974. </w:t>
            </w:r>
            <w:r>
              <w:rPr>
                <w:i/>
                <w:color w:val="000000"/>
              </w:rPr>
              <w:t>Guillaume de Machaut.</w:t>
            </w:r>
            <w:r>
              <w:rPr>
                <w:color w:val="000000"/>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Oxford University Press.</w:t>
            </w:r>
          </w:p>
        </w:tc>
      </w:tr>
      <w:tr w:rsidR="00BF18CF" w14:paraId="133208D0" w14:textId="77777777" w:rsidTr="00BF18CF">
        <w:tc>
          <w:tcPr>
            <w:tcW w:w="10690" w:type="dxa"/>
          </w:tcPr>
          <w:p w14:paraId="2FACCC9A" w14:textId="77777777" w:rsidR="00BF18CF" w:rsidRDefault="00E51347">
            <w:pPr>
              <w:pBdr>
                <w:top w:val="nil"/>
                <w:left w:val="nil"/>
                <w:bottom w:val="nil"/>
                <w:right w:val="nil"/>
                <w:between w:val="nil"/>
              </w:pBdr>
              <w:spacing w:before="36" w:after="36"/>
              <w:rPr>
                <w:color w:val="000000"/>
              </w:rPr>
            </w:pPr>
            <w:r>
              <w:rPr>
                <w:color w:val="000000"/>
              </w:rPr>
              <w:t xml:space="preserve">Reid, S. 1993. </w:t>
            </w:r>
            <w:r>
              <w:rPr>
                <w:i/>
                <w:color w:val="000000"/>
              </w:rPr>
              <w:t>Ancient Egypt</w:t>
            </w:r>
            <w:r>
              <w:rPr>
                <w:color w:val="000000"/>
              </w:rPr>
              <w:t>. Londres, GB-LND : Belitha.</w:t>
            </w:r>
          </w:p>
        </w:tc>
      </w:tr>
      <w:tr w:rsidR="00BF18CF" w14:paraId="79BB401C" w14:textId="77777777" w:rsidTr="00BF18CF">
        <w:tc>
          <w:tcPr>
            <w:tcW w:w="10690" w:type="dxa"/>
          </w:tcPr>
          <w:p w14:paraId="0188D760"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Reiter, R. 1984. « On Conceptual Modelling, chapter Towards a Logical Reconstruction of Relational Database Theory ». </w:t>
            </w:r>
            <w:r>
              <w:rPr>
                <w:i/>
                <w:color w:val="000000"/>
              </w:rPr>
              <w:t>On Conceptual Modelling</w:t>
            </w:r>
            <w:r>
              <w:rPr>
                <w:color w:val="000000"/>
              </w:rPr>
              <w:t>, 191‑233.</w:t>
            </w:r>
          </w:p>
        </w:tc>
      </w:tr>
      <w:tr w:rsidR="00BF18CF" w:rsidRPr="000467B7" w14:paraId="0D93469E" w14:textId="77777777" w:rsidTr="00BF18CF">
        <w:tc>
          <w:tcPr>
            <w:tcW w:w="10690" w:type="dxa"/>
          </w:tcPr>
          <w:p w14:paraId="1F9761E5"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Rickard, Peter. 1974. </w:t>
            </w:r>
            <w:r w:rsidRPr="007C10F0">
              <w:rPr>
                <w:i/>
                <w:color w:val="000000"/>
                <w:lang w:val="en-CA"/>
              </w:rPr>
              <w:t>A history of the French language</w:t>
            </w:r>
            <w:r w:rsidRPr="007C10F0">
              <w:rPr>
                <w:color w:val="000000"/>
                <w:lang w:val="en-CA"/>
              </w:rPr>
              <w:t xml:space="preserve">. </w:t>
            </w:r>
            <w:r w:rsidRPr="009F53E4">
              <w:rPr>
                <w:color w:val="000000"/>
                <w:lang w:val="en-US"/>
              </w:rPr>
              <w:t>Londres, GB-</w:t>
            </w:r>
            <w:proofErr w:type="gramStart"/>
            <w:r w:rsidRPr="009F53E4">
              <w:rPr>
                <w:color w:val="000000"/>
                <w:lang w:val="en-US"/>
              </w:rPr>
              <w:t>LND :</w:t>
            </w:r>
            <w:proofErr w:type="gramEnd"/>
            <w:r w:rsidRPr="009F53E4">
              <w:rPr>
                <w:color w:val="000000"/>
                <w:lang w:val="en-US"/>
              </w:rPr>
              <w:t xml:space="preserve"> Hutchinson.</w:t>
            </w:r>
          </w:p>
        </w:tc>
      </w:tr>
      <w:tr w:rsidR="00BF18CF" w:rsidRPr="000467B7" w14:paraId="79AAA7EB" w14:textId="77777777" w:rsidTr="00BF18CF">
        <w:tc>
          <w:tcPr>
            <w:tcW w:w="10690" w:type="dxa"/>
          </w:tcPr>
          <w:p w14:paraId="6608C641" w14:textId="77777777" w:rsidR="00BF18CF" w:rsidRPr="005D545E" w:rsidRDefault="00E51347">
            <w:pPr>
              <w:pBdr>
                <w:top w:val="nil"/>
                <w:left w:val="nil"/>
                <w:bottom w:val="nil"/>
                <w:right w:val="nil"/>
                <w:between w:val="nil"/>
              </w:pBdr>
              <w:spacing w:before="36" w:after="36"/>
              <w:rPr>
                <w:color w:val="000000"/>
                <w:lang w:val="en-CA"/>
              </w:rPr>
            </w:pPr>
            <w:r w:rsidRPr="005D545E">
              <w:rPr>
                <w:color w:val="000000"/>
                <w:lang w:val="en-CA"/>
              </w:rPr>
              <w:t xml:space="preserve">Riley, Christopher, et Phil Dolling. </w:t>
            </w:r>
            <w:r w:rsidRPr="007C10F0">
              <w:rPr>
                <w:color w:val="000000"/>
                <w:lang w:val="en-CA"/>
              </w:rPr>
              <w:t xml:space="preserve">2009. </w:t>
            </w:r>
            <w:r w:rsidRPr="007C10F0">
              <w:rPr>
                <w:i/>
                <w:color w:val="000000"/>
                <w:lang w:val="en-CA"/>
              </w:rPr>
              <w:t>Apollo 11 Manual: An Insight into the Hardware from the First Manned Mission to Land on the Moon</w:t>
            </w:r>
            <w:r w:rsidRPr="007C10F0">
              <w:rPr>
                <w:color w:val="000000"/>
                <w:lang w:val="en-CA"/>
              </w:rPr>
              <w:t xml:space="preserve">. </w:t>
            </w:r>
            <w:r w:rsidRPr="005D545E">
              <w:rPr>
                <w:color w:val="000000"/>
                <w:lang w:val="en-CA"/>
              </w:rPr>
              <w:t>Reprint edition. Sparkford, GB-</w:t>
            </w:r>
            <w:proofErr w:type="gramStart"/>
            <w:r w:rsidRPr="005D545E">
              <w:rPr>
                <w:color w:val="000000"/>
                <w:lang w:val="en-CA"/>
              </w:rPr>
              <w:t>SOM :</w:t>
            </w:r>
            <w:proofErr w:type="gramEnd"/>
            <w:r w:rsidRPr="005D545E">
              <w:rPr>
                <w:color w:val="000000"/>
                <w:lang w:val="en-CA"/>
              </w:rPr>
              <w:t xml:space="preserve"> J H Haynes &amp; Co Ltd.</w:t>
            </w:r>
          </w:p>
        </w:tc>
      </w:tr>
      <w:tr w:rsidR="00BF18CF" w14:paraId="3D503ECF" w14:textId="77777777" w:rsidTr="00BF18CF">
        <w:tc>
          <w:tcPr>
            <w:tcW w:w="10690" w:type="dxa"/>
          </w:tcPr>
          <w:p w14:paraId="22F8C953" w14:textId="77777777" w:rsidR="00BF18CF" w:rsidRDefault="00E51347">
            <w:pPr>
              <w:pBdr>
                <w:top w:val="nil"/>
                <w:left w:val="nil"/>
                <w:bottom w:val="nil"/>
                <w:right w:val="nil"/>
                <w:between w:val="nil"/>
              </w:pBdr>
              <w:spacing w:before="36" w:after="36"/>
              <w:rPr>
                <w:color w:val="000000"/>
              </w:rPr>
            </w:pPr>
            <w:r w:rsidRPr="007C10F0">
              <w:rPr>
                <w:color w:val="000000"/>
                <w:lang w:val="en-CA"/>
              </w:rPr>
              <w:t xml:space="preserve">River, Charles. 2016. </w:t>
            </w:r>
            <w:r w:rsidRPr="007C10F0">
              <w:rPr>
                <w:i/>
                <w:color w:val="000000"/>
                <w:lang w:val="en-CA"/>
              </w:rPr>
              <w:t>Nineveh: The History and Legacy of the Ancient Assyrian Capital</w:t>
            </w:r>
            <w:r w:rsidRPr="007C10F0">
              <w:rPr>
                <w:color w:val="000000"/>
                <w:lang w:val="en-CA"/>
              </w:rPr>
              <w:t xml:space="preserve">. </w:t>
            </w:r>
            <w:r>
              <w:rPr>
                <w:color w:val="000000"/>
              </w:rPr>
              <w:t>CreateSpace Independent Publishing Platform.</w:t>
            </w:r>
          </w:p>
        </w:tc>
      </w:tr>
      <w:tr w:rsidR="00BF18CF" w:rsidRPr="000467B7" w14:paraId="1E4CBFEC" w14:textId="77777777" w:rsidTr="00BF18CF">
        <w:tc>
          <w:tcPr>
            <w:tcW w:w="10690" w:type="dxa"/>
          </w:tcPr>
          <w:p w14:paraId="4A8653E1"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Robinson, John Martin. 2000. </w:t>
            </w:r>
            <w:r w:rsidRPr="007C10F0">
              <w:rPr>
                <w:i/>
                <w:color w:val="000000"/>
                <w:lang w:val="en-CA"/>
              </w:rPr>
              <w:t>Buckingham Palace: The Official Illustrated History</w:t>
            </w:r>
            <w:r w:rsidRPr="007C10F0">
              <w:rPr>
                <w:color w:val="000000"/>
                <w:lang w:val="en-CA"/>
              </w:rPr>
              <w:t xml:space="preserve">. </w:t>
            </w:r>
            <w:r w:rsidRPr="009F53E4">
              <w:rPr>
                <w:color w:val="000000"/>
                <w:lang w:val="en-US"/>
              </w:rPr>
              <w:t>First Edition. Londres, GB-</w:t>
            </w:r>
            <w:proofErr w:type="gramStart"/>
            <w:r w:rsidRPr="009F53E4">
              <w:rPr>
                <w:color w:val="000000"/>
                <w:lang w:val="en-US"/>
              </w:rPr>
              <w:t>LND :</w:t>
            </w:r>
            <w:proofErr w:type="gramEnd"/>
            <w:r w:rsidRPr="009F53E4">
              <w:rPr>
                <w:color w:val="000000"/>
                <w:lang w:val="en-US"/>
              </w:rPr>
              <w:t xml:space="preserve"> Royal Collection Trust.</w:t>
            </w:r>
          </w:p>
        </w:tc>
      </w:tr>
      <w:tr w:rsidR="00BF18CF" w14:paraId="15B7465D" w14:textId="77777777" w:rsidTr="00BF18CF">
        <w:tc>
          <w:tcPr>
            <w:tcW w:w="10690" w:type="dxa"/>
          </w:tcPr>
          <w:p w14:paraId="016B8AC5"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Rolt, L. T. C. 1971. </w:t>
            </w:r>
            <w:r w:rsidRPr="005D545E">
              <w:rPr>
                <w:i/>
                <w:color w:val="000000"/>
                <w:lang w:val="en-CA"/>
              </w:rPr>
              <w:t>The railway museum, York.</w:t>
            </w:r>
            <w:r w:rsidRPr="005D545E">
              <w:rPr>
                <w:color w:val="000000"/>
                <w:lang w:val="en-CA"/>
              </w:rPr>
              <w:t xml:space="preserve"> </w:t>
            </w:r>
            <w:r>
              <w:rPr>
                <w:color w:val="000000"/>
              </w:rPr>
              <w:t>British Railways Board.</w:t>
            </w:r>
          </w:p>
        </w:tc>
      </w:tr>
      <w:tr w:rsidR="00BF18CF" w:rsidRPr="009F53E4" w14:paraId="014D0931" w14:textId="77777777" w:rsidTr="00BF18CF">
        <w:tc>
          <w:tcPr>
            <w:tcW w:w="10690" w:type="dxa"/>
          </w:tcPr>
          <w:p w14:paraId="33132A5D" w14:textId="77777777" w:rsidR="00BF18CF" w:rsidRPr="009F53E4" w:rsidRDefault="00E51347">
            <w:pPr>
              <w:pBdr>
                <w:top w:val="nil"/>
                <w:left w:val="nil"/>
                <w:bottom w:val="nil"/>
                <w:right w:val="nil"/>
                <w:between w:val="nil"/>
              </w:pBdr>
              <w:spacing w:before="36" w:after="36"/>
              <w:rPr>
                <w:color w:val="000000"/>
                <w:lang w:val="en-US"/>
              </w:rPr>
            </w:pPr>
            <w:r w:rsidRPr="005D545E">
              <w:rPr>
                <w:color w:val="000000"/>
                <w:lang w:val="en-CA"/>
              </w:rPr>
              <w:t xml:space="preserve">Rose, Harold, Hendrik S. Houthakker, William J. McDonough, et Geoffrey Maynard. </w:t>
            </w:r>
            <w:r w:rsidRPr="007C10F0">
              <w:rPr>
                <w:color w:val="000000"/>
                <w:lang w:val="en-CA"/>
              </w:rPr>
              <w:t xml:space="preserve">1978. </w:t>
            </w:r>
            <w:r w:rsidRPr="007C10F0">
              <w:rPr>
                <w:i/>
                <w:color w:val="000000"/>
                <w:lang w:val="en-CA"/>
              </w:rPr>
              <w:t>The US dollar and its role as a reserve currency</w:t>
            </w:r>
            <w:r w:rsidRPr="007C10F0">
              <w:rPr>
                <w:color w:val="000000"/>
                <w:lang w:val="en-CA"/>
              </w:rPr>
              <w:t xml:space="preserve">. </w:t>
            </w:r>
            <w:r w:rsidRPr="009F53E4">
              <w:rPr>
                <w:color w:val="000000"/>
                <w:lang w:val="en-US"/>
              </w:rPr>
              <w:t>British-North American Research Association.</w:t>
            </w:r>
          </w:p>
        </w:tc>
      </w:tr>
      <w:tr w:rsidR="00BF18CF" w:rsidRPr="000467B7" w14:paraId="09575C0F" w14:textId="77777777" w:rsidTr="00BF18CF">
        <w:tc>
          <w:tcPr>
            <w:tcW w:w="10690" w:type="dxa"/>
          </w:tcPr>
          <w:p w14:paraId="03665F01" w14:textId="77777777" w:rsidR="00BF18CF" w:rsidRPr="009F53E4" w:rsidRDefault="00E51347">
            <w:pPr>
              <w:pBdr>
                <w:top w:val="nil"/>
                <w:left w:val="nil"/>
                <w:bottom w:val="nil"/>
                <w:right w:val="nil"/>
                <w:between w:val="nil"/>
              </w:pBdr>
              <w:spacing w:before="36" w:after="36"/>
              <w:rPr>
                <w:color w:val="000000"/>
                <w:lang w:val="en-US"/>
              </w:rPr>
            </w:pPr>
            <w:r w:rsidRPr="005D545E">
              <w:rPr>
                <w:color w:val="000000"/>
                <w:lang w:val="en-CA"/>
              </w:rPr>
              <w:t xml:space="preserve">Scarratt, Kenneth, et Russell Shor. 2006. </w:t>
            </w:r>
            <w:r w:rsidRPr="007C10F0">
              <w:rPr>
                <w:color w:val="000000"/>
                <w:lang w:val="en-CA"/>
              </w:rPr>
              <w:t xml:space="preserve">« The Cullinian Diamond Centennial: A history and Gemological Analysis of Cullinians ». </w:t>
            </w:r>
            <w:r w:rsidRPr="009F53E4">
              <w:rPr>
                <w:i/>
                <w:color w:val="000000"/>
                <w:lang w:val="en-US"/>
              </w:rPr>
              <w:t>Gems &amp; Gemology</w:t>
            </w:r>
            <w:r w:rsidRPr="009F53E4">
              <w:rPr>
                <w:color w:val="000000"/>
                <w:lang w:val="en-US"/>
              </w:rPr>
              <w:t xml:space="preserve"> 42 (2</w:t>
            </w:r>
            <w:proofErr w:type="gramStart"/>
            <w:r w:rsidRPr="009F53E4">
              <w:rPr>
                <w:color w:val="000000"/>
                <w:lang w:val="en-US"/>
              </w:rPr>
              <w:t>) :</w:t>
            </w:r>
            <w:proofErr w:type="gramEnd"/>
            <w:r w:rsidRPr="009F53E4">
              <w:rPr>
                <w:color w:val="000000"/>
                <w:lang w:val="en-US"/>
              </w:rPr>
              <w:t xml:space="preserve"> 120‑32.</w:t>
            </w:r>
          </w:p>
        </w:tc>
      </w:tr>
      <w:tr w:rsidR="00BF18CF" w:rsidRPr="000467B7" w14:paraId="1E35E2FE" w14:textId="77777777" w:rsidTr="00BF18CF">
        <w:tc>
          <w:tcPr>
            <w:tcW w:w="10690" w:type="dxa"/>
          </w:tcPr>
          <w:p w14:paraId="777352A1" w14:textId="77777777" w:rsidR="00BF18CF" w:rsidRPr="005D545E" w:rsidRDefault="00E51347">
            <w:pPr>
              <w:pBdr>
                <w:top w:val="nil"/>
                <w:left w:val="nil"/>
                <w:bottom w:val="nil"/>
                <w:right w:val="nil"/>
                <w:between w:val="nil"/>
              </w:pBdr>
              <w:spacing w:before="36" w:after="36"/>
              <w:rPr>
                <w:color w:val="000000"/>
                <w:lang w:val="en-CA"/>
              </w:rPr>
            </w:pPr>
            <w:r w:rsidRPr="007C10F0">
              <w:rPr>
                <w:color w:val="000000"/>
                <w:lang w:val="en-CA"/>
              </w:rPr>
              <w:t xml:space="preserve">Shaw, Ian. 2000. </w:t>
            </w:r>
            <w:r w:rsidRPr="007C10F0">
              <w:rPr>
                <w:i/>
                <w:color w:val="000000"/>
                <w:lang w:val="en-CA"/>
              </w:rPr>
              <w:t>The Oxford history of ancient Egypt</w:t>
            </w:r>
            <w:r w:rsidRPr="007C10F0">
              <w:rPr>
                <w:color w:val="000000"/>
                <w:lang w:val="en-CA"/>
              </w:rPr>
              <w:t xml:space="preserve">. </w:t>
            </w:r>
            <w:r w:rsidRPr="005D545E">
              <w:rPr>
                <w:color w:val="000000"/>
                <w:lang w:val="en-CA"/>
              </w:rPr>
              <w:t>Oxford; New York, US-</w:t>
            </w:r>
            <w:proofErr w:type="gramStart"/>
            <w:r w:rsidRPr="005D545E">
              <w:rPr>
                <w:color w:val="000000"/>
                <w:lang w:val="en-CA"/>
              </w:rPr>
              <w:t>NY :</w:t>
            </w:r>
            <w:proofErr w:type="gramEnd"/>
            <w:r w:rsidRPr="005D545E">
              <w:rPr>
                <w:color w:val="000000"/>
                <w:lang w:val="en-CA"/>
              </w:rPr>
              <w:t xml:space="preserve"> Oxford University Press.</w:t>
            </w:r>
          </w:p>
        </w:tc>
      </w:tr>
      <w:tr w:rsidR="00BF18CF" w:rsidRPr="000467B7" w14:paraId="28BCA67C" w14:textId="77777777" w:rsidTr="00BF18CF">
        <w:tc>
          <w:tcPr>
            <w:tcW w:w="10690" w:type="dxa"/>
          </w:tcPr>
          <w:p w14:paraId="1451FF52" w14:textId="77777777" w:rsidR="00BF18CF" w:rsidRPr="009F53E4" w:rsidRDefault="00E51347">
            <w:pPr>
              <w:pBdr>
                <w:top w:val="nil"/>
                <w:left w:val="nil"/>
                <w:bottom w:val="nil"/>
                <w:right w:val="nil"/>
                <w:between w:val="nil"/>
              </w:pBdr>
              <w:spacing w:before="36" w:after="36"/>
              <w:rPr>
                <w:color w:val="000000"/>
                <w:lang w:val="en-US"/>
              </w:rPr>
            </w:pPr>
            <w:r w:rsidRPr="005D545E">
              <w:rPr>
                <w:color w:val="000000"/>
                <w:lang w:val="en-CA"/>
              </w:rPr>
              <w:t xml:space="preserve">Shipway, J. S., SIR T. BOUCH, B. BAKER, et SIR J. FOWLER. </w:t>
            </w:r>
            <w:r w:rsidRPr="007C10F0">
              <w:rPr>
                <w:color w:val="000000"/>
                <w:lang w:val="en-CA"/>
              </w:rPr>
              <w:t xml:space="preserve">1990. « The Forth Railway Bridge Centenary 1880-1990: Some Notes on its Design ». </w:t>
            </w:r>
            <w:r w:rsidRPr="009F53E4">
              <w:rPr>
                <w:i/>
                <w:color w:val="000000"/>
                <w:lang w:val="en-US"/>
              </w:rPr>
              <w:t>Proceedings of the Institution of Civil Engineers</w:t>
            </w:r>
            <w:r w:rsidRPr="009F53E4">
              <w:rPr>
                <w:color w:val="000000"/>
                <w:lang w:val="en-US"/>
              </w:rPr>
              <w:t xml:space="preserve"> 88 (6</w:t>
            </w:r>
            <w:proofErr w:type="gramStart"/>
            <w:r w:rsidRPr="009F53E4">
              <w:rPr>
                <w:color w:val="000000"/>
                <w:lang w:val="en-US"/>
              </w:rPr>
              <w:t>) :</w:t>
            </w:r>
            <w:proofErr w:type="gramEnd"/>
            <w:r w:rsidRPr="009F53E4">
              <w:rPr>
                <w:color w:val="000000"/>
                <w:lang w:val="en-US"/>
              </w:rPr>
              <w:t xml:space="preserve"> 1079‑1107.</w:t>
            </w:r>
          </w:p>
        </w:tc>
      </w:tr>
      <w:tr w:rsidR="00BF18CF" w:rsidRPr="000467B7" w14:paraId="3BD0EB31" w14:textId="77777777" w:rsidTr="00BF18CF">
        <w:tc>
          <w:tcPr>
            <w:tcW w:w="10690" w:type="dxa"/>
          </w:tcPr>
          <w:p w14:paraId="684BB7A4" w14:textId="77777777" w:rsidR="00BF18CF" w:rsidRPr="009F53E4" w:rsidRDefault="00E51347">
            <w:pPr>
              <w:pBdr>
                <w:top w:val="nil"/>
                <w:left w:val="nil"/>
                <w:bottom w:val="nil"/>
                <w:right w:val="nil"/>
                <w:between w:val="nil"/>
              </w:pBdr>
              <w:spacing w:before="36" w:after="36"/>
              <w:rPr>
                <w:color w:val="000000"/>
                <w:lang w:val="en-US"/>
              </w:rPr>
            </w:pPr>
            <w:r>
              <w:rPr>
                <w:color w:val="000000"/>
              </w:rPr>
              <w:t xml:space="preserve">Siegler, M. A., et S. E. Smrekar. </w:t>
            </w:r>
            <w:r w:rsidRPr="007C10F0">
              <w:rPr>
                <w:color w:val="000000"/>
                <w:lang w:val="en-CA"/>
              </w:rPr>
              <w:t xml:space="preserve">2014. « Lunar heat flow: Regional prospective of the Apollo landing sites ». </w:t>
            </w:r>
            <w:r w:rsidRPr="009F53E4">
              <w:rPr>
                <w:i/>
                <w:color w:val="000000"/>
                <w:lang w:val="en-US"/>
              </w:rPr>
              <w:t>Journal of Geophysical Research: Planets</w:t>
            </w:r>
            <w:r w:rsidRPr="009F53E4">
              <w:rPr>
                <w:color w:val="000000"/>
                <w:lang w:val="en-US"/>
              </w:rPr>
              <w:t xml:space="preserve"> 119 (1</w:t>
            </w:r>
            <w:proofErr w:type="gramStart"/>
            <w:r w:rsidRPr="009F53E4">
              <w:rPr>
                <w:color w:val="000000"/>
                <w:lang w:val="en-US"/>
              </w:rPr>
              <w:t>) :</w:t>
            </w:r>
            <w:proofErr w:type="gramEnd"/>
            <w:r w:rsidRPr="009F53E4">
              <w:rPr>
                <w:color w:val="000000"/>
                <w:lang w:val="en-US"/>
              </w:rPr>
              <w:t xml:space="preserve"> 47‑63.</w:t>
            </w:r>
          </w:p>
        </w:tc>
      </w:tr>
      <w:tr w:rsidR="00BF18CF" w:rsidRPr="000467B7" w14:paraId="777455D6" w14:textId="77777777" w:rsidTr="00BF18CF">
        <w:tc>
          <w:tcPr>
            <w:tcW w:w="10690" w:type="dxa"/>
          </w:tcPr>
          <w:p w14:paraId="58DB7DC2" w14:textId="77777777" w:rsidR="00BF18CF" w:rsidRPr="009F53E4" w:rsidRDefault="00E51347">
            <w:pPr>
              <w:pBdr>
                <w:top w:val="nil"/>
                <w:left w:val="nil"/>
                <w:bottom w:val="nil"/>
                <w:right w:val="nil"/>
                <w:between w:val="nil"/>
              </w:pBdr>
              <w:spacing w:before="36" w:after="36"/>
              <w:rPr>
                <w:color w:val="000000"/>
                <w:lang w:val="en-US"/>
              </w:rPr>
            </w:pPr>
            <w:r>
              <w:rPr>
                <w:color w:val="000000"/>
              </w:rPr>
              <w:t xml:space="preserve">Sinkevičius, Stanislovas, et Vytautas Naruševičius. </w:t>
            </w:r>
            <w:r w:rsidRPr="007C10F0">
              <w:rPr>
                <w:color w:val="000000"/>
                <w:lang w:val="en-CA"/>
              </w:rPr>
              <w:t xml:space="preserve">2002. « Investigation of anaphase aberrations in Chaffinch (Fringilla coelebs Linnaeus, 1758) populations from different regions of Lithuania ». </w:t>
            </w:r>
            <w:r w:rsidRPr="009F53E4">
              <w:rPr>
                <w:i/>
                <w:color w:val="000000"/>
                <w:lang w:val="en-US"/>
              </w:rPr>
              <w:t>Acta zoologica Lituanica</w:t>
            </w:r>
            <w:r w:rsidRPr="009F53E4">
              <w:rPr>
                <w:color w:val="000000"/>
                <w:lang w:val="en-US"/>
              </w:rPr>
              <w:t xml:space="preserve"> 12 (1</w:t>
            </w:r>
            <w:proofErr w:type="gramStart"/>
            <w:r w:rsidRPr="009F53E4">
              <w:rPr>
                <w:color w:val="000000"/>
                <w:lang w:val="en-US"/>
              </w:rPr>
              <w:t>) :</w:t>
            </w:r>
            <w:proofErr w:type="gramEnd"/>
            <w:r w:rsidRPr="009F53E4">
              <w:rPr>
                <w:color w:val="000000"/>
                <w:lang w:val="en-US"/>
              </w:rPr>
              <w:t xml:space="preserve"> 3‑9.</w:t>
            </w:r>
          </w:p>
        </w:tc>
      </w:tr>
      <w:tr w:rsidR="00BF18CF" w:rsidRPr="000467B7" w14:paraId="43843BC8" w14:textId="77777777" w:rsidTr="00BF18CF">
        <w:tc>
          <w:tcPr>
            <w:tcW w:w="10690" w:type="dxa"/>
          </w:tcPr>
          <w:p w14:paraId="450DF531" w14:textId="77777777" w:rsidR="00BF18CF" w:rsidRPr="005D545E" w:rsidRDefault="00E51347">
            <w:pPr>
              <w:pBdr>
                <w:top w:val="nil"/>
                <w:left w:val="nil"/>
                <w:bottom w:val="nil"/>
                <w:right w:val="nil"/>
                <w:between w:val="nil"/>
              </w:pBdr>
              <w:spacing w:before="36" w:after="36"/>
              <w:rPr>
                <w:color w:val="000000"/>
                <w:lang w:val="en-CA"/>
              </w:rPr>
            </w:pPr>
            <w:r w:rsidRPr="005D545E">
              <w:rPr>
                <w:color w:val="000000"/>
                <w:lang w:val="en-CA"/>
              </w:rPr>
              <w:t xml:space="preserve">Sitwell, S. 2017. </w:t>
            </w:r>
            <w:r w:rsidRPr="005D545E">
              <w:rPr>
                <w:i/>
                <w:color w:val="000000"/>
                <w:lang w:val="en-CA"/>
              </w:rPr>
              <w:t>Mozart</w:t>
            </w:r>
            <w:r w:rsidRPr="005D545E">
              <w:rPr>
                <w:color w:val="000000"/>
                <w:lang w:val="en-CA"/>
              </w:rPr>
              <w:t>. Londres, GB-</w:t>
            </w:r>
            <w:proofErr w:type="gramStart"/>
            <w:r w:rsidRPr="005D545E">
              <w:rPr>
                <w:color w:val="000000"/>
                <w:lang w:val="en-CA"/>
              </w:rPr>
              <w:t>LND :</w:t>
            </w:r>
            <w:proofErr w:type="gramEnd"/>
            <w:r w:rsidRPr="005D545E">
              <w:rPr>
                <w:color w:val="000000"/>
                <w:lang w:val="en-CA"/>
              </w:rPr>
              <w:t xml:space="preserve"> Bello.</w:t>
            </w:r>
          </w:p>
        </w:tc>
      </w:tr>
      <w:tr w:rsidR="00BF18CF" w14:paraId="7BEDDA4C" w14:textId="77777777" w:rsidTr="00BF18CF">
        <w:tc>
          <w:tcPr>
            <w:tcW w:w="10690" w:type="dxa"/>
          </w:tcPr>
          <w:p w14:paraId="42F63F79"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Smails, Nathaniel W. 1975. </w:t>
            </w:r>
            <w:r w:rsidRPr="005D545E">
              <w:rPr>
                <w:i/>
                <w:color w:val="000000"/>
                <w:lang w:val="en-CA"/>
              </w:rPr>
              <w:t>Beautiful Lake Geneva: a collection of views of the many features, both natural and architectural, which lend attractiveness to this charming resort.</w:t>
            </w:r>
            <w:r w:rsidRPr="005D545E">
              <w:rPr>
                <w:color w:val="000000"/>
                <w:lang w:val="en-CA"/>
              </w:rPr>
              <w:t xml:space="preserve"> </w:t>
            </w:r>
            <w:r>
              <w:rPr>
                <w:color w:val="000000"/>
              </w:rPr>
              <w:t>US-WA : Library of Congress Photoduplication Service.</w:t>
            </w:r>
          </w:p>
        </w:tc>
      </w:tr>
      <w:tr w:rsidR="00BF18CF" w:rsidRPr="009F53E4" w14:paraId="1EC845C2" w14:textId="77777777" w:rsidTr="00BF18CF">
        <w:tc>
          <w:tcPr>
            <w:tcW w:w="10690" w:type="dxa"/>
          </w:tcPr>
          <w:p w14:paraId="6EDC918A" w14:textId="77777777" w:rsidR="00BF18CF" w:rsidRPr="009F53E4" w:rsidRDefault="00E51347">
            <w:pPr>
              <w:pBdr>
                <w:top w:val="nil"/>
                <w:left w:val="nil"/>
                <w:bottom w:val="nil"/>
                <w:right w:val="nil"/>
                <w:between w:val="nil"/>
              </w:pBdr>
              <w:spacing w:before="36" w:after="36"/>
              <w:rPr>
                <w:color w:val="000000"/>
                <w:lang w:val="en-US"/>
              </w:rPr>
            </w:pPr>
            <w:r w:rsidRPr="005D545E">
              <w:rPr>
                <w:color w:val="000000"/>
                <w:lang w:val="en-CA"/>
              </w:rPr>
              <w:t xml:space="preserve">Smith, Barry, et Achille C. Varzi. </w:t>
            </w:r>
            <w:r w:rsidRPr="007C10F0">
              <w:rPr>
                <w:color w:val="000000"/>
                <w:lang w:val="en-CA"/>
              </w:rPr>
              <w:t xml:space="preserve">2000. « Fiat and bona fide boundaries ». </w:t>
            </w:r>
            <w:r w:rsidRPr="009F53E4">
              <w:rPr>
                <w:i/>
                <w:color w:val="000000"/>
                <w:lang w:val="en-US"/>
              </w:rPr>
              <w:t>Philosophical and phenomenological research</w:t>
            </w:r>
            <w:r w:rsidRPr="009F53E4">
              <w:rPr>
                <w:color w:val="000000"/>
                <w:lang w:val="en-US"/>
              </w:rPr>
              <w:t>, 401‑20.</w:t>
            </w:r>
          </w:p>
        </w:tc>
      </w:tr>
      <w:tr w:rsidR="00BF18CF" w:rsidRPr="000467B7" w14:paraId="308880C2" w14:textId="77777777" w:rsidTr="00BF18CF">
        <w:tc>
          <w:tcPr>
            <w:tcW w:w="10690" w:type="dxa"/>
          </w:tcPr>
          <w:p w14:paraId="0428E93D"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Smith, William. 1844. </w:t>
            </w:r>
            <w:r w:rsidRPr="007C10F0">
              <w:rPr>
                <w:i/>
                <w:color w:val="000000"/>
                <w:lang w:val="en-CA"/>
              </w:rPr>
              <w:t>Dictionary of Greek and Roman biography and mythology.</w:t>
            </w:r>
            <w:r w:rsidRPr="007C10F0">
              <w:rPr>
                <w:color w:val="000000"/>
                <w:lang w:val="en-CA"/>
              </w:rPr>
              <w:t xml:space="preserve"> </w:t>
            </w:r>
            <w:r w:rsidRPr="009F53E4">
              <w:rPr>
                <w:color w:val="000000"/>
                <w:lang w:val="en-US"/>
              </w:rPr>
              <w:t>Londres, GB-</w:t>
            </w:r>
            <w:proofErr w:type="gramStart"/>
            <w:r w:rsidRPr="009F53E4">
              <w:rPr>
                <w:color w:val="000000"/>
                <w:lang w:val="en-US"/>
              </w:rPr>
              <w:t>LND :</w:t>
            </w:r>
            <w:proofErr w:type="gramEnd"/>
            <w:r w:rsidRPr="009F53E4">
              <w:rPr>
                <w:color w:val="000000"/>
                <w:lang w:val="en-US"/>
              </w:rPr>
              <w:t xml:space="preserve"> Taylor and Walton.</w:t>
            </w:r>
          </w:p>
        </w:tc>
      </w:tr>
      <w:tr w:rsidR="00BF18CF" w:rsidRPr="000467B7" w14:paraId="12C07FD8" w14:textId="77777777" w:rsidTr="00BF18CF">
        <w:tc>
          <w:tcPr>
            <w:tcW w:w="10690" w:type="dxa"/>
          </w:tcPr>
          <w:p w14:paraId="7FC063C5" w14:textId="77777777" w:rsidR="00BF18CF" w:rsidRPr="007C10F0" w:rsidRDefault="00E51347">
            <w:pPr>
              <w:pBdr>
                <w:top w:val="nil"/>
                <w:left w:val="nil"/>
                <w:bottom w:val="nil"/>
                <w:right w:val="nil"/>
                <w:between w:val="nil"/>
              </w:pBdr>
              <w:spacing w:before="36" w:after="36"/>
              <w:rPr>
                <w:color w:val="000000"/>
                <w:lang w:val="en-CA"/>
              </w:rPr>
            </w:pPr>
            <w:r w:rsidRPr="007C10F0">
              <w:rPr>
                <w:color w:val="000000"/>
                <w:lang w:val="en-CA"/>
              </w:rPr>
              <w:lastRenderedPageBreak/>
              <w:t xml:space="preserve">Solomon, Brian. 2003. </w:t>
            </w:r>
            <w:r w:rsidRPr="007C10F0">
              <w:rPr>
                <w:i/>
                <w:color w:val="000000"/>
                <w:lang w:val="en-CA"/>
              </w:rPr>
              <w:t>Railway Masterpieces</w:t>
            </w:r>
            <w:r w:rsidRPr="007C10F0">
              <w:rPr>
                <w:color w:val="000000"/>
                <w:lang w:val="en-CA"/>
              </w:rPr>
              <w:t>. David &amp; Charles.</w:t>
            </w:r>
          </w:p>
        </w:tc>
      </w:tr>
      <w:tr w:rsidR="00BF18CF" w:rsidRPr="000467B7" w14:paraId="4455EA11" w14:textId="77777777" w:rsidTr="00BF18CF">
        <w:tc>
          <w:tcPr>
            <w:tcW w:w="10690" w:type="dxa"/>
          </w:tcPr>
          <w:p w14:paraId="7DF53DEF" w14:textId="77777777" w:rsidR="00BF18CF" w:rsidRPr="009F53E4" w:rsidRDefault="00E51347">
            <w:pPr>
              <w:pBdr>
                <w:top w:val="nil"/>
                <w:left w:val="nil"/>
                <w:bottom w:val="nil"/>
                <w:right w:val="nil"/>
                <w:between w:val="nil"/>
              </w:pBdr>
              <w:spacing w:before="36" w:after="36"/>
              <w:rPr>
                <w:color w:val="000000"/>
                <w:lang w:val="en-US"/>
              </w:rPr>
            </w:pPr>
            <w:r>
              <w:rPr>
                <w:color w:val="000000"/>
              </w:rPr>
              <w:t xml:space="preserve">Spiers, A, et Gabriel Surenne. </w:t>
            </w:r>
            <w:r w:rsidRPr="007C10F0">
              <w:rPr>
                <w:color w:val="000000"/>
                <w:lang w:val="en-CA"/>
              </w:rPr>
              <w:t xml:space="preserve">1854. </w:t>
            </w:r>
            <w:r w:rsidRPr="007C10F0">
              <w:rPr>
                <w:i/>
                <w:color w:val="000000"/>
                <w:lang w:val="en-CA"/>
              </w:rPr>
              <w:t>The standard pronouncing dictionary of the French and English languages</w:t>
            </w:r>
            <w:r w:rsidRPr="007C10F0">
              <w:rPr>
                <w:color w:val="000000"/>
                <w:lang w:val="en-CA"/>
              </w:rPr>
              <w:t xml:space="preserve">. </w:t>
            </w:r>
            <w:r w:rsidRPr="009F53E4">
              <w:rPr>
                <w:color w:val="000000"/>
                <w:lang w:val="en-US"/>
              </w:rPr>
              <w:t>New York, US-</w:t>
            </w:r>
            <w:proofErr w:type="gramStart"/>
            <w:r w:rsidRPr="009F53E4">
              <w:rPr>
                <w:color w:val="000000"/>
                <w:lang w:val="en-US"/>
              </w:rPr>
              <w:t>NY :</w:t>
            </w:r>
            <w:proofErr w:type="gramEnd"/>
            <w:r w:rsidRPr="009F53E4">
              <w:rPr>
                <w:color w:val="000000"/>
                <w:lang w:val="en-US"/>
              </w:rPr>
              <w:t xml:space="preserve"> Appleton.</w:t>
            </w:r>
          </w:p>
        </w:tc>
      </w:tr>
      <w:tr w:rsidR="00BF18CF" w:rsidRPr="000467B7" w14:paraId="6495AC66" w14:textId="77777777" w:rsidTr="00BF18CF">
        <w:tc>
          <w:tcPr>
            <w:tcW w:w="10690" w:type="dxa"/>
          </w:tcPr>
          <w:p w14:paraId="2F016BEA"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Steinbeck, John. 2000. </w:t>
            </w:r>
            <w:r w:rsidRPr="007C10F0">
              <w:rPr>
                <w:i/>
                <w:color w:val="000000"/>
                <w:lang w:val="en-CA"/>
              </w:rPr>
              <w:t>Log from the Sea of Cortez</w:t>
            </w:r>
            <w:r w:rsidRPr="007C10F0">
              <w:rPr>
                <w:color w:val="000000"/>
                <w:lang w:val="en-CA"/>
              </w:rPr>
              <w:t xml:space="preserve">. </w:t>
            </w:r>
            <w:r w:rsidRPr="009F53E4">
              <w:rPr>
                <w:color w:val="000000"/>
                <w:lang w:val="en-US"/>
              </w:rPr>
              <w:t>Londres, GB-</w:t>
            </w:r>
            <w:proofErr w:type="gramStart"/>
            <w:r w:rsidRPr="009F53E4">
              <w:rPr>
                <w:color w:val="000000"/>
                <w:lang w:val="en-US"/>
              </w:rPr>
              <w:t>LND :</w:t>
            </w:r>
            <w:proofErr w:type="gramEnd"/>
            <w:r w:rsidRPr="009F53E4">
              <w:rPr>
                <w:color w:val="000000"/>
                <w:lang w:val="en-US"/>
              </w:rPr>
              <w:t xml:space="preserve"> Penguin.</w:t>
            </w:r>
          </w:p>
        </w:tc>
      </w:tr>
      <w:tr w:rsidR="00BF18CF" w:rsidRPr="000467B7" w14:paraId="7143AE38" w14:textId="77777777" w:rsidTr="00BF18CF">
        <w:tc>
          <w:tcPr>
            <w:tcW w:w="10690" w:type="dxa"/>
          </w:tcPr>
          <w:p w14:paraId="5D03AE54" w14:textId="77777777" w:rsidR="00BF18CF" w:rsidRPr="007C10F0" w:rsidRDefault="00E51347">
            <w:pPr>
              <w:pBdr>
                <w:top w:val="nil"/>
                <w:left w:val="nil"/>
                <w:bottom w:val="nil"/>
                <w:right w:val="nil"/>
                <w:between w:val="nil"/>
              </w:pBdr>
              <w:spacing w:before="36" w:after="36"/>
              <w:rPr>
                <w:color w:val="000000"/>
                <w:lang w:val="en-CA"/>
              </w:rPr>
            </w:pPr>
            <w:r w:rsidRPr="005D545E">
              <w:rPr>
                <w:color w:val="000000"/>
                <w:lang w:val="en-CA"/>
              </w:rPr>
              <w:t xml:space="preserve">Stevenson, Robert Louis, William Morrison, et William W Mann. 1909. </w:t>
            </w:r>
            <w:r w:rsidRPr="007C10F0">
              <w:rPr>
                <w:i/>
                <w:color w:val="000000"/>
                <w:lang w:val="en-CA"/>
              </w:rPr>
              <w:t>Doktoro Jekyll kaj Sinjoro Hyde</w:t>
            </w:r>
            <w:r w:rsidRPr="007C10F0">
              <w:rPr>
                <w:color w:val="000000"/>
                <w:lang w:val="en-CA"/>
              </w:rPr>
              <w:t>. Londres, GB-</w:t>
            </w:r>
            <w:proofErr w:type="gramStart"/>
            <w:r w:rsidRPr="007C10F0">
              <w:rPr>
                <w:color w:val="000000"/>
                <w:lang w:val="en-CA"/>
              </w:rPr>
              <w:t>LND :</w:t>
            </w:r>
            <w:proofErr w:type="gramEnd"/>
            <w:r w:rsidRPr="007C10F0">
              <w:rPr>
                <w:color w:val="000000"/>
                <w:lang w:val="en-CA"/>
              </w:rPr>
              <w:t xml:space="preserve"> The British Esperanto Association.</w:t>
            </w:r>
          </w:p>
        </w:tc>
      </w:tr>
      <w:tr w:rsidR="00BF18CF" w:rsidRPr="000467B7" w14:paraId="5589C7EB" w14:textId="77777777" w:rsidTr="00BF18CF">
        <w:tc>
          <w:tcPr>
            <w:tcW w:w="10690" w:type="dxa"/>
          </w:tcPr>
          <w:p w14:paraId="4C7F9527" w14:textId="77777777" w:rsidR="00BF18CF" w:rsidRPr="005D545E" w:rsidRDefault="00E51347">
            <w:pPr>
              <w:pBdr>
                <w:top w:val="nil"/>
                <w:left w:val="nil"/>
                <w:bottom w:val="nil"/>
                <w:right w:val="nil"/>
                <w:between w:val="nil"/>
              </w:pBdr>
              <w:spacing w:before="36" w:after="36"/>
              <w:rPr>
                <w:color w:val="000000"/>
                <w:lang w:val="en-CA"/>
              </w:rPr>
            </w:pPr>
            <w:r w:rsidRPr="007C10F0">
              <w:rPr>
                <w:color w:val="000000"/>
                <w:lang w:val="en-CA"/>
              </w:rPr>
              <w:t xml:space="preserve">Stoneman, Richard. 2004. </w:t>
            </w:r>
            <w:r w:rsidRPr="007C10F0">
              <w:rPr>
                <w:i/>
                <w:color w:val="000000"/>
                <w:lang w:val="en-CA"/>
              </w:rPr>
              <w:t>Alexander the Great</w:t>
            </w:r>
            <w:r w:rsidRPr="007C10F0">
              <w:rPr>
                <w:color w:val="000000"/>
                <w:lang w:val="en-CA"/>
              </w:rPr>
              <w:t xml:space="preserve">. </w:t>
            </w:r>
            <w:r w:rsidRPr="005D545E">
              <w:rPr>
                <w:color w:val="000000"/>
                <w:lang w:val="en-CA"/>
              </w:rPr>
              <w:t>London; New York, US-</w:t>
            </w:r>
            <w:proofErr w:type="gramStart"/>
            <w:r w:rsidRPr="005D545E">
              <w:rPr>
                <w:color w:val="000000"/>
                <w:lang w:val="en-CA"/>
              </w:rPr>
              <w:t>NY :</w:t>
            </w:r>
            <w:proofErr w:type="gramEnd"/>
            <w:r w:rsidRPr="005D545E">
              <w:rPr>
                <w:color w:val="000000"/>
                <w:lang w:val="en-CA"/>
              </w:rPr>
              <w:t xml:space="preserve"> Routledge.</w:t>
            </w:r>
          </w:p>
        </w:tc>
      </w:tr>
      <w:tr w:rsidR="00BF18CF" w14:paraId="779C7B9F" w14:textId="77777777" w:rsidTr="00BF18CF">
        <w:tc>
          <w:tcPr>
            <w:tcW w:w="10690" w:type="dxa"/>
          </w:tcPr>
          <w:p w14:paraId="21C7588A" w14:textId="77777777" w:rsidR="00BF18CF" w:rsidRDefault="00E51347">
            <w:pPr>
              <w:pBdr>
                <w:top w:val="nil"/>
                <w:left w:val="nil"/>
                <w:bottom w:val="nil"/>
                <w:right w:val="nil"/>
                <w:between w:val="nil"/>
              </w:pBdr>
              <w:spacing w:before="36" w:after="36"/>
              <w:rPr>
                <w:color w:val="000000"/>
              </w:rPr>
            </w:pPr>
            <w:r>
              <w:rPr>
                <w:color w:val="000000"/>
              </w:rPr>
              <w:t xml:space="preserve">Strano, T. 1953. </w:t>
            </w:r>
            <w:r>
              <w:rPr>
                <w:i/>
                <w:color w:val="000000"/>
              </w:rPr>
              <w:t>Leonard da Vinci</w:t>
            </w:r>
            <w:r>
              <w:rPr>
                <w:color w:val="000000"/>
              </w:rPr>
              <w:t>. Milano.</w:t>
            </w:r>
          </w:p>
        </w:tc>
      </w:tr>
      <w:tr w:rsidR="00BF18CF" w14:paraId="2602DEB9" w14:textId="77777777" w:rsidTr="00BF18CF">
        <w:tc>
          <w:tcPr>
            <w:tcW w:w="10690" w:type="dxa"/>
          </w:tcPr>
          <w:p w14:paraId="493F8CA1"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Strauss, Walter L. 1974. </w:t>
            </w:r>
            <w:r w:rsidRPr="005D545E">
              <w:rPr>
                <w:i/>
                <w:color w:val="000000"/>
                <w:lang w:val="en-CA"/>
              </w:rPr>
              <w:t>The Complete Drawings of Albrecht Dürer: 1520-1528</w:t>
            </w:r>
            <w:r w:rsidRPr="005D545E">
              <w:rPr>
                <w:color w:val="000000"/>
                <w:lang w:val="en-CA"/>
              </w:rPr>
              <w:t xml:space="preserve">. </w:t>
            </w:r>
            <w:r>
              <w:rPr>
                <w:color w:val="000000"/>
              </w:rPr>
              <w:t>Vol. 4. Abaris Books.</w:t>
            </w:r>
          </w:p>
        </w:tc>
      </w:tr>
      <w:tr w:rsidR="00BF18CF" w:rsidRPr="009F53E4" w14:paraId="11C52C96" w14:textId="77777777" w:rsidTr="00BF18CF">
        <w:tc>
          <w:tcPr>
            <w:tcW w:w="10690" w:type="dxa"/>
          </w:tcPr>
          <w:p w14:paraId="572717B4"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Strong, Roy. 2005. </w:t>
            </w:r>
            <w:r w:rsidRPr="007C10F0">
              <w:rPr>
                <w:i/>
                <w:color w:val="000000"/>
                <w:lang w:val="en-CA"/>
              </w:rPr>
              <w:t>Coronation: a history of kingship and the British monarchy</w:t>
            </w:r>
            <w:r w:rsidRPr="007C10F0">
              <w:rPr>
                <w:color w:val="000000"/>
                <w:lang w:val="en-CA"/>
              </w:rPr>
              <w:t xml:space="preserve">. </w:t>
            </w:r>
            <w:r w:rsidRPr="009F53E4">
              <w:rPr>
                <w:color w:val="000000"/>
                <w:lang w:val="en-US"/>
              </w:rPr>
              <w:t>Harpercollins Pub Limited.</w:t>
            </w:r>
          </w:p>
        </w:tc>
      </w:tr>
      <w:tr w:rsidR="00BF18CF" w:rsidRPr="000467B7" w14:paraId="07BF4E9B" w14:textId="77777777" w:rsidTr="00BF18CF">
        <w:tc>
          <w:tcPr>
            <w:tcW w:w="10690" w:type="dxa"/>
          </w:tcPr>
          <w:p w14:paraId="544C21F3" w14:textId="77777777" w:rsidR="00BF18CF" w:rsidRPr="005D545E" w:rsidRDefault="00E51347">
            <w:pPr>
              <w:pBdr>
                <w:top w:val="nil"/>
                <w:left w:val="nil"/>
                <w:bottom w:val="nil"/>
                <w:right w:val="nil"/>
                <w:between w:val="nil"/>
              </w:pBdr>
              <w:spacing w:before="36" w:after="36"/>
              <w:rPr>
                <w:color w:val="000000"/>
                <w:lang w:val="en-CA"/>
              </w:rPr>
            </w:pPr>
            <w:r w:rsidRPr="005D545E">
              <w:rPr>
                <w:color w:val="000000"/>
                <w:lang w:val="en-CA"/>
              </w:rPr>
              <w:t xml:space="preserve">Syrmas, A. 1896. </w:t>
            </w:r>
            <w:r w:rsidRPr="005D545E">
              <w:rPr>
                <w:i/>
                <w:color w:val="000000"/>
                <w:lang w:val="en-CA"/>
              </w:rPr>
              <w:t>Account Book of ship D.</w:t>
            </w:r>
            <w:proofErr w:type="gramStart"/>
            <w:r w:rsidRPr="005D545E">
              <w:rPr>
                <w:i/>
                <w:color w:val="000000"/>
                <w:lang w:val="en-CA"/>
              </w:rPr>
              <w:t>S.Skyliytsis</w:t>
            </w:r>
            <w:proofErr w:type="gramEnd"/>
            <w:r w:rsidRPr="005D545E">
              <w:rPr>
                <w:i/>
                <w:color w:val="000000"/>
                <w:lang w:val="en-CA"/>
              </w:rPr>
              <w:t xml:space="preserve"> 28/9/1895-19/10/1896 Captain A.Syrmas</w:t>
            </w:r>
            <w:r w:rsidRPr="005D545E">
              <w:rPr>
                <w:color w:val="000000"/>
                <w:lang w:val="en-CA"/>
              </w:rPr>
              <w:t>. Vol. 5.</w:t>
            </w:r>
          </w:p>
        </w:tc>
      </w:tr>
      <w:tr w:rsidR="00BF18CF" w:rsidRPr="000467B7" w14:paraId="52F647BF" w14:textId="77777777" w:rsidTr="00BF18CF">
        <w:tc>
          <w:tcPr>
            <w:tcW w:w="10690" w:type="dxa"/>
          </w:tcPr>
          <w:p w14:paraId="5137564A" w14:textId="77777777" w:rsidR="00BF18CF" w:rsidRPr="007C10F0" w:rsidRDefault="00E51347">
            <w:pPr>
              <w:pBdr>
                <w:top w:val="nil"/>
                <w:left w:val="nil"/>
                <w:bottom w:val="nil"/>
                <w:right w:val="nil"/>
                <w:between w:val="nil"/>
              </w:pBdr>
              <w:spacing w:before="36" w:after="36"/>
              <w:rPr>
                <w:color w:val="000000"/>
                <w:lang w:val="en-CA"/>
              </w:rPr>
            </w:pPr>
            <w:r w:rsidRPr="007C10F0">
              <w:rPr>
                <w:color w:val="000000"/>
                <w:lang w:val="en-CA"/>
              </w:rPr>
              <w:t xml:space="preserve">Temperton, Paul. 1997. </w:t>
            </w:r>
            <w:r w:rsidRPr="007C10F0">
              <w:rPr>
                <w:i/>
                <w:color w:val="000000"/>
                <w:lang w:val="en-CA"/>
              </w:rPr>
              <w:t>The euro</w:t>
            </w:r>
            <w:r w:rsidRPr="007C10F0">
              <w:rPr>
                <w:color w:val="000000"/>
                <w:lang w:val="en-CA"/>
              </w:rPr>
              <w:t>. Chichester, GB-</w:t>
            </w:r>
            <w:proofErr w:type="gramStart"/>
            <w:r w:rsidRPr="007C10F0">
              <w:rPr>
                <w:color w:val="000000"/>
                <w:lang w:val="en-CA"/>
              </w:rPr>
              <w:t>WSX :</w:t>
            </w:r>
            <w:proofErr w:type="gramEnd"/>
            <w:r w:rsidRPr="007C10F0">
              <w:rPr>
                <w:color w:val="000000"/>
                <w:lang w:val="en-CA"/>
              </w:rPr>
              <w:t xml:space="preserve"> Wiley.</w:t>
            </w:r>
          </w:p>
        </w:tc>
      </w:tr>
      <w:tr w:rsidR="00BF18CF" w:rsidRPr="000467B7" w14:paraId="1282F89D" w14:textId="77777777" w:rsidTr="00BF18CF">
        <w:tc>
          <w:tcPr>
            <w:tcW w:w="10690" w:type="dxa"/>
          </w:tcPr>
          <w:p w14:paraId="4D2B55AF" w14:textId="77777777" w:rsidR="00BF18CF" w:rsidRPr="009F53E4" w:rsidRDefault="00E51347">
            <w:pPr>
              <w:pBdr>
                <w:top w:val="nil"/>
                <w:left w:val="nil"/>
                <w:bottom w:val="nil"/>
                <w:right w:val="nil"/>
                <w:between w:val="nil"/>
              </w:pBdr>
              <w:spacing w:before="36" w:after="36"/>
              <w:rPr>
                <w:color w:val="000000"/>
                <w:lang w:val="en-US"/>
              </w:rPr>
            </w:pPr>
            <w:r>
              <w:rPr>
                <w:color w:val="000000"/>
              </w:rPr>
              <w:t xml:space="preserve">Temple, Robert, et Olivia Temple. </w:t>
            </w:r>
            <w:r w:rsidRPr="007C10F0">
              <w:rPr>
                <w:color w:val="000000"/>
                <w:lang w:val="en-CA"/>
              </w:rPr>
              <w:t xml:space="preserve">2009. </w:t>
            </w:r>
            <w:r w:rsidRPr="007C10F0">
              <w:rPr>
                <w:i/>
                <w:color w:val="000000"/>
                <w:lang w:val="en-CA"/>
              </w:rPr>
              <w:t>The Sphinx Mystery: The Forgotten Origins of the Sanctuary of Anubis</w:t>
            </w:r>
            <w:r w:rsidRPr="007C10F0">
              <w:rPr>
                <w:color w:val="000000"/>
                <w:lang w:val="en-CA"/>
              </w:rPr>
              <w:t xml:space="preserve">. </w:t>
            </w:r>
            <w:r w:rsidRPr="009F53E4">
              <w:rPr>
                <w:color w:val="000000"/>
                <w:lang w:val="en-US"/>
              </w:rPr>
              <w:t>Rochester, US-</w:t>
            </w:r>
            <w:proofErr w:type="gramStart"/>
            <w:r w:rsidRPr="009F53E4">
              <w:rPr>
                <w:color w:val="000000"/>
                <w:lang w:val="en-US"/>
              </w:rPr>
              <w:t>VT :</w:t>
            </w:r>
            <w:proofErr w:type="gramEnd"/>
            <w:r w:rsidRPr="009F53E4">
              <w:rPr>
                <w:color w:val="000000"/>
                <w:lang w:val="en-US"/>
              </w:rPr>
              <w:t xml:space="preserve"> Inner Traditions.</w:t>
            </w:r>
          </w:p>
        </w:tc>
      </w:tr>
      <w:tr w:rsidR="00BF18CF" w:rsidRPr="009F53E4" w14:paraId="1995DFFB" w14:textId="77777777" w:rsidTr="00BF18CF">
        <w:tc>
          <w:tcPr>
            <w:tcW w:w="10690" w:type="dxa"/>
          </w:tcPr>
          <w:p w14:paraId="458850F0" w14:textId="77777777" w:rsidR="00BF18CF" w:rsidRPr="00103833" w:rsidRDefault="00E51347">
            <w:pPr>
              <w:pBdr>
                <w:top w:val="nil"/>
                <w:left w:val="nil"/>
                <w:bottom w:val="nil"/>
                <w:right w:val="nil"/>
                <w:between w:val="nil"/>
              </w:pBdr>
              <w:spacing w:before="36" w:after="36"/>
              <w:rPr>
                <w:color w:val="000000"/>
              </w:rPr>
            </w:pPr>
            <w:r w:rsidRPr="005D545E">
              <w:rPr>
                <w:color w:val="000000"/>
                <w:lang w:val="en-CA"/>
              </w:rPr>
              <w:t xml:space="preserve">The Editors of Encyclopaedia Britannica. </w:t>
            </w:r>
            <w:r w:rsidRPr="007C10F0">
              <w:rPr>
                <w:color w:val="000000"/>
                <w:lang w:val="en-CA"/>
              </w:rPr>
              <w:t xml:space="preserve">1998. « Adoration of the shepherds ». </w:t>
            </w:r>
            <w:r w:rsidRPr="009F53E4">
              <w:rPr>
                <w:color w:val="000000"/>
                <w:lang w:val="en-CA"/>
              </w:rPr>
              <w:t xml:space="preserve">Dans </w:t>
            </w:r>
            <w:r w:rsidRPr="009F53E4">
              <w:rPr>
                <w:i/>
                <w:color w:val="000000"/>
                <w:lang w:val="en-CA"/>
              </w:rPr>
              <w:t>Encyclopedia Britannica</w:t>
            </w:r>
            <w:r w:rsidRPr="009F53E4">
              <w:rPr>
                <w:color w:val="000000"/>
                <w:lang w:val="en-CA"/>
              </w:rPr>
              <w:t xml:space="preserve">. </w:t>
            </w:r>
            <w:r w:rsidRPr="00103833">
              <w:rPr>
                <w:color w:val="000000"/>
              </w:rPr>
              <w:t xml:space="preserve">Consulté le 1998. </w:t>
            </w:r>
            <w:hyperlink r:id="rId488">
              <w:r w:rsidRPr="00103833">
                <w:rPr>
                  <w:color w:val="4F81BD"/>
                </w:rPr>
                <w:t>https://www.britannica.com/topic/adoration-of-the-shepherds-religious-motif</w:t>
              </w:r>
            </w:hyperlink>
            <w:r w:rsidRPr="00103833">
              <w:rPr>
                <w:color w:val="000000"/>
              </w:rPr>
              <w:t>.</w:t>
            </w:r>
          </w:p>
        </w:tc>
      </w:tr>
      <w:tr w:rsidR="00BF18CF" w:rsidRPr="000467B7" w14:paraId="13039BE7" w14:textId="77777777" w:rsidTr="00BF18CF">
        <w:tc>
          <w:tcPr>
            <w:tcW w:w="10690" w:type="dxa"/>
          </w:tcPr>
          <w:p w14:paraId="25BE5D07" w14:textId="77777777" w:rsidR="00BF18CF" w:rsidRPr="007C10F0" w:rsidRDefault="00E51347">
            <w:pPr>
              <w:pBdr>
                <w:top w:val="nil"/>
                <w:left w:val="nil"/>
                <w:bottom w:val="nil"/>
                <w:right w:val="nil"/>
                <w:between w:val="nil"/>
              </w:pBdr>
              <w:spacing w:before="36" w:after="36"/>
              <w:rPr>
                <w:color w:val="000000"/>
                <w:lang w:val="en-CA"/>
              </w:rPr>
            </w:pPr>
            <w:r w:rsidRPr="005D545E">
              <w:rPr>
                <w:i/>
                <w:color w:val="000000"/>
                <w:lang w:val="en-CA"/>
              </w:rPr>
              <w:t>The Oxford English Dictionary: 20 Volume Set</w:t>
            </w:r>
            <w:r w:rsidRPr="005D545E">
              <w:rPr>
                <w:color w:val="000000"/>
                <w:lang w:val="en-CA"/>
              </w:rPr>
              <w:t xml:space="preserve">. 1989. </w:t>
            </w:r>
            <w:r w:rsidRPr="007C10F0">
              <w:rPr>
                <w:color w:val="000000"/>
                <w:lang w:val="en-CA"/>
              </w:rPr>
              <w:t>Second Edition. Oxford, New York, US-</w:t>
            </w:r>
            <w:proofErr w:type="gramStart"/>
            <w:r w:rsidRPr="007C10F0">
              <w:rPr>
                <w:color w:val="000000"/>
                <w:lang w:val="en-CA"/>
              </w:rPr>
              <w:t>NY :</w:t>
            </w:r>
            <w:proofErr w:type="gramEnd"/>
            <w:r w:rsidRPr="007C10F0">
              <w:rPr>
                <w:color w:val="000000"/>
                <w:lang w:val="en-CA"/>
              </w:rPr>
              <w:t xml:space="preserve"> Oxford University Press.</w:t>
            </w:r>
          </w:p>
        </w:tc>
      </w:tr>
      <w:tr w:rsidR="00BF18CF" w14:paraId="40CF0F3F" w14:textId="77777777" w:rsidTr="00BF18CF">
        <w:tc>
          <w:tcPr>
            <w:tcW w:w="10690" w:type="dxa"/>
          </w:tcPr>
          <w:p w14:paraId="0C80B5E7"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The State Hermitage Museum. s. d. « St Peter and St Paul ». WEB. The State hermitage Museum. </w:t>
            </w:r>
            <w:r>
              <w:rPr>
                <w:color w:val="000000"/>
              </w:rPr>
              <w:t xml:space="preserve">Consulté le 22 avril 2021. </w:t>
            </w:r>
            <w:hyperlink r:id="rId489">
              <w:r>
                <w:rPr>
                  <w:color w:val="4F81BD"/>
                </w:rPr>
                <w:t>https://hermitagemuseum.org/wps/portal/hermitage/digital-collection/01.+Paintings/32730</w:t>
              </w:r>
            </w:hyperlink>
            <w:r>
              <w:rPr>
                <w:color w:val="000000"/>
              </w:rPr>
              <w:t>.</w:t>
            </w:r>
          </w:p>
        </w:tc>
      </w:tr>
      <w:tr w:rsidR="00BF18CF" w:rsidRPr="000467B7" w14:paraId="33CC2FC5" w14:textId="77777777" w:rsidTr="00BF18CF">
        <w:tc>
          <w:tcPr>
            <w:tcW w:w="10690" w:type="dxa"/>
          </w:tcPr>
          <w:p w14:paraId="6288C3CB" w14:textId="77777777" w:rsidR="00BF18CF" w:rsidRPr="005D545E" w:rsidRDefault="00E51347">
            <w:pPr>
              <w:pBdr>
                <w:top w:val="nil"/>
                <w:left w:val="nil"/>
                <w:bottom w:val="nil"/>
                <w:right w:val="nil"/>
                <w:between w:val="nil"/>
              </w:pBdr>
              <w:spacing w:before="36" w:after="36"/>
              <w:rPr>
                <w:color w:val="000000"/>
                <w:lang w:val="en-CA"/>
              </w:rPr>
            </w:pPr>
            <w:r w:rsidRPr="005D545E">
              <w:rPr>
                <w:color w:val="000000"/>
                <w:lang w:val="en-CA"/>
              </w:rPr>
              <w:t xml:space="preserve">Thieberger, F. 1947. </w:t>
            </w:r>
            <w:r w:rsidRPr="005D545E">
              <w:rPr>
                <w:i/>
                <w:color w:val="000000"/>
                <w:lang w:val="en-CA"/>
              </w:rPr>
              <w:t>King Solomon</w:t>
            </w:r>
            <w:r w:rsidRPr="005D545E">
              <w:rPr>
                <w:color w:val="000000"/>
                <w:lang w:val="en-CA"/>
              </w:rPr>
              <w:t>. Oxford.</w:t>
            </w:r>
          </w:p>
        </w:tc>
      </w:tr>
      <w:tr w:rsidR="00BF18CF" w:rsidRPr="009F53E4" w14:paraId="3A85A0A8" w14:textId="77777777" w:rsidTr="00BF18CF">
        <w:tc>
          <w:tcPr>
            <w:tcW w:w="10690" w:type="dxa"/>
          </w:tcPr>
          <w:p w14:paraId="3B51570F"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Thomas, John. 1972. </w:t>
            </w:r>
            <w:r w:rsidRPr="007C10F0">
              <w:rPr>
                <w:i/>
                <w:color w:val="000000"/>
                <w:lang w:val="en-CA"/>
              </w:rPr>
              <w:t>The Tay Bridge disaster: new light on the 1879 tragedy</w:t>
            </w:r>
            <w:r w:rsidRPr="007C10F0">
              <w:rPr>
                <w:color w:val="000000"/>
                <w:lang w:val="en-CA"/>
              </w:rPr>
              <w:t xml:space="preserve">. </w:t>
            </w:r>
            <w:r w:rsidRPr="009F53E4">
              <w:rPr>
                <w:color w:val="000000"/>
                <w:lang w:val="en-US"/>
              </w:rPr>
              <w:t>Douglas David &amp; Charles.</w:t>
            </w:r>
          </w:p>
        </w:tc>
      </w:tr>
      <w:tr w:rsidR="00BF18CF" w:rsidRPr="000467B7" w14:paraId="180F5DA0" w14:textId="77777777" w:rsidTr="00BF18CF">
        <w:tc>
          <w:tcPr>
            <w:tcW w:w="10690" w:type="dxa"/>
          </w:tcPr>
          <w:p w14:paraId="33712E70" w14:textId="77777777" w:rsidR="00BF18CF" w:rsidRPr="007C10F0" w:rsidRDefault="00E51347">
            <w:pPr>
              <w:pBdr>
                <w:top w:val="nil"/>
                <w:left w:val="nil"/>
                <w:bottom w:val="nil"/>
                <w:right w:val="nil"/>
                <w:between w:val="nil"/>
              </w:pBdr>
              <w:spacing w:before="36" w:after="36"/>
              <w:rPr>
                <w:color w:val="000000"/>
                <w:lang w:val="en-CA"/>
              </w:rPr>
            </w:pPr>
            <w:r w:rsidRPr="007C10F0">
              <w:rPr>
                <w:color w:val="000000"/>
                <w:lang w:val="en-CA"/>
              </w:rPr>
              <w:t xml:space="preserve">Tingay, Paul. 2008. </w:t>
            </w:r>
            <w:r w:rsidRPr="007C10F0">
              <w:rPr>
                <w:i/>
                <w:color w:val="000000"/>
                <w:lang w:val="en-CA"/>
              </w:rPr>
              <w:t>Vienna</w:t>
            </w:r>
            <w:r w:rsidRPr="007C10F0">
              <w:rPr>
                <w:color w:val="000000"/>
                <w:lang w:val="en-CA"/>
              </w:rPr>
              <w:t>. New Holland Publishers.</w:t>
            </w:r>
          </w:p>
        </w:tc>
      </w:tr>
      <w:tr w:rsidR="00BF18CF" w14:paraId="08A9DA70" w14:textId="77777777" w:rsidTr="00BF18CF">
        <w:tc>
          <w:tcPr>
            <w:tcW w:w="10690" w:type="dxa"/>
          </w:tcPr>
          <w:p w14:paraId="20877BEC" w14:textId="77777777" w:rsidR="00BF18CF" w:rsidRDefault="00E51347">
            <w:pPr>
              <w:pBdr>
                <w:top w:val="nil"/>
                <w:left w:val="nil"/>
                <w:bottom w:val="nil"/>
                <w:right w:val="nil"/>
                <w:between w:val="nil"/>
              </w:pBdr>
              <w:spacing w:before="36" w:after="36"/>
              <w:rPr>
                <w:color w:val="000000"/>
              </w:rPr>
            </w:pPr>
            <w:r>
              <w:rPr>
                <w:color w:val="000000"/>
              </w:rPr>
              <w:t xml:space="preserve">Tissandier, Gaston. 1889. </w:t>
            </w:r>
            <w:r>
              <w:rPr>
                <w:i/>
                <w:color w:val="000000"/>
              </w:rPr>
              <w:t>La tour Eiffel de 300 mètres: description du monument, sa construction, ses organes mécaniques, son but et son utilité</w:t>
            </w:r>
            <w:r>
              <w:rPr>
                <w:color w:val="000000"/>
              </w:rPr>
              <w:t>. Paris, FR-75 : G. Masson.</w:t>
            </w:r>
          </w:p>
        </w:tc>
      </w:tr>
      <w:tr w:rsidR="00BF18CF" w:rsidRPr="000467B7" w14:paraId="30931B01" w14:textId="77777777" w:rsidTr="00BF18CF">
        <w:tc>
          <w:tcPr>
            <w:tcW w:w="10690" w:type="dxa"/>
          </w:tcPr>
          <w:p w14:paraId="772DBC06" w14:textId="77777777" w:rsidR="00BF18CF" w:rsidRPr="005D545E" w:rsidRDefault="00E51347">
            <w:pPr>
              <w:pBdr>
                <w:top w:val="nil"/>
                <w:left w:val="nil"/>
                <w:bottom w:val="nil"/>
                <w:right w:val="nil"/>
                <w:between w:val="nil"/>
              </w:pBdr>
              <w:spacing w:before="36" w:after="36"/>
              <w:rPr>
                <w:color w:val="000000"/>
                <w:lang w:val="en-CA"/>
              </w:rPr>
            </w:pPr>
            <w:r w:rsidRPr="005D545E">
              <w:rPr>
                <w:color w:val="000000"/>
                <w:lang w:val="en-CA"/>
              </w:rPr>
              <w:t xml:space="preserve">Trell, Bluma L. 1945. « The temple of Artemis at Ephesos ». </w:t>
            </w:r>
            <w:r w:rsidRPr="005D545E">
              <w:rPr>
                <w:i/>
                <w:color w:val="000000"/>
                <w:lang w:val="en-CA"/>
              </w:rPr>
              <w:t>Numismatic Notes and Monographs</w:t>
            </w:r>
            <w:r w:rsidRPr="005D545E">
              <w:rPr>
                <w:color w:val="000000"/>
                <w:lang w:val="en-CA"/>
              </w:rPr>
              <w:t>, n</w:t>
            </w:r>
            <w:r w:rsidRPr="005D545E">
              <w:rPr>
                <w:color w:val="000000"/>
                <w:vertAlign w:val="superscript"/>
                <w:lang w:val="en-CA"/>
              </w:rPr>
              <w:t>o</w:t>
            </w:r>
            <w:r w:rsidRPr="005D545E">
              <w:rPr>
                <w:color w:val="000000"/>
                <w:lang w:val="en-CA"/>
              </w:rPr>
              <w:t xml:space="preserve"> </w:t>
            </w:r>
            <w:proofErr w:type="gramStart"/>
            <w:r w:rsidRPr="005D545E">
              <w:rPr>
                <w:color w:val="000000"/>
                <w:lang w:val="en-CA"/>
              </w:rPr>
              <w:t>107 :</w:t>
            </w:r>
            <w:proofErr w:type="gramEnd"/>
            <w:r w:rsidRPr="005D545E">
              <w:rPr>
                <w:color w:val="000000"/>
                <w:lang w:val="en-CA"/>
              </w:rPr>
              <w:t xml:space="preserve"> ii‑71.</w:t>
            </w:r>
          </w:p>
        </w:tc>
      </w:tr>
      <w:tr w:rsidR="00BF18CF" w:rsidRPr="009F53E4" w14:paraId="40E947CE" w14:textId="77777777" w:rsidTr="00BF18CF">
        <w:tc>
          <w:tcPr>
            <w:tcW w:w="10690" w:type="dxa"/>
          </w:tcPr>
          <w:p w14:paraId="167FD3B3"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Tucker, Paul. 1984. « The first Impressionist exhibition and Monet’s Impression, Sunrise: a tale of timing, commerce and patriotism ». </w:t>
            </w:r>
            <w:r w:rsidRPr="009F53E4">
              <w:rPr>
                <w:i/>
                <w:color w:val="000000"/>
                <w:lang w:val="en-US"/>
              </w:rPr>
              <w:t>Art History</w:t>
            </w:r>
            <w:r w:rsidRPr="009F53E4">
              <w:rPr>
                <w:color w:val="000000"/>
                <w:lang w:val="en-US"/>
              </w:rPr>
              <w:t xml:space="preserve"> 7 (4).</w:t>
            </w:r>
          </w:p>
        </w:tc>
      </w:tr>
      <w:tr w:rsidR="00BF18CF" w14:paraId="1E4BB3C9" w14:textId="77777777" w:rsidTr="00BF18CF">
        <w:tc>
          <w:tcPr>
            <w:tcW w:w="10690" w:type="dxa"/>
          </w:tcPr>
          <w:p w14:paraId="50747224" w14:textId="77777777" w:rsidR="00BF18CF" w:rsidRDefault="00E51347">
            <w:pPr>
              <w:pBdr>
                <w:top w:val="nil"/>
                <w:left w:val="nil"/>
                <w:bottom w:val="nil"/>
                <w:right w:val="nil"/>
                <w:between w:val="nil"/>
              </w:pBdr>
              <w:spacing w:before="36" w:after="36"/>
              <w:rPr>
                <w:color w:val="000000"/>
              </w:rPr>
            </w:pPr>
            <w:r w:rsidRPr="007C10F0">
              <w:rPr>
                <w:color w:val="000000"/>
                <w:lang w:val="en-CA"/>
              </w:rPr>
              <w:t xml:space="preserve">UN Security Council. 2002. « Resolution 1441 ». </w:t>
            </w:r>
            <w:r w:rsidRPr="005D545E">
              <w:rPr>
                <w:color w:val="000000"/>
                <w:lang w:val="en-CA"/>
              </w:rPr>
              <w:t xml:space="preserve">Resolution. United Nations Security Council. </w:t>
            </w:r>
            <w:r>
              <w:rPr>
                <w:color w:val="000000"/>
              </w:rPr>
              <w:t xml:space="preserve">Consulté le 5 février 2021. </w:t>
            </w:r>
            <w:hyperlink r:id="rId490">
              <w:r>
                <w:rPr>
                  <w:color w:val="4F81BD"/>
                </w:rPr>
                <w:t>http://digitallibrary.un.org/record/478123</w:t>
              </w:r>
            </w:hyperlink>
            <w:r>
              <w:rPr>
                <w:color w:val="000000"/>
              </w:rPr>
              <w:t>.</w:t>
            </w:r>
          </w:p>
        </w:tc>
      </w:tr>
      <w:tr w:rsidR="00BF18CF" w:rsidRPr="000467B7" w14:paraId="0F28A689" w14:textId="77777777" w:rsidTr="00BF18CF">
        <w:tc>
          <w:tcPr>
            <w:tcW w:w="10690" w:type="dxa"/>
          </w:tcPr>
          <w:p w14:paraId="593CDE4A" w14:textId="77777777" w:rsidR="00BF18CF" w:rsidRPr="005D545E" w:rsidRDefault="00E51347">
            <w:pPr>
              <w:pBdr>
                <w:top w:val="nil"/>
                <w:left w:val="nil"/>
                <w:bottom w:val="nil"/>
                <w:right w:val="nil"/>
                <w:between w:val="nil"/>
              </w:pBdr>
              <w:spacing w:before="36" w:after="36"/>
              <w:rPr>
                <w:color w:val="000000"/>
                <w:lang w:val="en-CA"/>
              </w:rPr>
            </w:pPr>
            <w:r w:rsidRPr="007C10F0">
              <w:rPr>
                <w:color w:val="000000"/>
                <w:lang w:val="en-CA"/>
              </w:rPr>
              <w:t xml:space="preserve">Unger, Harlow Giles. 2015. </w:t>
            </w:r>
            <w:r w:rsidRPr="007C10F0">
              <w:rPr>
                <w:i/>
                <w:color w:val="000000"/>
                <w:lang w:val="en-CA"/>
              </w:rPr>
              <w:t>Mr. President George Washington and the Making of the Nation’s Highest Office.</w:t>
            </w:r>
            <w:r w:rsidRPr="007C10F0">
              <w:rPr>
                <w:color w:val="000000"/>
                <w:lang w:val="en-CA"/>
              </w:rPr>
              <w:t xml:space="preserve"> </w:t>
            </w:r>
            <w:r w:rsidRPr="005D545E">
              <w:rPr>
                <w:color w:val="000000"/>
                <w:lang w:val="en-CA"/>
              </w:rPr>
              <w:t>Cambridge; New York, US-</w:t>
            </w:r>
            <w:proofErr w:type="gramStart"/>
            <w:r w:rsidRPr="005D545E">
              <w:rPr>
                <w:color w:val="000000"/>
                <w:lang w:val="en-CA"/>
              </w:rPr>
              <w:t>NY :</w:t>
            </w:r>
            <w:proofErr w:type="gramEnd"/>
            <w:r w:rsidRPr="005D545E">
              <w:rPr>
                <w:color w:val="000000"/>
                <w:lang w:val="en-CA"/>
              </w:rPr>
              <w:t xml:space="preserve"> Da Capo Press, Incorporated Perseus Books Group [Distributor.</w:t>
            </w:r>
          </w:p>
        </w:tc>
      </w:tr>
      <w:tr w:rsidR="00BF18CF" w14:paraId="2909C00F" w14:textId="77777777" w:rsidTr="00BF18CF">
        <w:tc>
          <w:tcPr>
            <w:tcW w:w="10690" w:type="dxa"/>
          </w:tcPr>
          <w:p w14:paraId="25898D98"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University of Ljubljana. s. d. « Department of Library and Information Science and Book Studies, University of Ljubljana ». </w:t>
            </w:r>
            <w:r>
              <w:rPr>
                <w:color w:val="000000"/>
              </w:rPr>
              <w:t xml:space="preserve">Culture.si. Consulté le 6 février 2021. </w:t>
            </w:r>
            <w:hyperlink r:id="rId491">
              <w:r>
                <w:rPr>
                  <w:color w:val="4F81BD"/>
                </w:rPr>
                <w:t>https://www.culture.si/en/Department_of_Library_and_Information_Science_and_Book_Studies,University_of_Ljubljana</w:t>
              </w:r>
            </w:hyperlink>
            <w:r>
              <w:rPr>
                <w:color w:val="000000"/>
              </w:rPr>
              <w:t>.</w:t>
            </w:r>
          </w:p>
        </w:tc>
      </w:tr>
      <w:tr w:rsidR="00BF18CF" w14:paraId="574D4D97" w14:textId="77777777" w:rsidTr="00BF18CF">
        <w:tc>
          <w:tcPr>
            <w:tcW w:w="10690" w:type="dxa"/>
          </w:tcPr>
          <w:p w14:paraId="7619CFFF"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 Venetian Walls of Heraklion ». 2020. YouInGreece.com. 2020. </w:t>
            </w:r>
            <w:r w:rsidR="000467B7">
              <w:fldChar w:fldCharType="begin"/>
            </w:r>
            <w:r w:rsidR="000467B7" w:rsidRPr="000467B7">
              <w:rPr>
                <w:lang w:val="en-CA"/>
              </w:rPr>
              <w:instrText>HYPERLINK "https://youingreece.com/heraklion/venetian-walls" \h</w:instrText>
            </w:r>
            <w:r w:rsidR="000467B7">
              <w:fldChar w:fldCharType="separate"/>
            </w:r>
            <w:r>
              <w:rPr>
                <w:color w:val="4F81BD"/>
              </w:rPr>
              <w:t>https://youingreece.com/heraklion/venetian-walls</w:t>
            </w:r>
            <w:r w:rsidR="000467B7">
              <w:rPr>
                <w:color w:val="4F81BD"/>
              </w:rPr>
              <w:fldChar w:fldCharType="end"/>
            </w:r>
            <w:r>
              <w:rPr>
                <w:color w:val="000000"/>
              </w:rPr>
              <w:t>.</w:t>
            </w:r>
          </w:p>
        </w:tc>
      </w:tr>
      <w:tr w:rsidR="00BF18CF" w:rsidRPr="000467B7" w14:paraId="4D7D30A5" w14:textId="77777777" w:rsidTr="00BF18CF">
        <w:tc>
          <w:tcPr>
            <w:tcW w:w="10690" w:type="dxa"/>
          </w:tcPr>
          <w:p w14:paraId="4BA67FAF" w14:textId="77777777" w:rsidR="00BF18CF" w:rsidRPr="005D545E" w:rsidRDefault="00E51347">
            <w:pPr>
              <w:pBdr>
                <w:top w:val="nil"/>
                <w:left w:val="nil"/>
                <w:bottom w:val="nil"/>
                <w:right w:val="nil"/>
                <w:between w:val="nil"/>
              </w:pBdr>
              <w:spacing w:before="36" w:after="36"/>
              <w:rPr>
                <w:color w:val="000000"/>
                <w:lang w:val="en-CA"/>
              </w:rPr>
            </w:pPr>
            <w:r w:rsidRPr="005D545E">
              <w:rPr>
                <w:color w:val="000000"/>
                <w:lang w:val="en-CA"/>
              </w:rPr>
              <w:lastRenderedPageBreak/>
              <w:t xml:space="preserve">Walker, Mike, Sigfus Johnsen, Sune Olander Rasmussen, Trevor Popp, Jørgen-Peder Steffensen, Phil Gibbard, Wim Hoek, John Lowe, John Andrews, et Svante Björck. </w:t>
            </w:r>
            <w:r w:rsidRPr="007C10F0">
              <w:rPr>
                <w:color w:val="000000"/>
                <w:lang w:val="en-CA"/>
              </w:rPr>
              <w:t xml:space="preserve">2009. « Formal definition and dating of the GSSP (Global Stratotype Section and Point) for the base of the Holocene using the Greenland NGRIP ice </w:t>
            </w:r>
            <w:proofErr w:type="gramStart"/>
            <w:r w:rsidRPr="007C10F0">
              <w:rPr>
                <w:color w:val="000000"/>
                <w:lang w:val="en-CA"/>
              </w:rPr>
              <w:t>core, and</w:t>
            </w:r>
            <w:proofErr w:type="gramEnd"/>
            <w:r w:rsidRPr="007C10F0">
              <w:rPr>
                <w:color w:val="000000"/>
                <w:lang w:val="en-CA"/>
              </w:rPr>
              <w:t xml:space="preserve"> selected auxiliary records ». </w:t>
            </w:r>
            <w:r w:rsidRPr="005D545E">
              <w:rPr>
                <w:i/>
                <w:color w:val="000000"/>
                <w:lang w:val="en-CA"/>
              </w:rPr>
              <w:t>Journal of Quaternary Science: Published for the Quaternary Research Association</w:t>
            </w:r>
            <w:r w:rsidRPr="005D545E">
              <w:rPr>
                <w:color w:val="000000"/>
                <w:lang w:val="en-CA"/>
              </w:rPr>
              <w:t xml:space="preserve"> 24 (1</w:t>
            </w:r>
            <w:proofErr w:type="gramStart"/>
            <w:r w:rsidRPr="005D545E">
              <w:rPr>
                <w:color w:val="000000"/>
                <w:lang w:val="en-CA"/>
              </w:rPr>
              <w:t>) :</w:t>
            </w:r>
            <w:proofErr w:type="gramEnd"/>
            <w:r w:rsidRPr="005D545E">
              <w:rPr>
                <w:color w:val="000000"/>
                <w:lang w:val="en-CA"/>
              </w:rPr>
              <w:t xml:space="preserve"> 3‑17.</w:t>
            </w:r>
          </w:p>
        </w:tc>
      </w:tr>
      <w:tr w:rsidR="00BF18CF" w:rsidRPr="000467B7" w14:paraId="1E38AE86" w14:textId="77777777" w:rsidTr="00BF18CF">
        <w:tc>
          <w:tcPr>
            <w:tcW w:w="10690" w:type="dxa"/>
          </w:tcPr>
          <w:p w14:paraId="56BFFC23" w14:textId="77777777" w:rsidR="00BF18CF" w:rsidRPr="005D545E" w:rsidRDefault="00E51347">
            <w:pPr>
              <w:pBdr>
                <w:top w:val="nil"/>
                <w:left w:val="nil"/>
                <w:bottom w:val="nil"/>
                <w:right w:val="nil"/>
                <w:between w:val="nil"/>
              </w:pBdr>
              <w:spacing w:before="36" w:after="36"/>
              <w:rPr>
                <w:color w:val="000000"/>
                <w:lang w:val="en-CA"/>
              </w:rPr>
            </w:pPr>
            <w:r w:rsidRPr="007C10F0">
              <w:rPr>
                <w:color w:val="000000"/>
                <w:lang w:val="en-CA"/>
              </w:rPr>
              <w:t xml:space="preserve">Walker, Susan. 2004. </w:t>
            </w:r>
            <w:r w:rsidRPr="007C10F0">
              <w:rPr>
                <w:i/>
                <w:color w:val="000000"/>
                <w:lang w:val="en-CA"/>
              </w:rPr>
              <w:t>The Portland vase</w:t>
            </w:r>
            <w:r w:rsidRPr="007C10F0">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British Museum Press.</w:t>
            </w:r>
          </w:p>
        </w:tc>
      </w:tr>
      <w:tr w:rsidR="00BF18CF" w:rsidRPr="009F53E4" w14:paraId="385199D3" w14:textId="77777777" w:rsidTr="00BF18CF">
        <w:tc>
          <w:tcPr>
            <w:tcW w:w="10690" w:type="dxa"/>
          </w:tcPr>
          <w:p w14:paraId="7F8BFC0E"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Watrous, L. Vance, Donald Haggis, Krzysztof Nowicki, Natalia Vogeikoff-Brogan, et Maryanne Schultz. 2012. </w:t>
            </w:r>
            <w:r w:rsidRPr="007C10F0">
              <w:rPr>
                <w:i/>
                <w:color w:val="000000"/>
                <w:lang w:val="en-CA"/>
              </w:rPr>
              <w:t>Archaeological Survey of the Gournia Landscape: A Regional History of the Mirabello Bay, Crete, in Antiquity</w:t>
            </w:r>
            <w:r w:rsidRPr="007C10F0">
              <w:rPr>
                <w:color w:val="000000"/>
                <w:lang w:val="en-CA"/>
              </w:rPr>
              <w:t xml:space="preserve">. </w:t>
            </w:r>
            <w:r w:rsidRPr="009F53E4">
              <w:rPr>
                <w:color w:val="000000"/>
                <w:lang w:val="en-US"/>
              </w:rPr>
              <w:t>Vol. 37. INSTAP Academic Press (Institute for Aegean Prehistory).</w:t>
            </w:r>
          </w:p>
        </w:tc>
      </w:tr>
      <w:tr w:rsidR="00BF18CF" w:rsidRPr="000467B7" w14:paraId="311D6C72" w14:textId="77777777" w:rsidTr="00BF18CF">
        <w:tc>
          <w:tcPr>
            <w:tcW w:w="10690" w:type="dxa"/>
          </w:tcPr>
          <w:p w14:paraId="2D870D7E" w14:textId="77777777" w:rsidR="00BF18CF" w:rsidRPr="005D545E" w:rsidRDefault="00E51347">
            <w:pPr>
              <w:pBdr>
                <w:top w:val="nil"/>
                <w:left w:val="nil"/>
                <w:bottom w:val="nil"/>
                <w:right w:val="nil"/>
                <w:between w:val="nil"/>
              </w:pBdr>
              <w:spacing w:before="36" w:after="36"/>
              <w:rPr>
                <w:color w:val="000000"/>
                <w:lang w:val="en-CA"/>
              </w:rPr>
            </w:pPr>
            <w:r w:rsidRPr="007C10F0">
              <w:rPr>
                <w:color w:val="000000"/>
                <w:lang w:val="en-CA"/>
              </w:rPr>
              <w:t xml:space="preserve">Watson, Michael John. 1990. « Cluster compounds of gold and the platinum metals. » </w:t>
            </w:r>
            <w:r w:rsidRPr="005D545E">
              <w:rPr>
                <w:color w:val="000000"/>
                <w:lang w:val="en-CA"/>
              </w:rPr>
              <w:t xml:space="preserve">Ph.D., University of Oxford. </w:t>
            </w:r>
            <w:r w:rsidR="000467B7">
              <w:fldChar w:fldCharType="begin"/>
            </w:r>
            <w:r w:rsidR="000467B7" w:rsidRPr="000467B7">
              <w:rPr>
                <w:lang w:val="en-CA"/>
              </w:rPr>
              <w:instrText>HYPERLINK "https://ethos.bl.uk/OrderDetails.do?uin=uk.bl.ethos.279996" \h</w:instrText>
            </w:r>
            <w:r w:rsidR="000467B7">
              <w:fldChar w:fldCharType="separate"/>
            </w:r>
            <w:r w:rsidRPr="005D545E">
              <w:rPr>
                <w:color w:val="4F81BD"/>
                <w:lang w:val="en-CA"/>
              </w:rPr>
              <w:t>https://ethos.bl.uk/OrderDetails.do?uin=uk.bl.ethos.279996</w:t>
            </w:r>
            <w:r w:rsidR="000467B7">
              <w:rPr>
                <w:color w:val="4F81BD"/>
                <w:lang w:val="en-CA"/>
              </w:rPr>
              <w:fldChar w:fldCharType="end"/>
            </w:r>
            <w:r w:rsidRPr="005D545E">
              <w:rPr>
                <w:color w:val="000000"/>
                <w:lang w:val="en-CA"/>
              </w:rPr>
              <w:t>.</w:t>
            </w:r>
          </w:p>
        </w:tc>
      </w:tr>
      <w:tr w:rsidR="00BF18CF" w14:paraId="4334EF10" w14:textId="77777777" w:rsidTr="00BF18CF">
        <w:tc>
          <w:tcPr>
            <w:tcW w:w="10690" w:type="dxa"/>
          </w:tcPr>
          <w:p w14:paraId="50D62ACE" w14:textId="77777777" w:rsidR="00BF18CF" w:rsidRDefault="00E51347">
            <w:pPr>
              <w:pBdr>
                <w:top w:val="nil"/>
                <w:left w:val="nil"/>
                <w:bottom w:val="nil"/>
                <w:right w:val="nil"/>
                <w:between w:val="nil"/>
              </w:pBdr>
              <w:spacing w:before="36" w:after="36"/>
              <w:rPr>
                <w:color w:val="000000"/>
              </w:rPr>
            </w:pPr>
            <w:r w:rsidRPr="007C10F0">
              <w:rPr>
                <w:color w:val="000000"/>
                <w:lang w:val="en-CA"/>
              </w:rPr>
              <w:t xml:space="preserve">Weber, Kira. 2012. </w:t>
            </w:r>
            <w:r w:rsidRPr="007C10F0">
              <w:rPr>
                <w:i/>
                <w:color w:val="000000"/>
                <w:lang w:val="en-CA"/>
              </w:rPr>
              <w:t xml:space="preserve">Kira Weber Pastels 2003-2011. </w:t>
            </w:r>
            <w:r>
              <w:rPr>
                <w:i/>
                <w:color w:val="000000"/>
              </w:rPr>
              <w:t>Exposition 15 mars - 30 avril 2012.</w:t>
            </w:r>
            <w:r>
              <w:rPr>
                <w:color w:val="000000"/>
              </w:rPr>
              <w:t xml:space="preserve"> Genève : Patrick Cramer.</w:t>
            </w:r>
          </w:p>
        </w:tc>
      </w:tr>
      <w:tr w:rsidR="00BF18CF" w14:paraId="5AEFFAA7" w14:textId="77777777" w:rsidTr="00BF18CF">
        <w:tc>
          <w:tcPr>
            <w:tcW w:w="10690" w:type="dxa"/>
          </w:tcPr>
          <w:p w14:paraId="60C40490"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Wheat, C. 2005. « The Real Queen(s) of Crime ». </w:t>
            </w:r>
            <w:r w:rsidRPr="005D545E">
              <w:rPr>
                <w:i/>
                <w:color w:val="000000"/>
                <w:lang w:val="en-CA"/>
              </w:rPr>
              <w:t>CLUES: A Journal of Detection</w:t>
            </w:r>
            <w:r w:rsidRPr="005D545E">
              <w:rPr>
                <w:color w:val="000000"/>
                <w:lang w:val="en-CA"/>
              </w:rPr>
              <w:t xml:space="preserve"> </w:t>
            </w:r>
            <w:proofErr w:type="gramStart"/>
            <w:r w:rsidRPr="005D545E">
              <w:rPr>
                <w:color w:val="000000"/>
                <w:lang w:val="en-CA"/>
              </w:rPr>
              <w:t>23 :</w:t>
            </w:r>
            <w:proofErr w:type="gramEnd"/>
            <w:r w:rsidRPr="005D545E">
              <w:rPr>
                <w:color w:val="000000"/>
                <w:lang w:val="en-CA"/>
              </w:rPr>
              <w:t xml:space="preserve"> 86‑90. </w:t>
            </w:r>
            <w:hyperlink r:id="rId492">
              <w:r>
                <w:rPr>
                  <w:color w:val="4F81BD"/>
                </w:rPr>
                <w:t>https://doi.org/doi:10.3200/CLUS.23.4.87-90</w:t>
              </w:r>
            </w:hyperlink>
            <w:r>
              <w:rPr>
                <w:color w:val="000000"/>
              </w:rPr>
              <w:t>.</w:t>
            </w:r>
          </w:p>
        </w:tc>
      </w:tr>
      <w:tr w:rsidR="00BF18CF" w14:paraId="302E2ABE" w14:textId="77777777" w:rsidTr="00BF18CF">
        <w:tc>
          <w:tcPr>
            <w:tcW w:w="10690" w:type="dxa"/>
          </w:tcPr>
          <w:p w14:paraId="436FB98D"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Whittington, H. 1964. </w:t>
            </w:r>
            <w:r w:rsidRPr="005D545E">
              <w:rPr>
                <w:i/>
                <w:color w:val="000000"/>
                <w:lang w:val="en-CA"/>
              </w:rPr>
              <w:t>The fall of the Roman Empire</w:t>
            </w:r>
            <w:r w:rsidRPr="005D545E">
              <w:rPr>
                <w:color w:val="000000"/>
                <w:lang w:val="en-CA"/>
              </w:rPr>
              <w:t xml:space="preserve">. </w:t>
            </w:r>
            <w:r>
              <w:rPr>
                <w:color w:val="000000"/>
              </w:rPr>
              <w:t>Greenwich, US-CT : Fawcett.</w:t>
            </w:r>
          </w:p>
        </w:tc>
      </w:tr>
      <w:tr w:rsidR="00BF18CF" w:rsidRPr="000467B7" w14:paraId="59FCBB33" w14:textId="77777777" w:rsidTr="00BF18CF">
        <w:tc>
          <w:tcPr>
            <w:tcW w:w="10690" w:type="dxa"/>
          </w:tcPr>
          <w:p w14:paraId="762A90AA"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Wicks, Robert. 2014. </w:t>
            </w:r>
            <w:r w:rsidRPr="007C10F0">
              <w:rPr>
                <w:i/>
                <w:color w:val="000000"/>
                <w:lang w:val="en-CA"/>
              </w:rPr>
              <w:t xml:space="preserve">Heathrow Airport Manual: Designing, </w:t>
            </w:r>
            <w:proofErr w:type="gramStart"/>
            <w:r w:rsidRPr="007C10F0">
              <w:rPr>
                <w:i/>
                <w:color w:val="000000"/>
                <w:lang w:val="en-CA"/>
              </w:rPr>
              <w:t>building</w:t>
            </w:r>
            <w:proofErr w:type="gramEnd"/>
            <w:r w:rsidRPr="007C10F0">
              <w:rPr>
                <w:i/>
                <w:color w:val="000000"/>
                <w:lang w:val="en-CA"/>
              </w:rPr>
              <w:t xml:space="preserve"> and operating the world’s busiest international airport (Haynes Manual) (Airfield Operations Manual) by Robert Wicks (2014) Hardcover</w:t>
            </w:r>
            <w:r w:rsidRPr="007C10F0">
              <w:rPr>
                <w:color w:val="000000"/>
                <w:lang w:val="en-CA"/>
              </w:rPr>
              <w:t xml:space="preserve">. </w:t>
            </w:r>
            <w:proofErr w:type="gramStart"/>
            <w:r w:rsidRPr="009F53E4">
              <w:rPr>
                <w:color w:val="000000"/>
                <w:lang w:val="en-US"/>
              </w:rPr>
              <w:t>GB :</w:t>
            </w:r>
            <w:proofErr w:type="gramEnd"/>
            <w:r w:rsidRPr="009F53E4">
              <w:rPr>
                <w:color w:val="000000"/>
                <w:lang w:val="en-US"/>
              </w:rPr>
              <w:t xml:space="preserve"> Haynes Publishing.</w:t>
            </w:r>
          </w:p>
        </w:tc>
      </w:tr>
      <w:tr w:rsidR="00BF18CF" w14:paraId="3ECA004E" w14:textId="77777777" w:rsidTr="00BF18CF">
        <w:tc>
          <w:tcPr>
            <w:tcW w:w="10690" w:type="dxa"/>
          </w:tcPr>
          <w:p w14:paraId="4FA66DAA" w14:textId="77777777" w:rsidR="00BF18CF" w:rsidRDefault="00E51347">
            <w:pPr>
              <w:pBdr>
                <w:top w:val="nil"/>
                <w:left w:val="nil"/>
                <w:bottom w:val="nil"/>
                <w:right w:val="nil"/>
                <w:between w:val="nil"/>
              </w:pBdr>
              <w:spacing w:before="36" w:after="36"/>
              <w:rPr>
                <w:color w:val="000000"/>
              </w:rPr>
            </w:pPr>
            <w:r w:rsidRPr="007C10F0">
              <w:rPr>
                <w:color w:val="000000"/>
                <w:lang w:val="en-CA"/>
              </w:rPr>
              <w:t xml:space="preserve">Wiencke, Matthew. 1998. « Johann Winckelmann | German art historian ». </w:t>
            </w:r>
            <w:r>
              <w:rPr>
                <w:color w:val="000000"/>
              </w:rPr>
              <w:t xml:space="preserve">Dans </w:t>
            </w:r>
            <w:r>
              <w:rPr>
                <w:i/>
                <w:color w:val="000000"/>
              </w:rPr>
              <w:t>Encyclopedia Britannica</w:t>
            </w:r>
            <w:r>
              <w:rPr>
                <w:color w:val="000000"/>
              </w:rPr>
              <w:t xml:space="preserve">. Consulté le 1998. </w:t>
            </w:r>
            <w:hyperlink r:id="rId493">
              <w:r>
                <w:rPr>
                  <w:color w:val="4F81BD"/>
                </w:rPr>
                <w:t>https://www.britannica.com/biography/Johann-Joachim-Winckelmann</w:t>
              </w:r>
            </w:hyperlink>
            <w:r>
              <w:rPr>
                <w:color w:val="000000"/>
              </w:rPr>
              <w:t>.</w:t>
            </w:r>
          </w:p>
        </w:tc>
      </w:tr>
      <w:tr w:rsidR="00BF18CF" w14:paraId="038A0F40" w14:textId="77777777" w:rsidTr="00BF18CF">
        <w:tc>
          <w:tcPr>
            <w:tcW w:w="10690" w:type="dxa"/>
          </w:tcPr>
          <w:p w14:paraId="667A793D" w14:textId="77777777" w:rsidR="00BF18CF" w:rsidRDefault="00E51347">
            <w:pPr>
              <w:pBdr>
                <w:top w:val="nil"/>
                <w:left w:val="nil"/>
                <w:bottom w:val="nil"/>
                <w:right w:val="nil"/>
                <w:between w:val="nil"/>
              </w:pBdr>
              <w:spacing w:before="36" w:after="36"/>
              <w:rPr>
                <w:color w:val="000000"/>
              </w:rPr>
            </w:pPr>
            <w:r w:rsidRPr="007C10F0">
              <w:rPr>
                <w:color w:val="000000"/>
                <w:lang w:val="en-CA"/>
              </w:rPr>
              <w:t xml:space="preserve">Wikipedia. 2021. « Et in Arcadia ego ». </w:t>
            </w:r>
            <w:r>
              <w:rPr>
                <w:color w:val="000000"/>
              </w:rPr>
              <w:t xml:space="preserve">Dans </w:t>
            </w:r>
            <w:r>
              <w:rPr>
                <w:i/>
                <w:color w:val="000000"/>
              </w:rPr>
              <w:t>Wikipedia</w:t>
            </w:r>
            <w:r>
              <w:rPr>
                <w:color w:val="000000"/>
              </w:rPr>
              <w:t xml:space="preserve">. Consulté le 31 janvier 2021. </w:t>
            </w:r>
            <w:hyperlink r:id="rId494">
              <w:r>
                <w:rPr>
                  <w:color w:val="4F81BD"/>
                </w:rPr>
                <w:t>https://en.wikipedia.org/w/index.php?title=Et_in_Arcadia_ego&amp;oldid=1003943423</w:t>
              </w:r>
            </w:hyperlink>
            <w:r>
              <w:rPr>
                <w:color w:val="000000"/>
              </w:rPr>
              <w:t>.</w:t>
            </w:r>
          </w:p>
        </w:tc>
      </w:tr>
      <w:tr w:rsidR="00BF18CF" w14:paraId="283D48A8" w14:textId="77777777" w:rsidTr="00BF18CF">
        <w:tc>
          <w:tcPr>
            <w:tcW w:w="10690" w:type="dxa"/>
          </w:tcPr>
          <w:p w14:paraId="6277C7EA"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Wildfang, Frederic B. 2005. </w:t>
            </w:r>
            <w:r w:rsidRPr="005D545E">
              <w:rPr>
                <w:i/>
                <w:color w:val="000000"/>
                <w:lang w:val="en-CA"/>
              </w:rPr>
              <w:t>Lake Havasu City</w:t>
            </w:r>
            <w:r w:rsidRPr="005D545E">
              <w:rPr>
                <w:color w:val="000000"/>
                <w:lang w:val="en-CA"/>
              </w:rPr>
              <w:t xml:space="preserve">. </w:t>
            </w:r>
            <w:r>
              <w:rPr>
                <w:color w:val="000000"/>
              </w:rPr>
              <w:t>Charleston, US-SC : Arcadia.</w:t>
            </w:r>
          </w:p>
        </w:tc>
      </w:tr>
      <w:tr w:rsidR="00BF18CF" w:rsidRPr="009F53E4" w14:paraId="2795DBD0" w14:textId="77777777" w:rsidTr="00BF18CF">
        <w:tc>
          <w:tcPr>
            <w:tcW w:w="10690" w:type="dxa"/>
          </w:tcPr>
          <w:p w14:paraId="5219170B"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Williams, A. Susan. 1993. </w:t>
            </w:r>
            <w:r w:rsidRPr="007C10F0">
              <w:rPr>
                <w:i/>
                <w:color w:val="000000"/>
                <w:lang w:val="en-CA"/>
              </w:rPr>
              <w:t>The Greeks.</w:t>
            </w:r>
            <w:r w:rsidRPr="007C10F0">
              <w:rPr>
                <w:color w:val="000000"/>
                <w:lang w:val="en-CA"/>
              </w:rPr>
              <w:t xml:space="preserve"> </w:t>
            </w:r>
            <w:r w:rsidRPr="009F53E4">
              <w:rPr>
                <w:color w:val="000000"/>
                <w:lang w:val="en-US"/>
              </w:rPr>
              <w:t>Wayland.</w:t>
            </w:r>
          </w:p>
        </w:tc>
      </w:tr>
      <w:tr w:rsidR="00BF18CF" w:rsidRPr="009F53E4" w14:paraId="1A4ABD7A" w14:textId="77777777" w:rsidTr="00BF18CF">
        <w:tc>
          <w:tcPr>
            <w:tcW w:w="10690" w:type="dxa"/>
          </w:tcPr>
          <w:p w14:paraId="3B1E73BC" w14:textId="77777777" w:rsidR="00BF18CF" w:rsidRPr="005D545E" w:rsidRDefault="00E51347">
            <w:pPr>
              <w:pBdr>
                <w:top w:val="nil"/>
                <w:left w:val="nil"/>
                <w:bottom w:val="nil"/>
                <w:right w:val="nil"/>
                <w:between w:val="nil"/>
              </w:pBdr>
              <w:spacing w:before="36" w:after="36"/>
              <w:rPr>
                <w:color w:val="000000"/>
                <w:lang w:val="en-CA"/>
              </w:rPr>
            </w:pPr>
            <w:r w:rsidRPr="007C10F0">
              <w:rPr>
                <w:color w:val="000000"/>
                <w:lang w:val="en-CA"/>
              </w:rPr>
              <w:t xml:space="preserve">Williams, John. 2020. </w:t>
            </w:r>
            <w:r w:rsidRPr="007C10F0">
              <w:rPr>
                <w:i/>
                <w:color w:val="000000"/>
                <w:lang w:val="en-CA"/>
              </w:rPr>
              <w:t>Goethe’s Faust</w:t>
            </w:r>
            <w:r w:rsidRPr="007C10F0">
              <w:rPr>
                <w:color w:val="000000"/>
                <w:lang w:val="en-CA"/>
              </w:rPr>
              <w:t xml:space="preserve">. </w:t>
            </w:r>
            <w:r w:rsidRPr="005D545E">
              <w:rPr>
                <w:color w:val="000000"/>
                <w:lang w:val="en-CA"/>
              </w:rPr>
              <w:t>Londres, GB-</w:t>
            </w:r>
            <w:proofErr w:type="gramStart"/>
            <w:r w:rsidRPr="005D545E">
              <w:rPr>
                <w:color w:val="000000"/>
                <w:lang w:val="en-CA"/>
              </w:rPr>
              <w:t>LND :</w:t>
            </w:r>
            <w:proofErr w:type="gramEnd"/>
            <w:r w:rsidRPr="005D545E">
              <w:rPr>
                <w:color w:val="000000"/>
                <w:lang w:val="en-CA"/>
              </w:rPr>
              <w:t xml:space="preserve"> Routledge. </w:t>
            </w:r>
            <w:r w:rsidR="000467B7">
              <w:fldChar w:fldCharType="begin"/>
            </w:r>
            <w:r w:rsidR="000467B7" w:rsidRPr="000467B7">
              <w:rPr>
                <w:lang w:val="en-CA"/>
              </w:rPr>
              <w:instrText>HYPERLINK "https://doi.org/10.4324/9781003006121" \h</w:instrText>
            </w:r>
            <w:r w:rsidR="000467B7">
              <w:fldChar w:fldCharType="separate"/>
            </w:r>
            <w:r w:rsidRPr="005D545E">
              <w:rPr>
                <w:color w:val="4F81BD"/>
                <w:lang w:val="en-CA"/>
              </w:rPr>
              <w:t>https://doi.org/10.4324/9781003006121</w:t>
            </w:r>
            <w:r w:rsidR="000467B7">
              <w:rPr>
                <w:color w:val="4F81BD"/>
                <w:lang w:val="en-CA"/>
              </w:rPr>
              <w:fldChar w:fldCharType="end"/>
            </w:r>
            <w:r w:rsidRPr="005D545E">
              <w:rPr>
                <w:color w:val="000000"/>
                <w:lang w:val="en-CA"/>
              </w:rPr>
              <w:t>.</w:t>
            </w:r>
          </w:p>
        </w:tc>
      </w:tr>
      <w:tr w:rsidR="00BF18CF" w14:paraId="68A30134" w14:textId="77777777" w:rsidTr="00BF18CF">
        <w:tc>
          <w:tcPr>
            <w:tcW w:w="10690" w:type="dxa"/>
          </w:tcPr>
          <w:p w14:paraId="4053C46B"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Willis, Sam. 2010. </w:t>
            </w:r>
            <w:r w:rsidRPr="005D545E">
              <w:rPr>
                <w:i/>
                <w:color w:val="000000"/>
                <w:lang w:val="en-CA"/>
              </w:rPr>
              <w:t>The ‘Fighting Temeraire’: Legend of Trafalgar</w:t>
            </w:r>
            <w:r w:rsidRPr="005D545E">
              <w:rPr>
                <w:color w:val="000000"/>
                <w:lang w:val="en-CA"/>
              </w:rPr>
              <w:t xml:space="preserve">. </w:t>
            </w:r>
            <w:r>
              <w:rPr>
                <w:color w:val="000000"/>
              </w:rPr>
              <w:t>Edition. Londres, GB-LND : Quercus.</w:t>
            </w:r>
          </w:p>
        </w:tc>
      </w:tr>
      <w:tr w:rsidR="00BF18CF" w:rsidRPr="000467B7" w14:paraId="447F0927" w14:textId="77777777" w:rsidTr="00BF18CF">
        <w:tc>
          <w:tcPr>
            <w:tcW w:w="10690" w:type="dxa"/>
          </w:tcPr>
          <w:p w14:paraId="50721AE8" w14:textId="77777777" w:rsidR="00BF18CF" w:rsidRPr="005D545E" w:rsidRDefault="00E51347">
            <w:pPr>
              <w:pBdr>
                <w:top w:val="nil"/>
                <w:left w:val="nil"/>
                <w:bottom w:val="nil"/>
                <w:right w:val="nil"/>
                <w:between w:val="nil"/>
              </w:pBdr>
              <w:spacing w:before="36" w:after="36"/>
              <w:rPr>
                <w:color w:val="000000"/>
                <w:lang w:val="en-CA"/>
              </w:rPr>
            </w:pPr>
            <w:r w:rsidRPr="007C10F0">
              <w:rPr>
                <w:color w:val="000000"/>
                <w:lang w:val="en-CA"/>
              </w:rPr>
              <w:t xml:space="preserve">Wilson, Michael. 1994. </w:t>
            </w:r>
            <w:r w:rsidRPr="007C10F0">
              <w:rPr>
                <w:i/>
                <w:color w:val="000000"/>
                <w:lang w:val="en-CA"/>
              </w:rPr>
              <w:t>The Impressionists</w:t>
            </w:r>
            <w:r w:rsidRPr="007C10F0">
              <w:rPr>
                <w:color w:val="000000"/>
                <w:lang w:val="en-CA"/>
              </w:rPr>
              <w:t xml:space="preserve">. </w:t>
            </w:r>
            <w:r w:rsidRPr="005D545E">
              <w:rPr>
                <w:color w:val="000000"/>
                <w:lang w:val="en-CA"/>
              </w:rPr>
              <w:t>Reprint edition. Oxford, GB-OXF; New York, US-</w:t>
            </w:r>
            <w:proofErr w:type="gramStart"/>
            <w:r w:rsidRPr="005D545E">
              <w:rPr>
                <w:color w:val="000000"/>
                <w:lang w:val="en-CA"/>
              </w:rPr>
              <w:t>NY :</w:t>
            </w:r>
            <w:proofErr w:type="gramEnd"/>
            <w:r w:rsidRPr="005D545E">
              <w:rPr>
                <w:color w:val="000000"/>
                <w:lang w:val="en-CA"/>
              </w:rPr>
              <w:t xml:space="preserve"> Phaidon Press.</w:t>
            </w:r>
          </w:p>
        </w:tc>
      </w:tr>
      <w:tr w:rsidR="00BF18CF" w14:paraId="7F0BA061" w14:textId="77777777" w:rsidTr="00BF18CF">
        <w:tc>
          <w:tcPr>
            <w:tcW w:w="10690" w:type="dxa"/>
          </w:tcPr>
          <w:p w14:paraId="588EF2F6"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Wilson, Robert L. 1983. </w:t>
            </w:r>
            <w:r w:rsidRPr="005D545E">
              <w:rPr>
                <w:i/>
                <w:color w:val="000000"/>
                <w:lang w:val="en-CA"/>
              </w:rPr>
              <w:t>English language</w:t>
            </w:r>
            <w:r w:rsidRPr="005D545E">
              <w:rPr>
                <w:color w:val="000000"/>
                <w:lang w:val="en-CA"/>
              </w:rPr>
              <w:t xml:space="preserve">. </w:t>
            </w:r>
            <w:r>
              <w:rPr>
                <w:color w:val="000000"/>
              </w:rPr>
              <w:t>Londres, GB-LND : Letts.</w:t>
            </w:r>
          </w:p>
        </w:tc>
      </w:tr>
      <w:tr w:rsidR="00BF18CF" w:rsidRPr="009F53E4" w14:paraId="3E7EB3C4" w14:textId="77777777" w:rsidTr="00BF18CF">
        <w:tc>
          <w:tcPr>
            <w:tcW w:w="10690" w:type="dxa"/>
          </w:tcPr>
          <w:p w14:paraId="7C14A158" w14:textId="77777777" w:rsidR="00BF18CF" w:rsidRPr="009F53E4" w:rsidRDefault="00E51347">
            <w:pPr>
              <w:pBdr>
                <w:top w:val="nil"/>
                <w:left w:val="nil"/>
                <w:bottom w:val="nil"/>
                <w:right w:val="nil"/>
                <w:between w:val="nil"/>
              </w:pBdr>
              <w:spacing w:before="36" w:after="36"/>
              <w:rPr>
                <w:color w:val="000000"/>
                <w:lang w:val="en-US"/>
              </w:rPr>
            </w:pPr>
            <w:r w:rsidRPr="005D545E">
              <w:rPr>
                <w:color w:val="000000"/>
                <w:lang w:val="en-CA"/>
              </w:rPr>
              <w:t xml:space="preserve">Woelkerling, William J, Gry Gustavsen, et Heidi Elin Myklebost. </w:t>
            </w:r>
            <w:r w:rsidRPr="007C10F0">
              <w:rPr>
                <w:color w:val="000000"/>
                <w:lang w:val="en-CA"/>
              </w:rPr>
              <w:t xml:space="preserve">2005. </w:t>
            </w:r>
            <w:r w:rsidRPr="007C10F0">
              <w:rPr>
                <w:i/>
                <w:color w:val="000000"/>
                <w:lang w:val="en-CA"/>
              </w:rPr>
              <w:t>The coralline red algal herbarium of Mikael Foslie: revised catalogue with analyses</w:t>
            </w:r>
            <w:r w:rsidRPr="007C10F0">
              <w:rPr>
                <w:color w:val="000000"/>
                <w:lang w:val="en-CA"/>
              </w:rPr>
              <w:t xml:space="preserve">. </w:t>
            </w:r>
            <w:r w:rsidRPr="009F53E4">
              <w:rPr>
                <w:color w:val="000000"/>
                <w:lang w:val="en-US"/>
              </w:rPr>
              <w:t>Trondheim, NO-</w:t>
            </w:r>
            <w:proofErr w:type="gramStart"/>
            <w:r w:rsidRPr="009F53E4">
              <w:rPr>
                <w:color w:val="000000"/>
                <w:lang w:val="en-US"/>
              </w:rPr>
              <w:t>50 :</w:t>
            </w:r>
            <w:proofErr w:type="gramEnd"/>
            <w:r w:rsidRPr="009F53E4">
              <w:rPr>
                <w:color w:val="000000"/>
                <w:lang w:val="en-US"/>
              </w:rPr>
              <w:t xml:space="preserve"> Kgl. Norske videnskabers selskab, Museet.</w:t>
            </w:r>
          </w:p>
        </w:tc>
      </w:tr>
      <w:tr w:rsidR="00BF18CF" w:rsidRPr="000467B7" w14:paraId="652F46AB" w14:textId="77777777" w:rsidTr="00BF18CF">
        <w:tc>
          <w:tcPr>
            <w:tcW w:w="10690" w:type="dxa"/>
          </w:tcPr>
          <w:p w14:paraId="1DC3375A" w14:textId="77777777" w:rsidR="00BF18CF" w:rsidRPr="007C10F0" w:rsidRDefault="00E51347">
            <w:pPr>
              <w:pBdr>
                <w:top w:val="nil"/>
                <w:left w:val="nil"/>
                <w:bottom w:val="nil"/>
                <w:right w:val="nil"/>
                <w:between w:val="nil"/>
              </w:pBdr>
              <w:spacing w:before="36" w:after="36"/>
              <w:rPr>
                <w:color w:val="000000"/>
                <w:lang w:val="en-CA"/>
              </w:rPr>
            </w:pPr>
            <w:r w:rsidRPr="005D545E">
              <w:rPr>
                <w:color w:val="000000"/>
                <w:lang w:val="en-CA"/>
              </w:rPr>
              <w:t xml:space="preserve">Wolff, Arnold, Rainer Gaertner, et Margret Maranuk-Rohmeder. </w:t>
            </w:r>
            <w:r w:rsidRPr="007C10F0">
              <w:rPr>
                <w:color w:val="000000"/>
                <w:lang w:val="en-CA"/>
              </w:rPr>
              <w:t xml:space="preserve">1999. </w:t>
            </w:r>
            <w:r w:rsidRPr="007C10F0">
              <w:rPr>
                <w:i/>
                <w:color w:val="000000"/>
                <w:lang w:val="en-CA"/>
              </w:rPr>
              <w:t>The Cologne Cathedral</w:t>
            </w:r>
            <w:r w:rsidRPr="007C10F0">
              <w:rPr>
                <w:color w:val="000000"/>
                <w:lang w:val="en-CA"/>
              </w:rPr>
              <w:t>. Verlag Kolner Dom.</w:t>
            </w:r>
          </w:p>
        </w:tc>
      </w:tr>
      <w:tr w:rsidR="00BF18CF" w14:paraId="4382BC4B" w14:textId="77777777" w:rsidTr="00BF18CF">
        <w:tc>
          <w:tcPr>
            <w:tcW w:w="10690" w:type="dxa"/>
          </w:tcPr>
          <w:p w14:paraId="61B6F931" w14:textId="77777777" w:rsidR="00BF18CF" w:rsidRDefault="00E51347">
            <w:pPr>
              <w:pBdr>
                <w:top w:val="nil"/>
                <w:left w:val="nil"/>
                <w:bottom w:val="nil"/>
                <w:right w:val="nil"/>
                <w:between w:val="nil"/>
              </w:pBdr>
              <w:spacing w:before="36" w:after="36"/>
              <w:rPr>
                <w:color w:val="000000"/>
              </w:rPr>
            </w:pPr>
            <w:r w:rsidRPr="005D545E">
              <w:rPr>
                <w:color w:val="000000"/>
                <w:lang w:val="en-CA"/>
              </w:rPr>
              <w:t xml:space="preserve">Yakel, E. 2000. « Museums, Management, Media, and Memory: Lessons from the Enola Gay Exhibition ». </w:t>
            </w:r>
            <w:r>
              <w:rPr>
                <w:i/>
                <w:color w:val="000000"/>
              </w:rPr>
              <w:t>Libraries and Culture</w:t>
            </w:r>
            <w:r>
              <w:rPr>
                <w:color w:val="000000"/>
              </w:rPr>
              <w:t xml:space="preserve"> 35 : 278‑310.</w:t>
            </w:r>
          </w:p>
        </w:tc>
      </w:tr>
      <w:tr w:rsidR="00BF18CF" w:rsidRPr="000467B7" w14:paraId="524A020A" w14:textId="77777777" w:rsidTr="00BF18CF">
        <w:tc>
          <w:tcPr>
            <w:tcW w:w="10690" w:type="dxa"/>
          </w:tcPr>
          <w:p w14:paraId="097E6DE1" w14:textId="77777777" w:rsidR="00BF18CF" w:rsidRPr="009F53E4" w:rsidRDefault="00E51347">
            <w:pPr>
              <w:pBdr>
                <w:top w:val="nil"/>
                <w:left w:val="nil"/>
                <w:bottom w:val="nil"/>
                <w:right w:val="nil"/>
                <w:between w:val="nil"/>
              </w:pBdr>
              <w:spacing w:before="36" w:after="36"/>
              <w:rPr>
                <w:color w:val="000000"/>
                <w:lang w:val="en-US"/>
              </w:rPr>
            </w:pPr>
            <w:r w:rsidRPr="007C10F0">
              <w:rPr>
                <w:color w:val="000000"/>
                <w:lang w:val="en-CA"/>
              </w:rPr>
              <w:t xml:space="preserve">Yerkes, David. 1989. </w:t>
            </w:r>
            <w:r w:rsidRPr="007C10F0">
              <w:rPr>
                <w:i/>
                <w:color w:val="000000"/>
                <w:lang w:val="en-CA"/>
              </w:rPr>
              <w:t>Webster’s Encyclopedic Unabridged Dictionary of the English Languagea</w:t>
            </w:r>
            <w:r w:rsidRPr="007C10F0">
              <w:rPr>
                <w:color w:val="000000"/>
                <w:lang w:val="en-CA"/>
              </w:rPr>
              <w:t xml:space="preserve">. </w:t>
            </w:r>
            <w:r w:rsidRPr="009F53E4">
              <w:rPr>
                <w:color w:val="000000"/>
                <w:lang w:val="en-US"/>
              </w:rPr>
              <w:t>Abridged edition. New York, US-</w:t>
            </w:r>
            <w:proofErr w:type="gramStart"/>
            <w:r w:rsidRPr="009F53E4">
              <w:rPr>
                <w:color w:val="000000"/>
                <w:lang w:val="en-US"/>
              </w:rPr>
              <w:t>NY :</w:t>
            </w:r>
            <w:proofErr w:type="gramEnd"/>
            <w:r w:rsidRPr="009F53E4">
              <w:rPr>
                <w:color w:val="000000"/>
                <w:lang w:val="en-US"/>
              </w:rPr>
              <w:t xml:space="preserve"> Random House.</w:t>
            </w:r>
          </w:p>
        </w:tc>
      </w:tr>
    </w:tbl>
    <w:p w14:paraId="751684A3" w14:textId="43231C3C" w:rsidR="009F53E4" w:rsidRDefault="009F53E4" w:rsidP="009F53E4">
      <w:pPr>
        <w:pStyle w:val="Heading1"/>
      </w:pPr>
      <w:bookmarkStart w:id="587" w:name="bookmark=id.4hae2tp" w:colFirst="0" w:colLast="0"/>
      <w:bookmarkStart w:id="588" w:name="_Toc144361037"/>
      <w:bookmarkEnd w:id="587"/>
      <w:r>
        <w:lastRenderedPageBreak/>
        <w:t>Bibliographie de la traduction</w:t>
      </w:r>
      <w:bookmarkEnd w:id="588"/>
    </w:p>
    <w:tbl>
      <w:tblPr>
        <w:tblStyle w:val="Table"/>
        <w:tblW w:w="0" w:type="auto"/>
        <w:tblInd w:w="0" w:type="dxa"/>
        <w:tblLook w:val="0000" w:firstRow="0" w:lastRow="0" w:firstColumn="0" w:lastColumn="0" w:noHBand="0" w:noVBand="0"/>
      </w:tblPr>
      <w:tblGrid>
        <w:gridCol w:w="10690"/>
      </w:tblGrid>
      <w:tr w:rsidR="009F53E4" w14:paraId="09E7C5FC" w14:textId="77777777" w:rsidTr="00000270">
        <w:tc>
          <w:tcPr>
            <w:tcW w:w="0" w:type="auto"/>
          </w:tcPr>
          <w:p w14:paraId="7015A855" w14:textId="77777777" w:rsidR="009F53E4" w:rsidRDefault="009F53E4" w:rsidP="00000270">
            <w:pPr>
              <w:pStyle w:val="Compact"/>
            </w:pPr>
            <w:r w:rsidRPr="00803F09">
              <w:t xml:space="preserve">Alighieri, Dante. (1308–1321) 2021. </w:t>
            </w:r>
            <w:r w:rsidRPr="00803F09">
              <w:rPr>
                <w:i/>
                <w:iCs/>
              </w:rPr>
              <w:t>La tdine comédie</w:t>
            </w:r>
            <w:r w:rsidRPr="00803F09">
              <w:t xml:space="preserve">. Sous la direction de Carlo Ossola. Traduit par Jacqueline Risset. Éd. </w:t>
            </w:r>
            <w:proofErr w:type="gramStart"/>
            <w:r w:rsidRPr="00803F09">
              <w:t>bilingue</w:t>
            </w:r>
            <w:proofErr w:type="gramEnd"/>
            <w:r w:rsidRPr="00803F09">
              <w:t xml:space="preserve">. Bibliothèque de la Pléiade 659. </w:t>
            </w:r>
            <w:r>
              <w:t>Paris, FR-IDF : Gallimard.</w:t>
            </w:r>
          </w:p>
        </w:tc>
      </w:tr>
      <w:tr w:rsidR="009F53E4" w:rsidRPr="008F2226" w14:paraId="5849A1EB" w14:textId="77777777" w:rsidTr="00000270">
        <w:tc>
          <w:tcPr>
            <w:tcW w:w="0" w:type="auto"/>
          </w:tcPr>
          <w:p w14:paraId="1BA306D4" w14:textId="77777777" w:rsidR="009F53E4" w:rsidRPr="00803F09" w:rsidRDefault="009F53E4" w:rsidP="00000270">
            <w:pPr>
              <w:pStyle w:val="Compact"/>
            </w:pPr>
            <w:r w:rsidRPr="00803F09">
              <w:t xml:space="preserve">Antidote. 2022a. « Actant ». Dans </w:t>
            </w:r>
            <w:r w:rsidRPr="00803F09">
              <w:rPr>
                <w:i/>
                <w:iCs/>
              </w:rPr>
              <w:t>Antidote</w:t>
            </w:r>
            <w:proofErr w:type="gramStart"/>
            <w:r w:rsidRPr="00803F09">
              <w:t>. .</w:t>
            </w:r>
            <w:proofErr w:type="gramEnd"/>
            <w:r w:rsidRPr="00803F09">
              <w:t xml:space="preserve"> Montréal, CA-QC : Druide Informatique. Consulté le 2022. </w:t>
            </w:r>
            <w:hyperlink r:id="rId495">
              <w:r w:rsidRPr="00803F09">
                <w:rPr>
                  <w:rStyle w:val="Hyperlink"/>
                </w:rPr>
                <w:t>https://antidote.app/dictionnaires/fr/definitions/FRUAgAAAABGUgBDZAAAQ2QAAC0AAACDTm9thmFjdGFudICAgA%3D%3Dd707/RlLvh7cyNTY2N%2B%2BHt05vbQ%3D%3D/RlLvh7cyNTY2N%2B%2BHt05vbe%2BHt2FjdGFudO%2BHt2FjdGFudA%3D%3D</w:t>
              </w:r>
            </w:hyperlink>
            <w:r w:rsidRPr="00803F09">
              <w:t>.</w:t>
            </w:r>
          </w:p>
        </w:tc>
      </w:tr>
      <w:tr w:rsidR="009F53E4" w:rsidRPr="008F2226" w14:paraId="6ECE1078" w14:textId="77777777" w:rsidTr="00000270">
        <w:tc>
          <w:tcPr>
            <w:tcW w:w="0" w:type="auto"/>
          </w:tcPr>
          <w:p w14:paraId="1BD5A956" w14:textId="77777777" w:rsidR="009F53E4" w:rsidRPr="00803F09" w:rsidRDefault="009F53E4" w:rsidP="00000270">
            <w:pPr>
              <w:pStyle w:val="Compact"/>
            </w:pPr>
            <w:r w:rsidRPr="00803F09">
              <w:t xml:space="preserve">———. 2022b. « Précision ». Dans </w:t>
            </w:r>
            <w:r w:rsidRPr="00803F09">
              <w:rPr>
                <w:i/>
                <w:iCs/>
              </w:rPr>
              <w:t>Antidote</w:t>
            </w:r>
            <w:proofErr w:type="gramStart"/>
            <w:r w:rsidRPr="00803F09">
              <w:t>. .</w:t>
            </w:r>
            <w:proofErr w:type="gramEnd"/>
            <w:r w:rsidRPr="00803F09">
              <w:t xml:space="preserve"> Montreal, CA-QC : Druide Informatique.</w:t>
            </w:r>
          </w:p>
        </w:tc>
      </w:tr>
      <w:tr w:rsidR="009F53E4" w:rsidRPr="008F2226" w14:paraId="20DE9C22" w14:textId="77777777" w:rsidTr="00000270">
        <w:tc>
          <w:tcPr>
            <w:tcW w:w="0" w:type="auto"/>
          </w:tcPr>
          <w:p w14:paraId="725ACFB1" w14:textId="77777777" w:rsidR="009F53E4" w:rsidRPr="00803F09" w:rsidRDefault="009F53E4" w:rsidP="00000270">
            <w:pPr>
              <w:pStyle w:val="Compact"/>
            </w:pPr>
            <w:r w:rsidRPr="00803F09">
              <w:t xml:space="preserve">———. 2022c. « Spécialisation ». Dans </w:t>
            </w:r>
            <w:r w:rsidRPr="00803F09">
              <w:rPr>
                <w:i/>
                <w:iCs/>
              </w:rPr>
              <w:t>Antidote</w:t>
            </w:r>
            <w:proofErr w:type="gramStart"/>
            <w:r w:rsidRPr="00803F09">
              <w:t>. .</w:t>
            </w:r>
            <w:proofErr w:type="gramEnd"/>
            <w:r w:rsidRPr="00803F09">
              <w:t xml:space="preserve"> Montreal, CA-QC : Druide Informatique. Consulté le 2022. </w:t>
            </w:r>
            <w:hyperlink r:id="rId496">
              <w:r w:rsidRPr="00803F09">
                <w:rPr>
                  <w:rStyle w:val="Hyperlink"/>
                </w:rPr>
                <w:t>https://antidote.app/dictionnaires/fr/definitions/FRUAgAAAABGUgBDZAAAQ2QAAC0AAACDTm9thmFjdGFudICAgA%3D%3Dd707/RlLvh7cyNTY2N%2B%2BHt05vbQ%3D%3D/RlLvh7cyNTY2N%2B%2BHt05vbe%2BHt2FjdGFudO%2BHt2FjdGFudA%3D%3D</w:t>
              </w:r>
            </w:hyperlink>
            <w:r w:rsidRPr="00803F09">
              <w:t>.</w:t>
            </w:r>
          </w:p>
        </w:tc>
      </w:tr>
      <w:tr w:rsidR="009F53E4" w:rsidRPr="000467B7" w14:paraId="24182AE4" w14:textId="77777777" w:rsidTr="00000270">
        <w:tc>
          <w:tcPr>
            <w:tcW w:w="0" w:type="auto"/>
          </w:tcPr>
          <w:p w14:paraId="17188E4F" w14:textId="77777777" w:rsidR="009F53E4" w:rsidRPr="009F53E4" w:rsidRDefault="009F53E4" w:rsidP="00000270">
            <w:pPr>
              <w:pStyle w:val="Compact"/>
              <w:rPr>
                <w:lang w:val="en-US"/>
              </w:rPr>
            </w:pPr>
            <w:r w:rsidRPr="009F53E4">
              <w:rPr>
                <w:lang w:val="en-US"/>
              </w:rPr>
              <w:t xml:space="preserve">Benaki Museum. 2016. « Childhood, Toys and Games - </w:t>
            </w:r>
            <w:r>
              <w:t>Μουσείο</w:t>
            </w:r>
            <w:r w:rsidRPr="009F53E4">
              <w:rPr>
                <w:lang w:val="en-US"/>
              </w:rPr>
              <w:t xml:space="preserve"> </w:t>
            </w:r>
            <w:r>
              <w:t>Μπενάκη</w:t>
            </w:r>
            <w:r w:rsidRPr="009F53E4">
              <w:rPr>
                <w:lang w:val="en-US"/>
              </w:rPr>
              <w:t xml:space="preserve"> ». Benaki Museum. 2016. </w:t>
            </w:r>
            <w:r w:rsidR="000467B7">
              <w:fldChar w:fldCharType="begin"/>
            </w:r>
            <w:r w:rsidR="000467B7" w:rsidRPr="000467B7">
              <w:rPr>
                <w:lang w:val="en-CA"/>
              </w:rPr>
              <w:instrText>HYPERLINK "https://www.benaki.org//index.php?option=com_collections&amp;view=co</w:instrText>
            </w:r>
            <w:r w:rsidR="000467B7" w:rsidRPr="000467B7">
              <w:rPr>
                <w:lang w:val="en-CA"/>
              </w:rPr>
              <w:instrText>llection&amp;id=45&amp;Itemid=540&amp;lang=el" \h</w:instrText>
            </w:r>
            <w:r w:rsidR="000467B7">
              <w:fldChar w:fldCharType="separate"/>
            </w:r>
            <w:r w:rsidRPr="009F53E4">
              <w:rPr>
                <w:rStyle w:val="Hyperlink"/>
                <w:lang w:val="en-US"/>
              </w:rPr>
              <w:t>https://www.benaki.org//index.php?option=com_collections&amp;view=collection&amp;id=45&amp;Itemid=540&amp;lang=el</w:t>
            </w:r>
            <w:r w:rsidR="000467B7">
              <w:rPr>
                <w:rStyle w:val="Hyperlink"/>
                <w:lang w:val="en-US"/>
              </w:rPr>
              <w:fldChar w:fldCharType="end"/>
            </w:r>
            <w:r w:rsidRPr="009F53E4">
              <w:rPr>
                <w:lang w:val="en-US"/>
              </w:rPr>
              <w:t>.</w:t>
            </w:r>
          </w:p>
        </w:tc>
      </w:tr>
      <w:tr w:rsidR="009F53E4" w14:paraId="786F2F91" w14:textId="77777777" w:rsidTr="00000270">
        <w:tc>
          <w:tcPr>
            <w:tcW w:w="0" w:type="auto"/>
          </w:tcPr>
          <w:p w14:paraId="4E323D86" w14:textId="77777777" w:rsidR="009F53E4" w:rsidRDefault="009F53E4" w:rsidP="00000270">
            <w:pPr>
              <w:pStyle w:val="Compact"/>
            </w:pPr>
            <w:r w:rsidRPr="009F53E4">
              <w:rPr>
                <w:lang w:val="en-US"/>
              </w:rPr>
              <w:t>Berners-Lee, Tim, Tim Bray, Dan Connolly, Paul Cotton, Roy Fielding, Mario Jeckle, Chris Lilley, et al. (2005) 2006. « Architecture du World Wide Web: Volume Un ». Recommandation. Cambridge, USA-</w:t>
            </w:r>
            <w:proofErr w:type="gramStart"/>
            <w:r w:rsidRPr="009F53E4">
              <w:rPr>
                <w:lang w:val="en-US"/>
              </w:rPr>
              <w:t>MA :</w:t>
            </w:r>
            <w:proofErr w:type="gramEnd"/>
            <w:r w:rsidRPr="009F53E4">
              <w:rPr>
                <w:lang w:val="en-US"/>
              </w:rPr>
              <w:t xml:space="preserve"> World Wide Web Consortium (W3C). </w:t>
            </w:r>
            <w:hyperlink r:id="rId497">
              <w:r>
                <w:rPr>
                  <w:rStyle w:val="Hyperlink"/>
                </w:rPr>
                <w:t>http://www.opikanoba.org/tr/w3c/webarch/</w:t>
              </w:r>
            </w:hyperlink>
            <w:r>
              <w:t>.</w:t>
            </w:r>
          </w:p>
        </w:tc>
      </w:tr>
      <w:tr w:rsidR="009F53E4" w14:paraId="54F0FC47" w14:textId="77777777" w:rsidTr="00000270">
        <w:tc>
          <w:tcPr>
            <w:tcW w:w="0" w:type="auto"/>
          </w:tcPr>
          <w:p w14:paraId="5C80D179" w14:textId="77777777" w:rsidR="009F53E4" w:rsidRDefault="009F53E4" w:rsidP="00000270">
            <w:pPr>
              <w:pStyle w:val="Compact"/>
            </w:pPr>
            <w:r w:rsidRPr="00803F09">
              <w:t xml:space="preserve">Berrueta, Diego, et Jon Phipps. 2008. « Méthodes exemplaires pour la publication des vocabulaires RDF ». Meilleures pratiques. Cambridge, USA-MA : World Wide Web Consortium (W3C). </w:t>
            </w:r>
            <w:hyperlink r:id="rId498">
              <w:r>
                <w:rPr>
                  <w:rStyle w:val="Hyperlink"/>
                </w:rPr>
                <w:t>http://www.yoyodesign.org/doc/w3c/swbp-vocab-pub/</w:t>
              </w:r>
            </w:hyperlink>
            <w:r>
              <w:t>.</w:t>
            </w:r>
          </w:p>
        </w:tc>
      </w:tr>
      <w:tr w:rsidR="009F53E4" w:rsidRPr="008F2226" w14:paraId="0E917C9F" w14:textId="77777777" w:rsidTr="00000270">
        <w:tc>
          <w:tcPr>
            <w:tcW w:w="0" w:type="auto"/>
          </w:tcPr>
          <w:p w14:paraId="3C0B0A28" w14:textId="77777777" w:rsidR="009F53E4" w:rsidRPr="00803F09" w:rsidRDefault="009F53E4" w:rsidP="00000270">
            <w:pPr>
              <w:pStyle w:val="Compact"/>
            </w:pPr>
            <w:r w:rsidRPr="00803F09">
              <w:t xml:space="preserve">Centre National de Ressources Textuelles et Lexicales (CNRTL). 2012. « Périssement ». Dans </w:t>
            </w:r>
            <w:r w:rsidRPr="00803F09">
              <w:rPr>
                <w:i/>
                <w:iCs/>
              </w:rPr>
              <w:t>Portail lexical du CNRTL</w:t>
            </w:r>
            <w:proofErr w:type="gramStart"/>
            <w:r w:rsidRPr="00803F09">
              <w:t>. .</w:t>
            </w:r>
            <w:proofErr w:type="gramEnd"/>
            <w:r w:rsidRPr="00803F09">
              <w:t xml:space="preserve"> Nancy, FR-GES : Centre National de Ressources Textuelles et Lexicales (CNRTL). Consulté le 2012. </w:t>
            </w:r>
            <w:hyperlink r:id="rId499">
              <w:r w:rsidRPr="00803F09">
                <w:rPr>
                  <w:rStyle w:val="Hyperlink"/>
                </w:rPr>
                <w:t>https://www.cnrtl.fr/definition/p%C3%A9rissement</w:t>
              </w:r>
            </w:hyperlink>
            <w:r w:rsidRPr="00803F09">
              <w:t>.</w:t>
            </w:r>
          </w:p>
        </w:tc>
      </w:tr>
      <w:tr w:rsidR="009F53E4" w:rsidRPr="008F2226" w14:paraId="41872D2F" w14:textId="77777777" w:rsidTr="00000270">
        <w:tc>
          <w:tcPr>
            <w:tcW w:w="0" w:type="auto"/>
          </w:tcPr>
          <w:p w14:paraId="7E669C4D" w14:textId="77777777" w:rsidR="009F53E4" w:rsidRPr="00803F09" w:rsidRDefault="009F53E4" w:rsidP="00000270">
            <w:pPr>
              <w:pStyle w:val="Compact"/>
            </w:pPr>
            <w:r w:rsidRPr="00803F09">
              <w:t xml:space="preserve">CIDOC CRM. 2021. « CRMgeo ». Modèle. </w:t>
            </w:r>
            <w:hyperlink r:id="rId500">
              <w:r w:rsidRPr="00803F09">
                <w:rPr>
                  <w:rStyle w:val="Hyperlink"/>
                </w:rPr>
                <w:t>http://www.cidoc-crm.org/crmgeo/home-5</w:t>
              </w:r>
            </w:hyperlink>
            <w:r w:rsidRPr="00803F09">
              <w:t>.</w:t>
            </w:r>
          </w:p>
        </w:tc>
      </w:tr>
      <w:tr w:rsidR="009F53E4" w:rsidRPr="00803F09" w14:paraId="37918C33" w14:textId="77777777" w:rsidTr="00000270">
        <w:tc>
          <w:tcPr>
            <w:tcW w:w="0" w:type="auto"/>
          </w:tcPr>
          <w:p w14:paraId="79DD3D9C" w14:textId="77777777" w:rsidR="009F53E4" w:rsidRPr="00803F09" w:rsidRDefault="009F53E4" w:rsidP="00000270">
            <w:pPr>
              <w:pStyle w:val="Compact"/>
            </w:pPr>
            <w:r w:rsidRPr="00803F09">
              <w:t xml:space="preserve">Climacus, John. 1100a. « Égypte, Mont Sinaï, Monastère Sainte-Catherine, MS gr. 418 ». Manuscrit. Monastère Sainte-Catherine, EG-JS. </w:t>
            </w:r>
            <w:hyperlink r:id="rId501">
              <w:r w:rsidRPr="00803F09">
                <w:rPr>
                  <w:rStyle w:val="Hyperlink"/>
                </w:rPr>
                <w:t>https://portail.biblissima.fr/fr/ark:/43093/mdata4173039fff31678134d93fd0bd8ff41dd71226a8</w:t>
              </w:r>
            </w:hyperlink>
            <w:r w:rsidRPr="00803F09">
              <w:t>.</w:t>
            </w:r>
          </w:p>
        </w:tc>
      </w:tr>
      <w:tr w:rsidR="009F53E4" w14:paraId="0290C01B" w14:textId="77777777" w:rsidTr="00000270">
        <w:tc>
          <w:tcPr>
            <w:tcW w:w="0" w:type="auto"/>
          </w:tcPr>
          <w:p w14:paraId="65BC4430" w14:textId="77777777" w:rsidR="009F53E4" w:rsidRDefault="009F53E4" w:rsidP="00000270">
            <w:pPr>
              <w:pStyle w:val="Compact"/>
            </w:pPr>
            <w:r w:rsidRPr="009F53E4">
              <w:rPr>
                <w:lang w:val="en-US"/>
              </w:rPr>
              <w:t xml:space="preserve">———. 1100b. « Greek Manuscripts 418. John Climacus ». </w:t>
            </w:r>
            <w:r>
              <w:t xml:space="preserve">Manuscrit. Monastère Sainte-Catherine, EG-JS. </w:t>
            </w:r>
            <w:hyperlink r:id="rId502">
              <w:r>
                <w:rPr>
                  <w:rStyle w:val="Hyperlink"/>
                </w:rPr>
                <w:t>https://www.loc.gov/item/00279380435-ms</w:t>
              </w:r>
            </w:hyperlink>
            <w:r>
              <w:t>.</w:t>
            </w:r>
          </w:p>
        </w:tc>
      </w:tr>
      <w:tr w:rsidR="009F53E4" w:rsidRPr="00803F09" w14:paraId="0CB1B36C" w14:textId="77777777" w:rsidTr="00000270">
        <w:tc>
          <w:tcPr>
            <w:tcW w:w="0" w:type="auto"/>
          </w:tcPr>
          <w:p w14:paraId="0626770C" w14:textId="77777777" w:rsidR="009F53E4" w:rsidRPr="00803F09" w:rsidRDefault="009F53E4" w:rsidP="00000270">
            <w:pPr>
              <w:pStyle w:val="Compact"/>
            </w:pPr>
            <w:r w:rsidRPr="00803F09">
              <w:t xml:space="preserve">Comité International pour la Documentation de l’ICOM. 2021. « CIDOC ». ICOM CIDOC. 24 février 2021. </w:t>
            </w:r>
            <w:hyperlink r:id="rId503">
              <w:r w:rsidRPr="00803F09">
                <w:rPr>
                  <w:rStyle w:val="Hyperlink"/>
                </w:rPr>
                <w:t>http://cidoc.mini.icom.museum/fr/</w:t>
              </w:r>
            </w:hyperlink>
            <w:r w:rsidRPr="00803F09">
              <w:t>.</w:t>
            </w:r>
          </w:p>
        </w:tc>
      </w:tr>
      <w:tr w:rsidR="009F53E4" w:rsidRPr="008F2226" w14:paraId="76316608" w14:textId="77777777" w:rsidTr="00000270">
        <w:tc>
          <w:tcPr>
            <w:tcW w:w="0" w:type="auto"/>
          </w:tcPr>
          <w:p w14:paraId="183CF937" w14:textId="77777777" w:rsidR="009F53E4" w:rsidRPr="00803F09" w:rsidRDefault="009F53E4" w:rsidP="00000270">
            <w:pPr>
              <w:pStyle w:val="Compact"/>
            </w:pPr>
            <w:r w:rsidRPr="00803F09">
              <w:lastRenderedPageBreak/>
              <w:t xml:space="preserve">De Vinci, Léonard. 1503. </w:t>
            </w:r>
            <w:r w:rsidRPr="00803F09">
              <w:rPr>
                <w:i/>
                <w:iCs/>
              </w:rPr>
              <w:t>Portrait de Lisa Gherardini, épouse de Francesco del Giocondo, dit La Joconde ou Monna Lisa</w:t>
            </w:r>
            <w:r w:rsidRPr="00803F09">
              <w:t xml:space="preserve">. Huile sur bois (peuplier). Salle 711. Musée du Louvre. </w:t>
            </w:r>
            <w:hyperlink r:id="rId504">
              <w:r w:rsidRPr="00803F09">
                <w:rPr>
                  <w:rStyle w:val="Hyperlink"/>
                </w:rPr>
                <w:t>https://collections.louvre.fr/en/ark:/53355/cl010062370</w:t>
              </w:r>
            </w:hyperlink>
            <w:r w:rsidRPr="00803F09">
              <w:t>.</w:t>
            </w:r>
          </w:p>
        </w:tc>
      </w:tr>
      <w:tr w:rsidR="009F53E4" w:rsidRPr="000467B7" w14:paraId="6941A829" w14:textId="77777777" w:rsidTr="00000270">
        <w:tc>
          <w:tcPr>
            <w:tcW w:w="0" w:type="auto"/>
          </w:tcPr>
          <w:p w14:paraId="60243CE9" w14:textId="77777777" w:rsidR="009F53E4" w:rsidRPr="009F53E4" w:rsidRDefault="009F53E4" w:rsidP="00000270">
            <w:pPr>
              <w:pStyle w:val="Compact"/>
              <w:rPr>
                <w:lang w:val="en-US"/>
              </w:rPr>
            </w:pPr>
            <w:r w:rsidRPr="009F53E4">
              <w:rPr>
                <w:lang w:val="en-US"/>
              </w:rPr>
              <w:t>« Definition of the CIDOC Conceptual Reference Model ». 2015. Modèle. Paris, FR-</w:t>
            </w:r>
            <w:proofErr w:type="gramStart"/>
            <w:r w:rsidRPr="009F53E4">
              <w:rPr>
                <w:lang w:val="en-US"/>
              </w:rPr>
              <w:t>IDF :</w:t>
            </w:r>
            <w:proofErr w:type="gramEnd"/>
            <w:r w:rsidRPr="009F53E4">
              <w:rPr>
                <w:lang w:val="en-US"/>
              </w:rPr>
              <w:t xml:space="preserve"> CIDOC CRM  Special Interest Group. </w:t>
            </w:r>
            <w:r w:rsidR="000467B7">
              <w:fldChar w:fldCharType="begin"/>
            </w:r>
            <w:r w:rsidR="000467B7" w:rsidRPr="000467B7">
              <w:rPr>
                <w:lang w:val="en-US"/>
              </w:rPr>
              <w:instrText>HYPERLINK "https://cidoc-crm.org/sites/default/files/cidoc_crm_version_6.2.pdf" \h</w:instrText>
            </w:r>
            <w:r w:rsidR="000467B7">
              <w:fldChar w:fldCharType="separate"/>
            </w:r>
            <w:r w:rsidRPr="009F53E4">
              <w:rPr>
                <w:rStyle w:val="Hyperlink"/>
                <w:lang w:val="en-US"/>
              </w:rPr>
              <w:t>https://cidoc-crm.org/sites/default/files/cidoc_crm_version_6.2.pdf</w:t>
            </w:r>
            <w:r w:rsidR="000467B7">
              <w:rPr>
                <w:rStyle w:val="Hyperlink"/>
                <w:lang w:val="en-US"/>
              </w:rPr>
              <w:fldChar w:fldCharType="end"/>
            </w:r>
            <w:r w:rsidRPr="009F53E4">
              <w:rPr>
                <w:lang w:val="en-US"/>
              </w:rPr>
              <w:t>.</w:t>
            </w:r>
          </w:p>
        </w:tc>
      </w:tr>
      <w:tr w:rsidR="009F53E4" w:rsidRPr="00103833" w14:paraId="39693FAF" w14:textId="77777777" w:rsidTr="00000270">
        <w:tc>
          <w:tcPr>
            <w:tcW w:w="0" w:type="auto"/>
          </w:tcPr>
          <w:p w14:paraId="16DD0DDB" w14:textId="77777777" w:rsidR="009F53E4" w:rsidRPr="000467B7" w:rsidRDefault="009F53E4" w:rsidP="00000270">
            <w:pPr>
              <w:pStyle w:val="Compact"/>
            </w:pPr>
            <w:r w:rsidRPr="009F53E4">
              <w:rPr>
                <w:lang w:val="en-US"/>
              </w:rPr>
              <w:t>« ——— ». 2021. Modèle. Paris, FR-</w:t>
            </w:r>
            <w:proofErr w:type="gramStart"/>
            <w:r w:rsidRPr="009F53E4">
              <w:rPr>
                <w:lang w:val="en-US"/>
              </w:rPr>
              <w:t>IDF :</w:t>
            </w:r>
            <w:proofErr w:type="gramEnd"/>
            <w:r w:rsidRPr="009F53E4">
              <w:rPr>
                <w:lang w:val="en-US"/>
              </w:rPr>
              <w:t xml:space="preserve"> CIDOC CRM  Special Interest Group. </w:t>
            </w:r>
            <w:hyperlink r:id="rId505">
              <w:r w:rsidRPr="000467B7">
                <w:rPr>
                  <w:rStyle w:val="Hyperlink"/>
                </w:rPr>
                <w:t>http://cidoc-crm.org/sites/default/files/CIDOC%20CRM_v.7.1%20%5B8%20March%202021%5D.pdf</w:t>
              </w:r>
            </w:hyperlink>
            <w:r w:rsidRPr="000467B7">
              <w:t>.</w:t>
            </w:r>
          </w:p>
        </w:tc>
      </w:tr>
      <w:tr w:rsidR="009F53E4" w:rsidRPr="008F2226" w14:paraId="0C07008A" w14:textId="77777777" w:rsidTr="00000270">
        <w:tc>
          <w:tcPr>
            <w:tcW w:w="0" w:type="auto"/>
          </w:tcPr>
          <w:p w14:paraId="15BCEE19" w14:textId="77777777" w:rsidR="009F53E4" w:rsidRPr="00803F09" w:rsidRDefault="009F53E4" w:rsidP="00000270">
            <w:pPr>
              <w:pStyle w:val="Compact"/>
            </w:pPr>
            <w:r w:rsidRPr="00803F09">
              <w:t xml:space="preserve">Einstein, Albert. 2001. </w:t>
            </w:r>
            <w:r w:rsidRPr="00803F09">
              <w:rPr>
                <w:i/>
                <w:iCs/>
              </w:rPr>
              <w:t>La relativité :  théorie de la relativité restreinte et générale, la relativité et le problème de l’espace</w:t>
            </w:r>
            <w:r w:rsidRPr="00803F09">
              <w:t>. Traduit par Maurice Solovine. Petite bibliothèque Payot 25. Paris, FR-IDF : Payot &amp; Rivages.</w:t>
            </w:r>
          </w:p>
        </w:tc>
      </w:tr>
      <w:tr w:rsidR="009F53E4" w:rsidRPr="000467B7" w14:paraId="06A8152B" w14:textId="77777777" w:rsidTr="00000270">
        <w:tc>
          <w:tcPr>
            <w:tcW w:w="0" w:type="auto"/>
          </w:tcPr>
          <w:p w14:paraId="03AC5E3E" w14:textId="77777777" w:rsidR="009F53E4" w:rsidRPr="009F53E4" w:rsidRDefault="009F53E4" w:rsidP="00000270">
            <w:pPr>
              <w:pStyle w:val="Compact"/>
              <w:rPr>
                <w:lang w:val="en-US"/>
              </w:rPr>
            </w:pPr>
            <w:r w:rsidRPr="009F53E4">
              <w:rPr>
                <w:lang w:val="en-US"/>
              </w:rPr>
              <w:t xml:space="preserve">Evans, Arthur John. 1921. </w:t>
            </w:r>
            <w:r w:rsidRPr="009F53E4">
              <w:rPr>
                <w:i/>
                <w:iCs/>
                <w:lang w:val="en-US"/>
              </w:rPr>
              <w:t>The Palace of Minos: The Neolithic and Early Middle Minoan Age</w:t>
            </w:r>
            <w:r w:rsidRPr="009F53E4">
              <w:rPr>
                <w:lang w:val="en-US"/>
              </w:rPr>
              <w:t>. Vol. 1. 6 vol. The Palace of Minos. London, GB-</w:t>
            </w:r>
            <w:proofErr w:type="gramStart"/>
            <w:r w:rsidRPr="009F53E4">
              <w:rPr>
                <w:lang w:val="en-US"/>
              </w:rPr>
              <w:t>LND :</w:t>
            </w:r>
            <w:proofErr w:type="gramEnd"/>
            <w:r w:rsidRPr="009F53E4">
              <w:rPr>
                <w:lang w:val="en-US"/>
              </w:rPr>
              <w:t xml:space="preserve"> Macmillan. </w:t>
            </w:r>
            <w:r w:rsidR="000467B7">
              <w:fldChar w:fldCharType="begin"/>
            </w:r>
            <w:r w:rsidR="000467B7" w:rsidRPr="000467B7">
              <w:rPr>
                <w:lang w:val="en-CA"/>
              </w:rPr>
              <w:instrText>HYPERLINK "https://openlibrary.org/books/OL7</w:instrText>
            </w:r>
            <w:r w:rsidR="000467B7" w:rsidRPr="000467B7">
              <w:rPr>
                <w:lang w:val="en-CA"/>
              </w:rPr>
              <w:instrText>063760M/The_palace_of_Minos" \h</w:instrText>
            </w:r>
            <w:r w:rsidR="000467B7">
              <w:fldChar w:fldCharType="separate"/>
            </w:r>
            <w:r w:rsidRPr="009F53E4">
              <w:rPr>
                <w:rStyle w:val="Hyperlink"/>
                <w:lang w:val="en-US"/>
              </w:rPr>
              <w:t>https://openlibrary.org/books/OL7063760M/The_palace_of_Minos</w:t>
            </w:r>
            <w:r w:rsidR="000467B7">
              <w:rPr>
                <w:rStyle w:val="Hyperlink"/>
                <w:lang w:val="en-US"/>
              </w:rPr>
              <w:fldChar w:fldCharType="end"/>
            </w:r>
            <w:r w:rsidRPr="009F53E4">
              <w:rPr>
                <w:lang w:val="en-US"/>
              </w:rPr>
              <w:t>.</w:t>
            </w:r>
          </w:p>
        </w:tc>
      </w:tr>
      <w:tr w:rsidR="009F53E4" w14:paraId="43F6EA86" w14:textId="77777777" w:rsidTr="00000270">
        <w:tc>
          <w:tcPr>
            <w:tcW w:w="0" w:type="auto"/>
          </w:tcPr>
          <w:p w14:paraId="7940BF46" w14:textId="77777777" w:rsidR="009F53E4" w:rsidRDefault="009F53E4" w:rsidP="00000270">
            <w:pPr>
              <w:pStyle w:val="Compact"/>
            </w:pPr>
            <w:r w:rsidRPr="00803F09">
              <w:t xml:space="preserve">Grimal, Nicolas-Christophe. 1988. </w:t>
            </w:r>
            <w:r w:rsidRPr="00803F09">
              <w:rPr>
                <w:i/>
                <w:iCs/>
              </w:rPr>
              <w:t>Histoire de l’Égypte ancienne</w:t>
            </w:r>
            <w:r w:rsidRPr="00803F09">
              <w:t xml:space="preserve">. </w:t>
            </w:r>
            <w:r>
              <w:t>Paris : Fayard.</w:t>
            </w:r>
          </w:p>
        </w:tc>
      </w:tr>
      <w:tr w:rsidR="009F53E4" w14:paraId="15B1FF83" w14:textId="77777777" w:rsidTr="00000270">
        <w:tc>
          <w:tcPr>
            <w:tcW w:w="0" w:type="auto"/>
          </w:tcPr>
          <w:p w14:paraId="728FE786" w14:textId="77777777" w:rsidR="009F53E4" w:rsidRDefault="009F53E4" w:rsidP="00000270">
            <w:pPr>
              <w:pStyle w:val="Compact"/>
            </w:pPr>
            <w:r w:rsidRPr="00803F09">
              <w:t xml:space="preserve">Groz, Benoît. 2008. « Inclusion et équivalence de requêtes conjonctives ». Rapport de stage, Paris, FR-IDF : Institut national de recherche en sciences et technologies du numérique. </w:t>
            </w:r>
            <w:hyperlink r:id="rId506">
              <w:r>
                <w:rPr>
                  <w:rStyle w:val="Hyperlink"/>
                </w:rPr>
                <w:t>https://www.lri.fr/~groz/documents/rapport.pdf</w:t>
              </w:r>
            </w:hyperlink>
            <w:r>
              <w:t>.</w:t>
            </w:r>
          </w:p>
        </w:tc>
      </w:tr>
      <w:tr w:rsidR="009F53E4" w:rsidRPr="008F2226" w14:paraId="74C3FD9B" w14:textId="77777777" w:rsidTr="00000270">
        <w:tc>
          <w:tcPr>
            <w:tcW w:w="0" w:type="auto"/>
          </w:tcPr>
          <w:p w14:paraId="68A3F391" w14:textId="77777777" w:rsidR="009F53E4" w:rsidRPr="00803F09" w:rsidRDefault="009F53E4" w:rsidP="00000270">
            <w:pPr>
              <w:pStyle w:val="Compact"/>
            </w:pPr>
            <w:r w:rsidRPr="00803F09">
              <w:t xml:space="preserve">Institut canadien de conservation. 2022. « Traitements de conservation ». Traitements et services de conservation. 18 octobre 2022. </w:t>
            </w:r>
            <w:hyperlink r:id="rId507">
              <w:r w:rsidRPr="00803F09">
                <w:rPr>
                  <w:rStyle w:val="Hyperlink"/>
                </w:rPr>
                <w:t>https://www.canada.ca/fr/institut-conservation/services/traitements-services-conservation/traitements-conservation.html</w:t>
              </w:r>
            </w:hyperlink>
            <w:r w:rsidRPr="00803F09">
              <w:t>.</w:t>
            </w:r>
          </w:p>
        </w:tc>
      </w:tr>
      <w:tr w:rsidR="009F53E4" w14:paraId="774E8FD7" w14:textId="77777777" w:rsidTr="00000270">
        <w:tc>
          <w:tcPr>
            <w:tcW w:w="0" w:type="auto"/>
          </w:tcPr>
          <w:p w14:paraId="1DE50DC9" w14:textId="77777777" w:rsidR="009F53E4" w:rsidRDefault="009F53E4" w:rsidP="00000270">
            <w:pPr>
              <w:pStyle w:val="Compact"/>
            </w:pPr>
            <w:r w:rsidRPr="009F53E4">
              <w:rPr>
                <w:lang w:val="en-US"/>
              </w:rPr>
              <w:t xml:space="preserve">JSON-LD Working Group. 2014. « JSON-LD - JSON for Linking Data ». JSON-LD. </w:t>
            </w:r>
            <w:r>
              <w:t xml:space="preserve">16 janvier 2014. </w:t>
            </w:r>
            <w:hyperlink r:id="rId508">
              <w:r>
                <w:rPr>
                  <w:rStyle w:val="Hyperlink"/>
                </w:rPr>
                <w:t>https://json-ld.org/</w:t>
              </w:r>
            </w:hyperlink>
            <w:r>
              <w:t>.</w:t>
            </w:r>
          </w:p>
        </w:tc>
      </w:tr>
      <w:tr w:rsidR="009F53E4" w14:paraId="0A31D440" w14:textId="77777777" w:rsidTr="00000270">
        <w:tc>
          <w:tcPr>
            <w:tcW w:w="0" w:type="auto"/>
          </w:tcPr>
          <w:p w14:paraId="1BF1114F" w14:textId="77777777" w:rsidR="009F53E4" w:rsidRDefault="009F53E4" w:rsidP="00000270">
            <w:pPr>
              <w:pStyle w:val="Compact"/>
            </w:pPr>
            <w:r w:rsidRPr="00803F09">
              <w:t xml:space="preserve">Lenormand, Louis Sébastien, et W. Maigne. (1900) 2006. « Tranchefile ». Dans </w:t>
            </w:r>
            <w:r w:rsidRPr="00803F09">
              <w:rPr>
                <w:i/>
                <w:iCs/>
              </w:rPr>
              <w:t>Nouveau manuel complet du relieur en tous genres contenant les arts de l’assembleur, du satineur, du cartonneur, du marbreur sur tranches et du doreur sur tranches et sur cuir</w:t>
            </w:r>
            <w:r w:rsidRPr="00803F09">
              <w:t xml:space="preserve">. Sous la direction de L. Mulo, 171‑75. Manuels Roret. Paris, FR-IDF : Encyclopédie-Roret. </w:t>
            </w:r>
            <w:hyperlink r:id="rId509">
              <w:r>
                <w:rPr>
                  <w:rStyle w:val="Hyperlink"/>
                </w:rPr>
                <w:t>https://www.moulinduverger.com/reliure-manuelle/roret-69.php</w:t>
              </w:r>
            </w:hyperlink>
            <w:r>
              <w:t>.</w:t>
            </w:r>
          </w:p>
        </w:tc>
      </w:tr>
      <w:tr w:rsidR="009F53E4" w:rsidRPr="008F2226" w14:paraId="396515C9" w14:textId="77777777" w:rsidTr="00000270">
        <w:tc>
          <w:tcPr>
            <w:tcW w:w="0" w:type="auto"/>
          </w:tcPr>
          <w:p w14:paraId="34A858D8" w14:textId="77777777" w:rsidR="009F53E4" w:rsidRPr="00803F09" w:rsidRDefault="009F53E4" w:rsidP="00000270">
            <w:pPr>
              <w:pStyle w:val="Compact"/>
            </w:pPr>
            <w:r w:rsidRPr="00803F09">
              <w:t xml:space="preserve">Louis, Olivier. 2021. « Bâtonnets de tranchefile, fabrication, matériel utilisé et dimensions. » Blogue. </w:t>
            </w:r>
            <w:r w:rsidRPr="00803F09">
              <w:rPr>
                <w:i/>
                <w:iCs/>
              </w:rPr>
              <w:t>Reliure d’art dare</w:t>
            </w:r>
            <w:r w:rsidRPr="00803F09">
              <w:t xml:space="preserve">. 28 septembre. </w:t>
            </w:r>
            <w:hyperlink r:id="rId510">
              <w:r w:rsidRPr="00803F09">
                <w:rPr>
                  <w:rStyle w:val="Hyperlink"/>
                </w:rPr>
                <w:t>https://reliuredartdare.com/2021/09/batonnets-tranchefile-fabrication/</w:t>
              </w:r>
            </w:hyperlink>
            <w:r w:rsidRPr="00803F09">
              <w:t>.</w:t>
            </w:r>
          </w:p>
        </w:tc>
      </w:tr>
      <w:tr w:rsidR="009F53E4" w:rsidRPr="00103833" w14:paraId="3384609C" w14:textId="77777777" w:rsidTr="00000270">
        <w:tc>
          <w:tcPr>
            <w:tcW w:w="0" w:type="auto"/>
          </w:tcPr>
          <w:p w14:paraId="76018626" w14:textId="77777777" w:rsidR="009F53E4" w:rsidRPr="009F53E4" w:rsidRDefault="009F53E4" w:rsidP="00000270">
            <w:pPr>
              <w:pStyle w:val="Compact"/>
              <w:rPr>
                <w:lang w:val="en-US"/>
              </w:rPr>
            </w:pPr>
            <w:r w:rsidRPr="009F53E4">
              <w:rPr>
                <w:lang w:val="en-US"/>
              </w:rPr>
              <w:t xml:space="preserve">Lowe Fri, Maria. 2011. </w:t>
            </w:r>
            <w:r w:rsidRPr="009F53E4">
              <w:rPr>
                <w:i/>
                <w:iCs/>
                <w:lang w:val="en-US"/>
              </w:rPr>
              <w:t>The Double Axe in Minoan Crete: An Experimental Study of Production and Use</w:t>
            </w:r>
            <w:r w:rsidRPr="009F53E4">
              <w:rPr>
                <w:lang w:val="en-US"/>
              </w:rPr>
              <w:t>. BAR International Series 2304. Oxford, GB-</w:t>
            </w:r>
            <w:proofErr w:type="gramStart"/>
            <w:r w:rsidRPr="009F53E4">
              <w:rPr>
                <w:lang w:val="en-US"/>
              </w:rPr>
              <w:t>OXF :</w:t>
            </w:r>
            <w:proofErr w:type="gramEnd"/>
            <w:r w:rsidRPr="009F53E4">
              <w:rPr>
                <w:lang w:val="en-US"/>
              </w:rPr>
              <w:t xml:space="preserve"> Archaeopress. </w:t>
            </w:r>
            <w:r w:rsidR="000467B7">
              <w:fldChar w:fldCharType="begin"/>
            </w:r>
            <w:r w:rsidR="000467B7" w:rsidRPr="000467B7">
              <w:rPr>
                <w:lang w:val="en-CA"/>
              </w:rPr>
              <w:instrText>HYPERLINK "https://doi.org/10.30861/9781407308814" \h</w:instrText>
            </w:r>
            <w:r w:rsidR="000467B7">
              <w:fldChar w:fldCharType="separate"/>
            </w:r>
            <w:r w:rsidRPr="009F53E4">
              <w:rPr>
                <w:rStyle w:val="Hyperlink"/>
                <w:lang w:val="en-US"/>
              </w:rPr>
              <w:t>https://doi.org/10.30861/9781407308814</w:t>
            </w:r>
            <w:r w:rsidR="000467B7">
              <w:rPr>
                <w:rStyle w:val="Hyperlink"/>
                <w:lang w:val="en-US"/>
              </w:rPr>
              <w:fldChar w:fldCharType="end"/>
            </w:r>
            <w:r w:rsidRPr="009F53E4">
              <w:rPr>
                <w:lang w:val="en-US"/>
              </w:rPr>
              <w:t>.</w:t>
            </w:r>
          </w:p>
        </w:tc>
      </w:tr>
      <w:tr w:rsidR="009F53E4" w:rsidRPr="008F2226" w14:paraId="21599771" w14:textId="77777777" w:rsidTr="00000270">
        <w:tc>
          <w:tcPr>
            <w:tcW w:w="0" w:type="auto"/>
          </w:tcPr>
          <w:p w14:paraId="787AFD70" w14:textId="77777777" w:rsidR="009F53E4" w:rsidRPr="008F2226" w:rsidRDefault="009F53E4" w:rsidP="00000270">
            <w:pPr>
              <w:pStyle w:val="Compact"/>
            </w:pPr>
            <w:r w:rsidRPr="00803F09">
              <w:lastRenderedPageBreak/>
              <w:t xml:space="preserve">Office québécois de la langue française. 2017. « Base de connaissances ». Dans </w:t>
            </w:r>
            <w:r w:rsidRPr="00803F09">
              <w:rPr>
                <w:i/>
                <w:iCs/>
              </w:rPr>
              <w:t>Grand dictionnaire terminologique</w:t>
            </w:r>
            <w:proofErr w:type="gramStart"/>
            <w:r w:rsidRPr="00803F09">
              <w:t>. .</w:t>
            </w:r>
            <w:proofErr w:type="gramEnd"/>
            <w:r w:rsidRPr="00803F09">
              <w:t xml:space="preserve"> Québec, CA-QC : Office québécois de la langue française. Consulté le 2017. </w:t>
            </w:r>
            <w:hyperlink r:id="rId511">
              <w:r w:rsidRPr="008F2226">
                <w:rPr>
                  <w:rStyle w:val="Hyperlink"/>
                </w:rPr>
                <w:t>http://gdt.oqlf.gouv.qc.ca/ficheOqlf.aspx?Id_Fiche=8366746</w:t>
              </w:r>
            </w:hyperlink>
            <w:r w:rsidRPr="008F2226">
              <w:t>.</w:t>
            </w:r>
          </w:p>
        </w:tc>
      </w:tr>
      <w:tr w:rsidR="009F53E4" w14:paraId="5BA0493A" w14:textId="77777777" w:rsidTr="00000270">
        <w:tc>
          <w:tcPr>
            <w:tcW w:w="0" w:type="auto"/>
          </w:tcPr>
          <w:p w14:paraId="0513974E" w14:textId="77777777" w:rsidR="009F53E4" w:rsidRDefault="009F53E4" w:rsidP="00000270">
            <w:pPr>
              <w:pStyle w:val="Compact"/>
            </w:pPr>
            <w:r w:rsidRPr="00803F09">
              <w:t xml:space="preserve">———. 2019a. « Écriture des dates ». Dans </w:t>
            </w:r>
            <w:r w:rsidRPr="00803F09">
              <w:rPr>
                <w:i/>
                <w:iCs/>
              </w:rPr>
              <w:t>Banque de dépannage linguistique</w:t>
            </w:r>
            <w:proofErr w:type="gramStart"/>
            <w:r w:rsidRPr="00803F09">
              <w:t>. .</w:t>
            </w:r>
            <w:proofErr w:type="gramEnd"/>
            <w:r w:rsidRPr="00803F09">
              <w:t xml:space="preserve"> Québec, CA-QC : Office québécois de la langue française. Consulté le 2019. </w:t>
            </w:r>
            <w:hyperlink r:id="rId512">
              <w:r>
                <w:rPr>
                  <w:rStyle w:val="Hyperlink"/>
                </w:rPr>
                <w:t>https://vitrinelinguistique.oqlf.gouv.qc.ca/21640/la-typographie/nombres/ecriture-des-dates</w:t>
              </w:r>
            </w:hyperlink>
            <w:r>
              <w:t>.</w:t>
            </w:r>
          </w:p>
        </w:tc>
      </w:tr>
      <w:tr w:rsidR="009F53E4" w:rsidRPr="00803F09" w14:paraId="6270ECFD" w14:textId="77777777" w:rsidTr="00000270">
        <w:tc>
          <w:tcPr>
            <w:tcW w:w="0" w:type="auto"/>
          </w:tcPr>
          <w:p w14:paraId="2F261142" w14:textId="77777777" w:rsidR="009F53E4" w:rsidRPr="00803F09" w:rsidRDefault="009F53E4" w:rsidP="00000270">
            <w:pPr>
              <w:pStyle w:val="Compact"/>
            </w:pPr>
            <w:r w:rsidRPr="00803F09">
              <w:t xml:space="preserve">———. 2019b. « Écriture des dates et des heures dans les lettres et les textes courants ». Dans </w:t>
            </w:r>
            <w:r w:rsidRPr="00803F09">
              <w:rPr>
                <w:i/>
                <w:iCs/>
              </w:rPr>
              <w:t>Banque de dépannage linguistique</w:t>
            </w:r>
            <w:proofErr w:type="gramStart"/>
            <w:r w:rsidRPr="00803F09">
              <w:t>. .</w:t>
            </w:r>
            <w:proofErr w:type="gramEnd"/>
            <w:r w:rsidRPr="00803F09">
              <w:t xml:space="preserve"> Québec, CA-QC : Office québécois de la langue française. Consulté le 2019. </w:t>
            </w:r>
            <w:hyperlink r:id="rId513">
              <w:r w:rsidRPr="00803F09">
                <w:rPr>
                  <w:rStyle w:val="Hyperlink"/>
                </w:rPr>
                <w:t>https://vitrinelinguistique.oqlf.gouv.qc.ca/21242/la-typographie/nombres/ecriture-des-dates-et-des-heures-dans-les-lettres-et-les-textes-courants</w:t>
              </w:r>
            </w:hyperlink>
            <w:r w:rsidRPr="00803F09">
              <w:t>.</w:t>
            </w:r>
          </w:p>
        </w:tc>
      </w:tr>
      <w:tr w:rsidR="009F53E4" w:rsidRPr="00803F09" w14:paraId="42C236CD" w14:textId="77777777" w:rsidTr="00000270">
        <w:tc>
          <w:tcPr>
            <w:tcW w:w="0" w:type="auto"/>
          </w:tcPr>
          <w:p w14:paraId="214081D9" w14:textId="77777777" w:rsidR="009F53E4" w:rsidRPr="00803F09" w:rsidRDefault="009F53E4" w:rsidP="00000270">
            <w:pPr>
              <w:pStyle w:val="Compact"/>
            </w:pPr>
            <w:r w:rsidRPr="00803F09">
              <w:t xml:space="preserve">———. 2022. « Différence entre procédé, processus et procédure ». Dans </w:t>
            </w:r>
            <w:r w:rsidRPr="00803F09">
              <w:rPr>
                <w:i/>
                <w:iCs/>
              </w:rPr>
              <w:t>Banque de dépannage linguistique</w:t>
            </w:r>
            <w:proofErr w:type="gramStart"/>
            <w:r w:rsidRPr="00803F09">
              <w:t>. .</w:t>
            </w:r>
            <w:proofErr w:type="gramEnd"/>
            <w:r w:rsidRPr="00803F09">
              <w:t xml:space="preserve"> Québec, CA-QC : Office québécois de la langue française. Consulté le 2022. </w:t>
            </w:r>
            <w:hyperlink r:id="rId514">
              <w:r w:rsidRPr="00803F09">
                <w:rPr>
                  <w:rStyle w:val="Hyperlink"/>
                </w:rPr>
                <w:t>https://vitrinelinguistique.oqlf.gouv.qc.ca/22247/le-vocabulaire/nuances-semantiques/difference-entre-procede-processus-et-procedure</w:t>
              </w:r>
            </w:hyperlink>
            <w:r w:rsidRPr="00803F09">
              <w:t>.</w:t>
            </w:r>
          </w:p>
        </w:tc>
      </w:tr>
      <w:tr w:rsidR="009F53E4" w:rsidRPr="00803F09" w14:paraId="07D68008" w14:textId="77777777" w:rsidTr="00000270">
        <w:tc>
          <w:tcPr>
            <w:tcW w:w="0" w:type="auto"/>
          </w:tcPr>
          <w:p w14:paraId="2FBD2F90" w14:textId="77777777" w:rsidR="009F53E4" w:rsidRPr="00803F09" w:rsidRDefault="009F53E4" w:rsidP="00000270">
            <w:pPr>
              <w:pStyle w:val="Compact"/>
            </w:pPr>
            <w:r w:rsidRPr="00803F09">
              <w:t xml:space="preserve">———. 2023. « Maximal, minimal et optimal : accord de l’adjectif ». Dans </w:t>
            </w:r>
            <w:r w:rsidRPr="00803F09">
              <w:rPr>
                <w:i/>
                <w:iCs/>
              </w:rPr>
              <w:t>Banque de dépannage linguistique</w:t>
            </w:r>
            <w:proofErr w:type="gramStart"/>
            <w:r w:rsidRPr="00803F09">
              <w:t>. .</w:t>
            </w:r>
            <w:proofErr w:type="gramEnd"/>
            <w:r w:rsidRPr="00803F09">
              <w:t xml:space="preserve"> Québec, CA-QC : Office québécois de la langue francaise. Consulté le 8 février 2023. </w:t>
            </w:r>
            <w:hyperlink r:id="rId515">
              <w:r w:rsidRPr="00803F09">
                <w:rPr>
                  <w:rStyle w:val="Hyperlink"/>
                </w:rPr>
                <w:t>https://vitrinelinguistique.oqlf.gouv.qc.ca/23433/la-grammaire/ladjectif/accord-de-ladjectif/cas-particuliers-daccord-de-ladjectif/accord-des-adjectifs-maximal-minimal-et-optimal</w:t>
              </w:r>
            </w:hyperlink>
            <w:r w:rsidRPr="00803F09">
              <w:t>.</w:t>
            </w:r>
          </w:p>
        </w:tc>
      </w:tr>
      <w:tr w:rsidR="009F53E4" w14:paraId="03928B24" w14:textId="77777777" w:rsidTr="00000270">
        <w:tc>
          <w:tcPr>
            <w:tcW w:w="0" w:type="auto"/>
          </w:tcPr>
          <w:p w14:paraId="4AFA68C8" w14:textId="77777777" w:rsidR="009F53E4" w:rsidRDefault="009F53E4" w:rsidP="00000270">
            <w:pPr>
              <w:pStyle w:val="Compact"/>
            </w:pPr>
            <w:r w:rsidRPr="009F53E4">
              <w:rPr>
                <w:lang w:val="en-US"/>
              </w:rPr>
              <w:t xml:space="preserve">OWL Working Group. 2012. « OWL - Semantic Web Standards ». </w:t>
            </w:r>
            <w:r>
              <w:t xml:space="preserve">Ontologie. Cambridge, USA-MA : World Wide Web Consortium (W3C). </w:t>
            </w:r>
            <w:hyperlink r:id="rId516">
              <w:r>
                <w:rPr>
                  <w:rStyle w:val="Hyperlink"/>
                </w:rPr>
                <w:t>https://www.w3.org/OWL/</w:t>
              </w:r>
            </w:hyperlink>
            <w:r>
              <w:t>.</w:t>
            </w:r>
          </w:p>
        </w:tc>
      </w:tr>
      <w:tr w:rsidR="009F53E4" w14:paraId="515DD201" w14:textId="77777777" w:rsidTr="00000270">
        <w:tc>
          <w:tcPr>
            <w:tcW w:w="0" w:type="auto"/>
          </w:tcPr>
          <w:p w14:paraId="27F08652" w14:textId="77777777" w:rsidR="009F53E4" w:rsidRDefault="009F53E4" w:rsidP="00000270">
            <w:pPr>
              <w:pStyle w:val="Compact"/>
            </w:pPr>
            <w:r w:rsidRPr="00803F09">
              <w:t xml:space="preserve">Picard, Charles. 1929. « Le palais de Minos à Cnossos ». </w:t>
            </w:r>
            <w:r>
              <w:rPr>
                <w:i/>
                <w:iCs/>
              </w:rPr>
              <w:t>Journal des Savants</w:t>
            </w:r>
            <w:r>
              <w:t xml:space="preserve"> 3 (1) : 97‑110.</w:t>
            </w:r>
          </w:p>
        </w:tc>
      </w:tr>
      <w:tr w:rsidR="009F53E4" w14:paraId="2FC112BD" w14:textId="77777777" w:rsidTr="00000270">
        <w:tc>
          <w:tcPr>
            <w:tcW w:w="0" w:type="auto"/>
          </w:tcPr>
          <w:p w14:paraId="174E3E84" w14:textId="77777777" w:rsidR="009F53E4" w:rsidRDefault="009F53E4" w:rsidP="00000270">
            <w:pPr>
              <w:pStyle w:val="Compact"/>
            </w:pPr>
            <w:r w:rsidRPr="009F53E4">
              <w:rPr>
                <w:lang w:val="en-US"/>
              </w:rPr>
              <w:t>RDF Working Group. 2014. « RDF - Semantic Web Standards ». Modèle. Cambridge, USA-</w:t>
            </w:r>
            <w:proofErr w:type="gramStart"/>
            <w:r w:rsidRPr="009F53E4">
              <w:rPr>
                <w:lang w:val="en-US"/>
              </w:rPr>
              <w:t>MA :</w:t>
            </w:r>
            <w:proofErr w:type="gramEnd"/>
            <w:r w:rsidRPr="009F53E4">
              <w:rPr>
                <w:lang w:val="en-US"/>
              </w:rPr>
              <w:t xml:space="preserve"> World Wide Web Consortium (W3C). </w:t>
            </w:r>
            <w:hyperlink r:id="rId517">
              <w:r>
                <w:rPr>
                  <w:rStyle w:val="Hyperlink"/>
                </w:rPr>
                <w:t>https://www.w3.org/RDF/</w:t>
              </w:r>
            </w:hyperlink>
            <w:r>
              <w:t>.</w:t>
            </w:r>
          </w:p>
        </w:tc>
      </w:tr>
      <w:tr w:rsidR="009F53E4" w14:paraId="0B086EFD" w14:textId="77777777" w:rsidTr="00000270">
        <w:tc>
          <w:tcPr>
            <w:tcW w:w="0" w:type="auto"/>
          </w:tcPr>
          <w:p w14:paraId="1CF8ACC3" w14:textId="77777777" w:rsidR="009F53E4" w:rsidRDefault="009F53E4" w:rsidP="00000270">
            <w:pPr>
              <w:pStyle w:val="Compact"/>
            </w:pPr>
            <w:r w:rsidRPr="00803F09">
              <w:t xml:space="preserve">Reaney, Gilbert. 1974. </w:t>
            </w:r>
            <w:r w:rsidRPr="00803F09">
              <w:rPr>
                <w:i/>
                <w:iCs/>
              </w:rPr>
              <w:t>Guillaume de Machaut</w:t>
            </w:r>
            <w:r w:rsidRPr="00803F09">
              <w:t xml:space="preserve">. </w:t>
            </w:r>
            <w:r w:rsidRPr="009F53E4">
              <w:rPr>
                <w:lang w:val="en-US"/>
              </w:rPr>
              <w:t>2</w:t>
            </w:r>
            <w:r w:rsidRPr="009F53E4">
              <w:rPr>
                <w:vertAlign w:val="superscript"/>
                <w:lang w:val="en-US"/>
              </w:rPr>
              <w:t>e</w:t>
            </w:r>
            <w:r w:rsidRPr="009F53E4">
              <w:rPr>
                <w:lang w:val="en-US"/>
              </w:rPr>
              <w:t xml:space="preserve"> éd. Oxford Studies of Composers 9. </w:t>
            </w:r>
            <w:r>
              <w:t>London, GB-LND : Oxford University Press.</w:t>
            </w:r>
          </w:p>
        </w:tc>
      </w:tr>
      <w:tr w:rsidR="009F53E4" w:rsidRPr="00103833" w14:paraId="745C11BD" w14:textId="77777777" w:rsidTr="00000270">
        <w:tc>
          <w:tcPr>
            <w:tcW w:w="0" w:type="auto"/>
          </w:tcPr>
          <w:p w14:paraId="5D969196" w14:textId="77777777" w:rsidR="009F53E4" w:rsidRPr="000467B7" w:rsidRDefault="009F53E4" w:rsidP="00000270">
            <w:pPr>
              <w:pStyle w:val="Compact"/>
            </w:pPr>
            <w:r w:rsidRPr="00803F09">
              <w:t xml:space="preserve">Smith, Shelagh, et Hélène Francoeur. </w:t>
            </w:r>
            <w:r w:rsidRPr="009F53E4">
              <w:rPr>
                <w:lang w:val="en-US"/>
              </w:rPr>
              <w:t xml:space="preserve">2021. </w:t>
            </w:r>
            <w:r w:rsidRPr="009F53E4">
              <w:rPr>
                <w:i/>
                <w:iCs/>
                <w:lang w:val="en-US"/>
              </w:rPr>
              <w:t>English to French Book Arts Terms</w:t>
            </w:r>
            <w:r w:rsidRPr="009F53E4">
              <w:rPr>
                <w:lang w:val="en-US"/>
              </w:rPr>
              <w:t>. Toronto, CA-</w:t>
            </w:r>
            <w:proofErr w:type="gramStart"/>
            <w:r w:rsidRPr="009F53E4">
              <w:rPr>
                <w:lang w:val="en-US"/>
              </w:rPr>
              <w:t>ON :</w:t>
            </w:r>
            <w:proofErr w:type="gramEnd"/>
            <w:r w:rsidRPr="009F53E4">
              <w:rPr>
                <w:lang w:val="en-US"/>
              </w:rPr>
              <w:t xml:space="preserve"> Canadian Bookbinders and Book Artists Guild. </w:t>
            </w:r>
            <w:r w:rsidR="000467B7">
              <w:fldChar w:fldCharType="begin"/>
            </w:r>
            <w:r w:rsidR="000467B7" w:rsidRPr="000467B7">
              <w:rPr>
                <w:lang w:val="en-CA"/>
              </w:rPr>
              <w:instrText>HYPERLINK "https://www.cbbag.ca/resources/Public/Book%20Arts%20ENG%20FRE%20Translation.pdf" \h</w:instrText>
            </w:r>
            <w:r w:rsidR="000467B7">
              <w:fldChar w:fldCharType="separate"/>
            </w:r>
            <w:r w:rsidRPr="000467B7">
              <w:rPr>
                <w:rStyle w:val="Hyperlink"/>
              </w:rPr>
              <w:t>https://www.cbbag.ca/resources/Public/Book%20Arts%20ENG%20FRE%20Translation.pdf</w:t>
            </w:r>
            <w:r w:rsidR="000467B7">
              <w:rPr>
                <w:rStyle w:val="Hyperlink"/>
                <w:lang w:val="en-US"/>
              </w:rPr>
              <w:fldChar w:fldCharType="end"/>
            </w:r>
            <w:r w:rsidRPr="000467B7">
              <w:t>.</w:t>
            </w:r>
          </w:p>
        </w:tc>
      </w:tr>
      <w:tr w:rsidR="009F53E4" w14:paraId="1CB4EFBF" w14:textId="77777777" w:rsidTr="00000270">
        <w:tc>
          <w:tcPr>
            <w:tcW w:w="0" w:type="auto"/>
          </w:tcPr>
          <w:p w14:paraId="0B216F3B" w14:textId="77777777" w:rsidR="009F53E4" w:rsidRDefault="009F53E4" w:rsidP="00000270">
            <w:pPr>
              <w:pStyle w:val="Compact"/>
            </w:pPr>
            <w:r w:rsidRPr="009F53E4">
              <w:rPr>
                <w:lang w:val="en-US"/>
              </w:rPr>
              <w:t xml:space="preserve">Strong, Roy. 2005. </w:t>
            </w:r>
            <w:r w:rsidRPr="009F53E4">
              <w:rPr>
                <w:i/>
                <w:iCs/>
                <w:lang w:val="en-US"/>
              </w:rPr>
              <w:t>Coronation: a history of kingship and the British monarchy</w:t>
            </w:r>
            <w:r w:rsidRPr="009F53E4">
              <w:rPr>
                <w:lang w:val="en-US"/>
              </w:rPr>
              <w:t xml:space="preserve">. </w:t>
            </w:r>
            <w:r>
              <w:t>London, GB-LND : Harper Collins.</w:t>
            </w:r>
          </w:p>
        </w:tc>
      </w:tr>
      <w:tr w:rsidR="009F53E4" w:rsidRPr="00803F09" w14:paraId="0AF93FCC" w14:textId="77777777" w:rsidTr="00000270">
        <w:tc>
          <w:tcPr>
            <w:tcW w:w="0" w:type="auto"/>
          </w:tcPr>
          <w:p w14:paraId="645E2689" w14:textId="77777777" w:rsidR="009F53E4" w:rsidRPr="00803F09" w:rsidRDefault="009F53E4" w:rsidP="00000270">
            <w:pPr>
              <w:pStyle w:val="Compact"/>
            </w:pPr>
            <w:r w:rsidRPr="00803F09">
              <w:t xml:space="preserve">Termium. 1997. « Avant Jésus-Christ ». Dans </w:t>
            </w:r>
            <w:r w:rsidRPr="00803F09">
              <w:rPr>
                <w:i/>
                <w:iCs/>
              </w:rPr>
              <w:t>Termium Plus</w:t>
            </w:r>
            <w:proofErr w:type="gramStart"/>
            <w:r w:rsidRPr="00803F09">
              <w:t>. .</w:t>
            </w:r>
            <w:proofErr w:type="gramEnd"/>
            <w:r w:rsidRPr="00803F09">
              <w:t xml:space="preserve"> Ottawa, CA-ON : Gouvernement du Canada. Consulté le 29 janvier 1997. </w:t>
            </w:r>
            <w:hyperlink r:id="rId518" w:anchor="resultrecs">
              <w:r w:rsidRPr="00803F09">
                <w:rPr>
                  <w:rStyle w:val="Hyperlink"/>
                </w:rPr>
                <w:t>https://www.btb.termiumplus.gc.ca/tpv2alpha/alpha-fra.html?lang=fra&amp;i=1&amp;srchtxt=avant+J%C3%A9sus-christ&amp;codom2nd_wet=1#resultrecs</w:t>
              </w:r>
            </w:hyperlink>
            <w:r w:rsidRPr="00803F09">
              <w:t>.</w:t>
            </w:r>
          </w:p>
        </w:tc>
      </w:tr>
      <w:tr w:rsidR="009F53E4" w:rsidRPr="00803F09" w14:paraId="086E72BF" w14:textId="77777777" w:rsidTr="00000270">
        <w:tc>
          <w:tcPr>
            <w:tcW w:w="0" w:type="auto"/>
          </w:tcPr>
          <w:p w14:paraId="1711296A" w14:textId="77777777" w:rsidR="009F53E4" w:rsidRPr="00803F09" w:rsidRDefault="009F53E4" w:rsidP="00000270">
            <w:pPr>
              <w:pStyle w:val="Compact"/>
            </w:pPr>
            <w:r w:rsidRPr="00803F09">
              <w:t xml:space="preserve">———. 2001. « Via ». Dans </w:t>
            </w:r>
            <w:r w:rsidRPr="00803F09">
              <w:rPr>
                <w:i/>
                <w:iCs/>
              </w:rPr>
              <w:t>Termium Plus</w:t>
            </w:r>
            <w:proofErr w:type="gramStart"/>
            <w:r w:rsidRPr="00803F09">
              <w:t>. .</w:t>
            </w:r>
            <w:proofErr w:type="gramEnd"/>
            <w:r w:rsidRPr="00803F09">
              <w:t xml:space="preserve"> Ottawa, CA-ON : Gouvernement du Canada. Consulté le 8 mars 2001. </w:t>
            </w:r>
            <w:hyperlink r:id="rId519" w:anchor="fichesauve-saverecord4">
              <w:r w:rsidRPr="00803F09">
                <w:rPr>
                  <w:rStyle w:val="Hyperlink"/>
                </w:rPr>
                <w:t>https://www.btb.termiumplus.gc.ca/tpv2alpha/alpha-</w:t>
              </w:r>
              <w:r w:rsidRPr="00803F09">
                <w:rPr>
                  <w:rStyle w:val="Hyperlink"/>
                </w:rPr>
                <w:lastRenderedPageBreak/>
                <w:t>fra.html?lang=fra&amp;srchtxt=VIA&amp;i=&amp;index=ent&amp;sg_kp_wet=1323269&amp;fchrcrdnm=4#fichesauve-saverecord4</w:t>
              </w:r>
            </w:hyperlink>
            <w:r w:rsidRPr="00803F09">
              <w:t>.</w:t>
            </w:r>
          </w:p>
        </w:tc>
      </w:tr>
      <w:tr w:rsidR="009F53E4" w:rsidRPr="00803F09" w14:paraId="5121A8C2" w14:textId="77777777" w:rsidTr="00000270">
        <w:tc>
          <w:tcPr>
            <w:tcW w:w="0" w:type="auto"/>
          </w:tcPr>
          <w:p w14:paraId="1034B573" w14:textId="77777777" w:rsidR="009F53E4" w:rsidRPr="00803F09" w:rsidRDefault="009F53E4" w:rsidP="00000270">
            <w:pPr>
              <w:pStyle w:val="Compact"/>
            </w:pPr>
            <w:r w:rsidRPr="009F53E4">
              <w:rPr>
                <w:lang w:val="en-US"/>
              </w:rPr>
              <w:lastRenderedPageBreak/>
              <w:t xml:space="preserve">———. 2003. « Temporal reasoning ». Dans </w:t>
            </w:r>
            <w:r w:rsidRPr="009F53E4">
              <w:rPr>
                <w:i/>
                <w:iCs/>
                <w:lang w:val="en-US"/>
              </w:rPr>
              <w:t>Termium Plus</w:t>
            </w:r>
            <w:proofErr w:type="gramStart"/>
            <w:r w:rsidRPr="009F53E4">
              <w:rPr>
                <w:lang w:val="en-US"/>
              </w:rPr>
              <w:t>. .</w:t>
            </w:r>
            <w:proofErr w:type="gramEnd"/>
            <w:r w:rsidRPr="009F53E4">
              <w:rPr>
                <w:lang w:val="en-US"/>
              </w:rPr>
              <w:t xml:space="preserve"> </w:t>
            </w:r>
            <w:r w:rsidRPr="00803F09">
              <w:t xml:space="preserve">Ottawa, CA-ON : Gouvernment du Canada. Consulté le 19 septembre 2003. </w:t>
            </w:r>
            <w:hyperlink r:id="rId520" w:anchor="fichesauve-saverecord1">
              <w:r w:rsidRPr="00803F09">
                <w:rPr>
                  <w:rStyle w:val="Hyperlink"/>
                </w:rPr>
                <w:t>https://www.btb.termiumplus.gc.ca/tpv2alpha/alpha-fra.html?lang=fra&amp;srchtxt=temporal%20reasoning&amp;i=&amp;index=alt&amp;sg_kp_wet=921138&amp;fchrcrdnm=1#fichesauve-saverecord1</w:t>
              </w:r>
            </w:hyperlink>
            <w:r w:rsidRPr="00803F09">
              <w:t>.</w:t>
            </w:r>
          </w:p>
        </w:tc>
      </w:tr>
      <w:tr w:rsidR="009F53E4" w:rsidRPr="00803F09" w14:paraId="1A658FD8" w14:textId="77777777" w:rsidTr="00000270">
        <w:tc>
          <w:tcPr>
            <w:tcW w:w="0" w:type="auto"/>
          </w:tcPr>
          <w:p w14:paraId="13540C39" w14:textId="77777777" w:rsidR="009F53E4" w:rsidRPr="00803F09" w:rsidRDefault="009F53E4" w:rsidP="00000270">
            <w:pPr>
              <w:pStyle w:val="Compact"/>
            </w:pPr>
            <w:r w:rsidRPr="00803F09">
              <w:t xml:space="preserve">———. 2009a. « Back catalogue ». Dans </w:t>
            </w:r>
            <w:r w:rsidRPr="00803F09">
              <w:rPr>
                <w:i/>
                <w:iCs/>
              </w:rPr>
              <w:t>Termium Plus</w:t>
            </w:r>
            <w:proofErr w:type="gramStart"/>
            <w:r w:rsidRPr="00803F09">
              <w:t>. .</w:t>
            </w:r>
            <w:proofErr w:type="gramEnd"/>
            <w:r w:rsidRPr="00803F09">
              <w:t xml:space="preserve"> Ottawa, CA-ON : Gouvernement du Canada. Consulté le 8 octobre 2009. </w:t>
            </w:r>
            <w:hyperlink r:id="rId521" w:anchor="resultrecs">
              <w:r w:rsidRPr="00803F09">
                <w:rPr>
                  <w:rStyle w:val="Hyperlink"/>
                </w:rPr>
                <w:t>https://www.btb.termiumplus.gc.ca/tpv2alpha/alpha-fra.html?lang=fra&amp;i=1&amp;srchtxt=back+catalogue&amp;index=alt&amp;codom2nd_wet=1#resultrecs</w:t>
              </w:r>
            </w:hyperlink>
            <w:r w:rsidRPr="00803F09">
              <w:t>.</w:t>
            </w:r>
          </w:p>
        </w:tc>
      </w:tr>
      <w:tr w:rsidR="009F53E4" w:rsidRPr="00803F09" w14:paraId="148B39DE" w14:textId="77777777" w:rsidTr="00000270">
        <w:tc>
          <w:tcPr>
            <w:tcW w:w="0" w:type="auto"/>
          </w:tcPr>
          <w:p w14:paraId="454C2098" w14:textId="77777777" w:rsidR="009F53E4" w:rsidRPr="00803F09" w:rsidRDefault="009F53E4" w:rsidP="00000270">
            <w:pPr>
              <w:pStyle w:val="Compact"/>
            </w:pPr>
            <w:r w:rsidRPr="00803F09">
              <w:t xml:space="preserve">———. 2009b. « Cardinalité ». Dans </w:t>
            </w:r>
            <w:r w:rsidRPr="00803F09">
              <w:rPr>
                <w:i/>
                <w:iCs/>
              </w:rPr>
              <w:t>Termium Plus</w:t>
            </w:r>
            <w:proofErr w:type="gramStart"/>
            <w:r w:rsidRPr="00803F09">
              <w:t>. .</w:t>
            </w:r>
            <w:proofErr w:type="gramEnd"/>
            <w:r w:rsidRPr="00803F09">
              <w:t xml:space="preserve"> Ottawa, CA-ON : Gouvernement du Canada. Consulté le 8 octobre 2009. </w:t>
            </w:r>
            <w:hyperlink r:id="rId522" w:anchor="resultrecs">
              <w:r w:rsidRPr="00803F09">
                <w:rPr>
                  <w:rStyle w:val="Hyperlink"/>
                </w:rPr>
                <w:t>https://www.btb.termiumplus.gc.ca/tpv2alpha/alpha-fra.html?lang=fra&amp;i=1&amp;srchtxt=cardinalit%C3%A9&amp;index=frt&amp;codom2nd_wet=1#resultrecs</w:t>
              </w:r>
            </w:hyperlink>
            <w:r w:rsidRPr="00803F09">
              <w:t>.</w:t>
            </w:r>
          </w:p>
        </w:tc>
      </w:tr>
      <w:tr w:rsidR="009F53E4" w:rsidRPr="00803F09" w14:paraId="40FBFF26" w14:textId="77777777" w:rsidTr="00000270">
        <w:tc>
          <w:tcPr>
            <w:tcW w:w="0" w:type="auto"/>
          </w:tcPr>
          <w:p w14:paraId="3C37BA89" w14:textId="77777777" w:rsidR="009F53E4" w:rsidRPr="00803F09" w:rsidRDefault="009F53E4" w:rsidP="00000270">
            <w:pPr>
              <w:pStyle w:val="Compact"/>
            </w:pPr>
            <w:r w:rsidRPr="00803F09">
              <w:t xml:space="preserve">———. 2009c. « Construct ». Dans </w:t>
            </w:r>
            <w:r w:rsidRPr="00803F09">
              <w:rPr>
                <w:i/>
                <w:iCs/>
              </w:rPr>
              <w:t>Termium Plus</w:t>
            </w:r>
            <w:proofErr w:type="gramStart"/>
            <w:r w:rsidRPr="00803F09">
              <w:t>. .</w:t>
            </w:r>
            <w:proofErr w:type="gramEnd"/>
            <w:r w:rsidRPr="00803F09">
              <w:t xml:space="preserve"> Ottawa, CA-ON : Gouvernement du Canada. Consulté le 8 octobre 2009. </w:t>
            </w:r>
            <w:hyperlink r:id="rId523" w:anchor="resultrecs">
              <w:r w:rsidRPr="00803F09">
                <w:rPr>
                  <w:rStyle w:val="Hyperlink"/>
                </w:rPr>
                <w:t>https://www.btb.termiumplus.gc.ca/tpv2alpha/alpha-fra.html?lang=fra&amp;i=1&amp;srchtxt=construct&amp;index=ent&amp;codom2nd_wet=1#resultrecs</w:t>
              </w:r>
            </w:hyperlink>
            <w:r w:rsidRPr="00803F09">
              <w:t>.</w:t>
            </w:r>
          </w:p>
        </w:tc>
      </w:tr>
      <w:tr w:rsidR="009F53E4" w:rsidRPr="00803F09" w14:paraId="0240B186" w14:textId="77777777" w:rsidTr="00000270">
        <w:tc>
          <w:tcPr>
            <w:tcW w:w="0" w:type="auto"/>
          </w:tcPr>
          <w:p w14:paraId="1E78256E" w14:textId="77777777" w:rsidR="009F53E4" w:rsidRPr="00803F09" w:rsidRDefault="009F53E4" w:rsidP="00000270">
            <w:pPr>
              <w:pStyle w:val="Compact"/>
            </w:pPr>
            <w:r w:rsidRPr="00803F09">
              <w:t xml:space="preserve">———. 2009d. « Containment ». Dans </w:t>
            </w:r>
            <w:r w:rsidRPr="00803F09">
              <w:rPr>
                <w:i/>
                <w:iCs/>
              </w:rPr>
              <w:t>Termium Plus</w:t>
            </w:r>
            <w:proofErr w:type="gramStart"/>
            <w:r w:rsidRPr="00803F09">
              <w:t>. .</w:t>
            </w:r>
            <w:proofErr w:type="gramEnd"/>
            <w:r w:rsidRPr="00803F09">
              <w:t xml:space="preserve"> Ottawa, CA-ON : Gouvernement du Canada. Consulté le 8 octobre 2009. </w:t>
            </w:r>
            <w:hyperlink r:id="rId524" w:anchor="resultrecs">
              <w:r w:rsidRPr="00803F09">
                <w:rPr>
                  <w:rStyle w:val="Hyperlink"/>
                </w:rPr>
                <w:t>https://www.btb.termiumplus.gc.ca/tpv2alpha/alpha-fra.html?lang=fra&amp;i=1&amp;srchtxt=containment&amp;index=ent&amp;codom2nd_wet=1#resultrecs</w:t>
              </w:r>
            </w:hyperlink>
            <w:r w:rsidRPr="00803F09">
              <w:t>.</w:t>
            </w:r>
          </w:p>
        </w:tc>
      </w:tr>
      <w:tr w:rsidR="009F53E4" w:rsidRPr="00803F09" w14:paraId="6B4B83E2" w14:textId="77777777" w:rsidTr="00000270">
        <w:tc>
          <w:tcPr>
            <w:tcW w:w="0" w:type="auto"/>
          </w:tcPr>
          <w:p w14:paraId="06E71CE0" w14:textId="77777777" w:rsidR="009F53E4" w:rsidRPr="00803F09" w:rsidRDefault="009F53E4" w:rsidP="00000270">
            <w:pPr>
              <w:pStyle w:val="Compact"/>
            </w:pPr>
            <w:r w:rsidRPr="00803F09">
              <w:t xml:space="preserve">———. 2009e. « Contiguous ». Dans </w:t>
            </w:r>
            <w:r w:rsidRPr="00803F09">
              <w:rPr>
                <w:i/>
                <w:iCs/>
              </w:rPr>
              <w:t>Termium Plus</w:t>
            </w:r>
            <w:proofErr w:type="gramStart"/>
            <w:r w:rsidRPr="00803F09">
              <w:t>. .</w:t>
            </w:r>
            <w:proofErr w:type="gramEnd"/>
            <w:r w:rsidRPr="00803F09">
              <w:t xml:space="preserve"> Ottawa, CA-ON : Gouvernement du Canada. Consulté le 8 octobre 2009. </w:t>
            </w:r>
            <w:hyperlink r:id="rId525" w:anchor="resultrecs">
              <w:r w:rsidRPr="00803F09">
                <w:rPr>
                  <w:rStyle w:val="Hyperlink"/>
                </w:rPr>
                <w:t>https://www.btb.termiumplus.gc.ca/tpv2alpha/alpha-fra.html?lang=fra&amp;i=1&amp;srchtxt=contiguous&amp;codom2nd_wet=1#resultrecs</w:t>
              </w:r>
            </w:hyperlink>
            <w:r w:rsidRPr="00803F09">
              <w:t>.</w:t>
            </w:r>
          </w:p>
        </w:tc>
      </w:tr>
      <w:tr w:rsidR="009F53E4" w:rsidRPr="00803F09" w14:paraId="285646A1" w14:textId="77777777" w:rsidTr="00000270">
        <w:tc>
          <w:tcPr>
            <w:tcW w:w="0" w:type="auto"/>
          </w:tcPr>
          <w:p w14:paraId="4B0F6303" w14:textId="77777777" w:rsidR="009F53E4" w:rsidRPr="00803F09" w:rsidRDefault="009F53E4" w:rsidP="00000270">
            <w:pPr>
              <w:pStyle w:val="Compact"/>
            </w:pPr>
            <w:r w:rsidRPr="00803F09">
              <w:t xml:space="preserve">———. 2009f. « Convention appellation courriels ». Dans </w:t>
            </w:r>
            <w:r w:rsidRPr="00803F09">
              <w:rPr>
                <w:i/>
                <w:iCs/>
              </w:rPr>
              <w:t>Termium Plus</w:t>
            </w:r>
            <w:proofErr w:type="gramStart"/>
            <w:r w:rsidRPr="00803F09">
              <w:t>. .</w:t>
            </w:r>
            <w:proofErr w:type="gramEnd"/>
            <w:r w:rsidRPr="00803F09">
              <w:t xml:space="preserve"> Ottawa, CA-ON : Gouvernement du Canada. Consulté le 8 octobre 2009. </w:t>
            </w:r>
            <w:hyperlink r:id="rId526">
              <w:r w:rsidRPr="00803F09">
                <w:rPr>
                  <w:rStyle w:val="Hyperlink"/>
                </w:rPr>
                <w:t>https://www.btb.termiumplus.gc.ca/tpv2alpha/alpha-eng.html?lang=eng&amp;i=1&amp;index=frt&amp;srchtxt=CONVENTION%20APPELLATION%20COURRIELS</w:t>
              </w:r>
            </w:hyperlink>
            <w:r w:rsidRPr="00803F09">
              <w:t>.</w:t>
            </w:r>
          </w:p>
        </w:tc>
      </w:tr>
      <w:tr w:rsidR="009F53E4" w:rsidRPr="00803F09" w14:paraId="082F7CCF" w14:textId="77777777" w:rsidTr="00000270">
        <w:tc>
          <w:tcPr>
            <w:tcW w:w="0" w:type="auto"/>
          </w:tcPr>
          <w:p w14:paraId="10E04E7B" w14:textId="77777777" w:rsidR="009F53E4" w:rsidRPr="00803F09" w:rsidRDefault="009F53E4" w:rsidP="00000270">
            <w:pPr>
              <w:pStyle w:val="Compact"/>
            </w:pPr>
            <w:r w:rsidRPr="00803F09">
              <w:t xml:space="preserve">———. 2009g. « Directed graph ». Dans </w:t>
            </w:r>
            <w:r w:rsidRPr="00803F09">
              <w:rPr>
                <w:i/>
                <w:iCs/>
              </w:rPr>
              <w:t>Termium Plus</w:t>
            </w:r>
            <w:proofErr w:type="gramStart"/>
            <w:r w:rsidRPr="00803F09">
              <w:t>. .</w:t>
            </w:r>
            <w:proofErr w:type="gramEnd"/>
            <w:r w:rsidRPr="00803F09">
              <w:t xml:space="preserve"> Ottawa, CA-ON : Gouvernement du Canada. Consulté le 8 octobre 2009. </w:t>
            </w:r>
            <w:hyperlink r:id="rId527" w:anchor="resultrecs">
              <w:r w:rsidRPr="00803F09">
                <w:rPr>
                  <w:rStyle w:val="Hyperlink"/>
                </w:rPr>
                <w:t>https://www.btb.termiumplus.gc.ca/tpv2alpha/alpha-fra.html?lang=fra&amp;i=1&amp;srchtxt=directed+graph&amp;index=alt&amp;codom2nd_wet=1#resultrecs</w:t>
              </w:r>
            </w:hyperlink>
            <w:r w:rsidRPr="00803F09">
              <w:t>.</w:t>
            </w:r>
          </w:p>
        </w:tc>
      </w:tr>
      <w:tr w:rsidR="009F53E4" w:rsidRPr="00803F09" w14:paraId="7774CF49" w14:textId="77777777" w:rsidTr="00000270">
        <w:tc>
          <w:tcPr>
            <w:tcW w:w="0" w:type="auto"/>
          </w:tcPr>
          <w:p w14:paraId="20D3C68D" w14:textId="77777777" w:rsidR="009F53E4" w:rsidRPr="00803F09" w:rsidRDefault="009F53E4" w:rsidP="00000270">
            <w:pPr>
              <w:pStyle w:val="Compact"/>
            </w:pPr>
            <w:r w:rsidRPr="00803F09">
              <w:t xml:space="preserve">———. 2009h. « Fan-in ». Dans </w:t>
            </w:r>
            <w:r w:rsidRPr="00803F09">
              <w:rPr>
                <w:i/>
                <w:iCs/>
              </w:rPr>
              <w:t>Termium Plus</w:t>
            </w:r>
            <w:proofErr w:type="gramStart"/>
            <w:r w:rsidRPr="00803F09">
              <w:t>. .</w:t>
            </w:r>
            <w:proofErr w:type="gramEnd"/>
            <w:r w:rsidRPr="00803F09">
              <w:t xml:space="preserve"> Ottawa, CA-ON : Gouvernement du Canada. Consulté le 8 octobre 2009. </w:t>
            </w:r>
            <w:hyperlink r:id="rId528" w:anchor="resultrecs">
              <w:r w:rsidRPr="00803F09">
                <w:rPr>
                  <w:rStyle w:val="Hyperlink"/>
                </w:rPr>
                <w:t>https://www.btb.termiumplus.gc.ca/tpv2alpha/alpha-fra.html?lang=fra&amp;i=1&amp;srchtxt=fan-in&amp;index=ent&amp;codom2nd_wet=1#resultrecs</w:t>
              </w:r>
            </w:hyperlink>
            <w:r w:rsidRPr="00803F09">
              <w:t>.</w:t>
            </w:r>
          </w:p>
        </w:tc>
      </w:tr>
      <w:tr w:rsidR="009F53E4" w:rsidRPr="00803F09" w14:paraId="75021032" w14:textId="77777777" w:rsidTr="00000270">
        <w:tc>
          <w:tcPr>
            <w:tcW w:w="0" w:type="auto"/>
          </w:tcPr>
          <w:p w14:paraId="574108F9" w14:textId="77777777" w:rsidR="009F53E4" w:rsidRPr="00803F09" w:rsidRDefault="009F53E4" w:rsidP="00000270">
            <w:pPr>
              <w:pStyle w:val="Compact"/>
            </w:pPr>
            <w:r w:rsidRPr="00803F09">
              <w:t xml:space="preserve">———. 2009i. « Fan-out ». Dans </w:t>
            </w:r>
            <w:r w:rsidRPr="00803F09">
              <w:rPr>
                <w:i/>
                <w:iCs/>
              </w:rPr>
              <w:t>Termium Plus</w:t>
            </w:r>
            <w:proofErr w:type="gramStart"/>
            <w:r w:rsidRPr="00803F09">
              <w:t>. .</w:t>
            </w:r>
            <w:proofErr w:type="gramEnd"/>
            <w:r w:rsidRPr="00803F09">
              <w:t xml:space="preserve"> Ottawa, CA-ON : Gouvernement du Canada. Consulté le 8 octobre 2009. </w:t>
            </w:r>
            <w:hyperlink r:id="rId529" w:anchor="resultrecs">
              <w:r w:rsidRPr="00803F09">
                <w:rPr>
                  <w:rStyle w:val="Hyperlink"/>
                </w:rPr>
                <w:t>https://www.btb.termiumplus.gc.ca/tpv2alpha/alpha-fra.html?lang=fra&amp;i=1&amp;srchtxt=fan-out&amp;index=ent&amp;codom2nd_wet=1#resultrecs</w:t>
              </w:r>
            </w:hyperlink>
            <w:r w:rsidRPr="00803F09">
              <w:t>.</w:t>
            </w:r>
          </w:p>
        </w:tc>
      </w:tr>
      <w:tr w:rsidR="009F53E4" w:rsidRPr="00803F09" w14:paraId="4EF771C2" w14:textId="77777777" w:rsidTr="00000270">
        <w:tc>
          <w:tcPr>
            <w:tcW w:w="0" w:type="auto"/>
          </w:tcPr>
          <w:p w14:paraId="6B3442E6" w14:textId="77777777" w:rsidR="009F53E4" w:rsidRPr="00803F09" w:rsidRDefault="009F53E4" w:rsidP="00000270">
            <w:pPr>
              <w:pStyle w:val="Compact"/>
            </w:pPr>
            <w:r w:rsidRPr="00803F09">
              <w:t xml:space="preserve">———. 2009j. « Ideational content ». Dans </w:t>
            </w:r>
            <w:r w:rsidRPr="00803F09">
              <w:rPr>
                <w:i/>
                <w:iCs/>
              </w:rPr>
              <w:t>Termium Plus</w:t>
            </w:r>
            <w:proofErr w:type="gramStart"/>
            <w:r w:rsidRPr="00803F09">
              <w:t>. .</w:t>
            </w:r>
            <w:proofErr w:type="gramEnd"/>
            <w:r w:rsidRPr="00803F09">
              <w:t xml:space="preserve"> Ottawa, CA-ON : Gouvernement du Canada. Consulté le 8 octobre 2009. </w:t>
            </w:r>
            <w:hyperlink r:id="rId530">
              <w:r w:rsidRPr="00803F09">
                <w:rPr>
                  <w:rStyle w:val="Hyperlink"/>
                </w:rPr>
                <w:t>https://www.btb.termiumplus.gc.ca/tpv2alpha/alpha-fra.html?lang=fra&amp;srchtxt=IDEATIONAL+CONTENT</w:t>
              </w:r>
            </w:hyperlink>
            <w:r w:rsidRPr="00803F09">
              <w:t>.</w:t>
            </w:r>
          </w:p>
        </w:tc>
      </w:tr>
      <w:tr w:rsidR="009F53E4" w:rsidRPr="00803F09" w14:paraId="2ED9F811" w14:textId="77777777" w:rsidTr="00000270">
        <w:tc>
          <w:tcPr>
            <w:tcW w:w="0" w:type="auto"/>
          </w:tcPr>
          <w:p w14:paraId="05D3F13A" w14:textId="77777777" w:rsidR="009F53E4" w:rsidRPr="00803F09" w:rsidRDefault="009F53E4" w:rsidP="00000270">
            <w:pPr>
              <w:pStyle w:val="Compact"/>
            </w:pPr>
            <w:r w:rsidRPr="00803F09">
              <w:lastRenderedPageBreak/>
              <w:t xml:space="preserve">———. 2009k. « Information system ». Dans </w:t>
            </w:r>
            <w:r w:rsidRPr="00803F09">
              <w:rPr>
                <w:i/>
                <w:iCs/>
              </w:rPr>
              <w:t>Termium Plus</w:t>
            </w:r>
            <w:proofErr w:type="gramStart"/>
            <w:r w:rsidRPr="00803F09">
              <w:t>. .</w:t>
            </w:r>
            <w:proofErr w:type="gramEnd"/>
            <w:r w:rsidRPr="00803F09">
              <w:t xml:space="preserve"> Ottawa, CA-ON : Gouvernement du Canada. Consulté le 8 octobre 2009. </w:t>
            </w:r>
            <w:hyperlink r:id="rId531" w:anchor="resultrecs">
              <w:r w:rsidRPr="00803F09">
                <w:rPr>
                  <w:rStyle w:val="Hyperlink"/>
                </w:rPr>
                <w:t>https://www.btb.termiumplus.gc.ca/tpv2alpha/alpha-eng.html?lang=eng&amp;i=1&amp;srchtxt=INFORMATION+SYSTEM&amp;index=ent&amp;codom2nd_wet=1#resultrecs</w:t>
              </w:r>
            </w:hyperlink>
            <w:r w:rsidRPr="00803F09">
              <w:t>.</w:t>
            </w:r>
          </w:p>
        </w:tc>
      </w:tr>
      <w:tr w:rsidR="009F53E4" w:rsidRPr="00803F09" w14:paraId="73A98C48" w14:textId="77777777" w:rsidTr="00000270">
        <w:tc>
          <w:tcPr>
            <w:tcW w:w="0" w:type="auto"/>
          </w:tcPr>
          <w:p w14:paraId="7B0E6E47" w14:textId="77777777" w:rsidR="009F53E4" w:rsidRPr="00803F09" w:rsidRDefault="009F53E4" w:rsidP="00000270">
            <w:pPr>
              <w:pStyle w:val="Compact"/>
            </w:pPr>
            <w:r w:rsidRPr="00803F09">
              <w:t xml:space="preserve">———. 2009l. « Join ». Dans </w:t>
            </w:r>
            <w:r w:rsidRPr="00803F09">
              <w:rPr>
                <w:i/>
                <w:iCs/>
              </w:rPr>
              <w:t>Termium Plus</w:t>
            </w:r>
            <w:proofErr w:type="gramStart"/>
            <w:r w:rsidRPr="00803F09">
              <w:t>. .</w:t>
            </w:r>
            <w:proofErr w:type="gramEnd"/>
            <w:r w:rsidRPr="00803F09">
              <w:t xml:space="preserve"> Ottawa, CA-ON : Gouvernement du Canada. Consulté le 8 octobre 2009. </w:t>
            </w:r>
            <w:hyperlink r:id="rId532" w:anchor="resultrecs">
              <w:r w:rsidRPr="00803F09">
                <w:rPr>
                  <w:rStyle w:val="Hyperlink"/>
                </w:rPr>
                <w:t>https://www.btb.termiumplus.gc.ca/tpv2alpha/alpha-fra.html?lang=fra&amp;i=1&amp;srchtxt=join&amp;index=ent&amp;codom2nd_wet=1#resultrecs</w:t>
              </w:r>
            </w:hyperlink>
            <w:r w:rsidRPr="00803F09">
              <w:t>.</w:t>
            </w:r>
          </w:p>
        </w:tc>
      </w:tr>
      <w:tr w:rsidR="009F53E4" w:rsidRPr="00803F09" w14:paraId="689B072C" w14:textId="77777777" w:rsidTr="00000270">
        <w:tc>
          <w:tcPr>
            <w:tcW w:w="0" w:type="auto"/>
          </w:tcPr>
          <w:p w14:paraId="4A7794FA" w14:textId="77777777" w:rsidR="009F53E4" w:rsidRPr="00803F09" w:rsidRDefault="009F53E4" w:rsidP="00000270">
            <w:pPr>
              <w:pStyle w:val="Compact"/>
            </w:pPr>
            <w:r w:rsidRPr="00803F09">
              <w:t xml:space="preserve">———. 2009m. « Merge ». Dans </w:t>
            </w:r>
            <w:r w:rsidRPr="00803F09">
              <w:rPr>
                <w:i/>
                <w:iCs/>
              </w:rPr>
              <w:t>Termium Plus</w:t>
            </w:r>
            <w:proofErr w:type="gramStart"/>
            <w:r w:rsidRPr="00803F09">
              <w:t>. .</w:t>
            </w:r>
            <w:proofErr w:type="gramEnd"/>
            <w:r w:rsidRPr="00803F09">
              <w:t xml:space="preserve"> Ottawa, CA-ON : Gouvernement du Canada. Consulté le 8 octobre 2009. </w:t>
            </w:r>
            <w:hyperlink r:id="rId533" w:anchor="resultrecs">
              <w:r w:rsidRPr="00803F09">
                <w:rPr>
                  <w:rStyle w:val="Hyperlink"/>
                </w:rPr>
                <w:t>https://www.btb.termiumplus.gc.ca/tpv2alpha/alpha-fra.html?lang=fra&amp;i=1&amp;srchtxt=merge&amp;index=ent&amp;codom2nd_wet=1#resultrecs</w:t>
              </w:r>
            </w:hyperlink>
            <w:r w:rsidRPr="00803F09">
              <w:t>.</w:t>
            </w:r>
          </w:p>
        </w:tc>
      </w:tr>
      <w:tr w:rsidR="009F53E4" w:rsidRPr="00803F09" w14:paraId="236D163F" w14:textId="77777777" w:rsidTr="00000270">
        <w:tc>
          <w:tcPr>
            <w:tcW w:w="0" w:type="auto"/>
          </w:tcPr>
          <w:p w14:paraId="1E6F0059" w14:textId="77777777" w:rsidR="009F53E4" w:rsidRPr="00803F09" w:rsidRDefault="009F53E4" w:rsidP="00000270">
            <w:pPr>
              <w:pStyle w:val="Compact"/>
            </w:pPr>
            <w:r w:rsidRPr="00803F09">
              <w:t xml:space="preserve">———. 2009n. « Normalization ». Dans </w:t>
            </w:r>
            <w:r w:rsidRPr="00803F09">
              <w:rPr>
                <w:i/>
                <w:iCs/>
              </w:rPr>
              <w:t>Termium Plus</w:t>
            </w:r>
            <w:proofErr w:type="gramStart"/>
            <w:r w:rsidRPr="00803F09">
              <w:t>. .</w:t>
            </w:r>
            <w:proofErr w:type="gramEnd"/>
            <w:r w:rsidRPr="00803F09">
              <w:t xml:space="preserve"> Ottawa, CA-ON : Gouvernement du Canada. Consulté le 8 octobre 2009. </w:t>
            </w:r>
            <w:hyperlink r:id="rId534" w:anchor="resultrecs">
              <w:r w:rsidRPr="00803F09">
                <w:rPr>
                  <w:rStyle w:val="Hyperlink"/>
                </w:rPr>
                <w:t>https://www.btb.termiumplus.gc.ca/tpv2alpha/alpha-fra.html?lang=fra&amp;i=1&amp;srchtxt=normalization&amp;index=alt&amp;codom2nd_wet=1#resultrecs</w:t>
              </w:r>
            </w:hyperlink>
            <w:r w:rsidRPr="00803F09">
              <w:t>.</w:t>
            </w:r>
          </w:p>
        </w:tc>
      </w:tr>
      <w:tr w:rsidR="009F53E4" w:rsidRPr="00803F09" w14:paraId="04C8BD41" w14:textId="77777777" w:rsidTr="00000270">
        <w:tc>
          <w:tcPr>
            <w:tcW w:w="0" w:type="auto"/>
          </w:tcPr>
          <w:p w14:paraId="2AFB4668" w14:textId="77777777" w:rsidR="009F53E4" w:rsidRPr="00803F09" w:rsidRDefault="009F53E4" w:rsidP="00000270">
            <w:pPr>
              <w:pStyle w:val="Compact"/>
            </w:pPr>
            <w:r w:rsidRPr="00803F09">
              <w:t xml:space="preserve">———. 2009o. « Primitive ». Dans </w:t>
            </w:r>
            <w:r w:rsidRPr="00803F09">
              <w:rPr>
                <w:i/>
                <w:iCs/>
              </w:rPr>
              <w:t>Termium Plus</w:t>
            </w:r>
            <w:proofErr w:type="gramStart"/>
            <w:r w:rsidRPr="00803F09">
              <w:t>. .</w:t>
            </w:r>
            <w:proofErr w:type="gramEnd"/>
            <w:r w:rsidRPr="00803F09">
              <w:t xml:space="preserve"> Ottawa, CA-ON : Gouvernement du Canada. Consulté le 8 octobre 2009. </w:t>
            </w:r>
            <w:hyperlink r:id="rId535" w:anchor="resultrecs">
              <w:r w:rsidRPr="00803F09">
                <w:rPr>
                  <w:rStyle w:val="Hyperlink"/>
                </w:rPr>
                <w:t>https://www.btb.termiumplus.gc.ca/tpv2alpha/alpha-fra.html?lang=fra&amp;i=1&amp;srchtxt=primitive&amp;index=ent&amp;codom2nd_wet=1#resultrecs</w:t>
              </w:r>
            </w:hyperlink>
            <w:r w:rsidRPr="00803F09">
              <w:t>.</w:t>
            </w:r>
          </w:p>
        </w:tc>
      </w:tr>
      <w:tr w:rsidR="009F53E4" w:rsidRPr="00803F09" w14:paraId="40F740F3" w14:textId="77777777" w:rsidTr="00000270">
        <w:tc>
          <w:tcPr>
            <w:tcW w:w="0" w:type="auto"/>
          </w:tcPr>
          <w:p w14:paraId="2411264E" w14:textId="77777777" w:rsidR="009F53E4" w:rsidRPr="00803F09" w:rsidRDefault="009F53E4" w:rsidP="00000270">
            <w:pPr>
              <w:pStyle w:val="Compact"/>
            </w:pPr>
            <w:r w:rsidRPr="00803F09">
              <w:t xml:space="preserve">———. 2009p. « Quantifier ». Dans </w:t>
            </w:r>
            <w:r w:rsidRPr="00803F09">
              <w:rPr>
                <w:i/>
                <w:iCs/>
              </w:rPr>
              <w:t>Termium Plus</w:t>
            </w:r>
            <w:proofErr w:type="gramStart"/>
            <w:r w:rsidRPr="00803F09">
              <w:t>. .</w:t>
            </w:r>
            <w:proofErr w:type="gramEnd"/>
            <w:r w:rsidRPr="00803F09">
              <w:t xml:space="preserve"> Ottawa, CA-ON : Gouvernement du Canada. Consulté le 8 octobre 2009. </w:t>
            </w:r>
            <w:hyperlink r:id="rId536" w:anchor="resultrecs">
              <w:r w:rsidRPr="00803F09">
                <w:rPr>
                  <w:rStyle w:val="Hyperlink"/>
                </w:rPr>
                <w:t>https://www.btb.termiumplus.gc.ca/tpv2alpha/alpha-fra.html?lang=fra&amp;i=1&amp;srchtxt=quantifier&amp;index=ent&amp;codom2nd_wet=1#resultrecs</w:t>
              </w:r>
            </w:hyperlink>
            <w:r w:rsidRPr="00803F09">
              <w:t>.</w:t>
            </w:r>
          </w:p>
        </w:tc>
      </w:tr>
      <w:tr w:rsidR="009F53E4" w:rsidRPr="00803F09" w14:paraId="1570C71A" w14:textId="77777777" w:rsidTr="00000270">
        <w:tc>
          <w:tcPr>
            <w:tcW w:w="0" w:type="auto"/>
          </w:tcPr>
          <w:p w14:paraId="6883701C" w14:textId="77777777" w:rsidR="009F53E4" w:rsidRPr="00803F09" w:rsidRDefault="009F53E4" w:rsidP="00000270">
            <w:pPr>
              <w:pStyle w:val="Compact"/>
            </w:pPr>
            <w:r w:rsidRPr="00803F09">
              <w:t xml:space="preserve">———. 2009q. « Répétable ». Dans </w:t>
            </w:r>
            <w:r w:rsidRPr="00803F09">
              <w:rPr>
                <w:i/>
                <w:iCs/>
              </w:rPr>
              <w:t>Termium Plus</w:t>
            </w:r>
            <w:proofErr w:type="gramStart"/>
            <w:r w:rsidRPr="00803F09">
              <w:t>. .</w:t>
            </w:r>
            <w:proofErr w:type="gramEnd"/>
            <w:r w:rsidRPr="00803F09">
              <w:t xml:space="preserve"> Ottawa, CA-ON : Gouvernement du Canada. Consulté le 8 octobre 2009. </w:t>
            </w:r>
            <w:hyperlink r:id="rId537">
              <w:r w:rsidRPr="00803F09">
                <w:rPr>
                  <w:rStyle w:val="Hyperlink"/>
                </w:rPr>
                <w:t>https://www.btb.termiumplus.gc.ca/tpv2alpha/alpha-fra.html?lang=fra&amp;i=&amp;index=alt&amp;srchtxt=CATEGORIE%20REPETABLE</w:t>
              </w:r>
            </w:hyperlink>
            <w:r w:rsidRPr="00803F09">
              <w:t>.</w:t>
            </w:r>
          </w:p>
        </w:tc>
      </w:tr>
      <w:tr w:rsidR="009F53E4" w:rsidRPr="00803F09" w14:paraId="7C189A0B" w14:textId="77777777" w:rsidTr="00000270">
        <w:tc>
          <w:tcPr>
            <w:tcW w:w="0" w:type="auto"/>
          </w:tcPr>
          <w:p w14:paraId="2292FDA0" w14:textId="77777777" w:rsidR="009F53E4" w:rsidRPr="00803F09" w:rsidRDefault="009F53E4" w:rsidP="00000270">
            <w:pPr>
              <w:pStyle w:val="Compact"/>
            </w:pPr>
            <w:r w:rsidRPr="00803F09">
              <w:t xml:space="preserve">———. 2022a. « Custody ». Dans </w:t>
            </w:r>
            <w:r w:rsidRPr="00803F09">
              <w:rPr>
                <w:i/>
                <w:iCs/>
              </w:rPr>
              <w:t>Termium Plus</w:t>
            </w:r>
            <w:proofErr w:type="gramStart"/>
            <w:r w:rsidRPr="00803F09">
              <w:t>. .</w:t>
            </w:r>
            <w:proofErr w:type="gramEnd"/>
            <w:r w:rsidRPr="00803F09">
              <w:t xml:space="preserve"> Ottawa, CA-ON : Gouvernement du Canada. Consulté le 2022. </w:t>
            </w:r>
            <w:hyperlink r:id="rId538" w:anchor="resultrecs">
              <w:r w:rsidRPr="00803F09">
                <w:rPr>
                  <w:rStyle w:val="Hyperlink"/>
                </w:rPr>
                <w:t>https://www.btb.termiumplus.gc.ca/tpv2alpha/alpha-fra.html?lang=fra&amp;i=1&amp;srchtxt=custody&amp;codom2nd_wet=1#resultrecs</w:t>
              </w:r>
            </w:hyperlink>
            <w:r w:rsidRPr="00803F09">
              <w:t>.</w:t>
            </w:r>
          </w:p>
        </w:tc>
      </w:tr>
      <w:tr w:rsidR="009F53E4" w:rsidRPr="00803F09" w14:paraId="1BDF84C3" w14:textId="77777777" w:rsidTr="00000270">
        <w:tc>
          <w:tcPr>
            <w:tcW w:w="0" w:type="auto"/>
          </w:tcPr>
          <w:p w14:paraId="56DA9DAB" w14:textId="77777777" w:rsidR="009F53E4" w:rsidRPr="00803F09" w:rsidRDefault="009F53E4" w:rsidP="00000270">
            <w:pPr>
              <w:pStyle w:val="Compact"/>
            </w:pPr>
            <w:r w:rsidRPr="00803F09">
              <w:t xml:space="preserve">———. 2022b. « Land use ». Dans </w:t>
            </w:r>
            <w:r w:rsidRPr="00803F09">
              <w:rPr>
                <w:i/>
                <w:iCs/>
              </w:rPr>
              <w:t>Termium Plus</w:t>
            </w:r>
            <w:proofErr w:type="gramStart"/>
            <w:r w:rsidRPr="00803F09">
              <w:t>. .</w:t>
            </w:r>
            <w:proofErr w:type="gramEnd"/>
            <w:r w:rsidRPr="00803F09">
              <w:t xml:space="preserve"> Ottawa, CA-ON : Gouvernement du Canada. Consulté le 2022. </w:t>
            </w:r>
            <w:hyperlink r:id="rId539" w:anchor="resultrecs">
              <w:r w:rsidRPr="00803F09">
                <w:rPr>
                  <w:rStyle w:val="Hyperlink"/>
                </w:rPr>
                <w:t>https://www.btb.termiumplus.gc.ca/tpv2alpha/alpha-fra.html?lang=fra&amp;i=1&amp;srchtxt=land+use&amp;index=alt&amp;codom2nd_wet=1#resultrecs</w:t>
              </w:r>
            </w:hyperlink>
            <w:r w:rsidRPr="00803F09">
              <w:t>.</w:t>
            </w:r>
          </w:p>
        </w:tc>
      </w:tr>
      <w:tr w:rsidR="009F53E4" w:rsidRPr="00803F09" w14:paraId="1625EB67" w14:textId="77777777" w:rsidTr="00000270">
        <w:tc>
          <w:tcPr>
            <w:tcW w:w="0" w:type="auto"/>
          </w:tcPr>
          <w:p w14:paraId="68F4E5EF" w14:textId="77777777" w:rsidR="009F53E4" w:rsidRPr="00803F09" w:rsidRDefault="009F53E4" w:rsidP="00000270">
            <w:pPr>
              <w:pStyle w:val="Compact"/>
            </w:pPr>
            <w:r w:rsidRPr="00803F09">
              <w:t xml:space="preserve">———. 2022c. « Museum exhibit ». Dans </w:t>
            </w:r>
            <w:r w:rsidRPr="00803F09">
              <w:rPr>
                <w:i/>
                <w:iCs/>
              </w:rPr>
              <w:t>Termium Plus</w:t>
            </w:r>
            <w:proofErr w:type="gramStart"/>
            <w:r w:rsidRPr="00803F09">
              <w:t>. .</w:t>
            </w:r>
            <w:proofErr w:type="gramEnd"/>
            <w:r w:rsidRPr="00803F09">
              <w:t xml:space="preserve"> Ottawa, CA-ON : Gouvernement du Canada. Consulté le 2022. </w:t>
            </w:r>
            <w:hyperlink r:id="rId540" w:anchor="resultrecs">
              <w:r w:rsidRPr="00803F09">
                <w:rPr>
                  <w:rStyle w:val="Hyperlink"/>
                </w:rPr>
                <w:t>https://www.btb.termiumplus.gc.ca/tpv2alpha/alpha-fra.html?lang=fra&amp;i=1&amp;srchtxt=MUSEUM+EXHIBIT&amp;codom2nd_wet=1#resultrecs</w:t>
              </w:r>
            </w:hyperlink>
            <w:r w:rsidRPr="00803F09">
              <w:t>.</w:t>
            </w:r>
          </w:p>
        </w:tc>
      </w:tr>
      <w:tr w:rsidR="009F53E4" w14:paraId="58536463" w14:textId="77777777" w:rsidTr="00000270">
        <w:tc>
          <w:tcPr>
            <w:tcW w:w="0" w:type="auto"/>
          </w:tcPr>
          <w:p w14:paraId="47C47F45" w14:textId="77777777" w:rsidR="009F53E4" w:rsidRDefault="009F53E4" w:rsidP="00000270">
            <w:pPr>
              <w:pStyle w:val="Compact"/>
            </w:pPr>
            <w:r w:rsidRPr="009F53E4">
              <w:rPr>
                <w:lang w:val="en-US"/>
              </w:rPr>
              <w:t xml:space="preserve">Theodoropoulos, Alexandros. 2021. « Maria Argyriadi: The researcher and toys collector that changed the Benaki Museum ». </w:t>
            </w:r>
            <w:r>
              <w:rPr>
                <w:i/>
                <w:iCs/>
              </w:rPr>
              <w:t>ImpacTalk</w:t>
            </w:r>
            <w:r>
              <w:t xml:space="preserve">. 21 mai. </w:t>
            </w:r>
            <w:hyperlink r:id="rId541">
              <w:r>
                <w:rPr>
                  <w:rStyle w:val="Hyperlink"/>
                </w:rPr>
                <w:t>https://impactalk.gr/en/stories-talk/maria-argyriadi-researcher-and-toys-collector-changed-benaki-museum</w:t>
              </w:r>
            </w:hyperlink>
            <w:r>
              <w:t>.</w:t>
            </w:r>
          </w:p>
        </w:tc>
      </w:tr>
      <w:tr w:rsidR="009F53E4" w:rsidRPr="00803F09" w14:paraId="1ACEB5FB" w14:textId="77777777" w:rsidTr="00000270">
        <w:tc>
          <w:tcPr>
            <w:tcW w:w="0" w:type="auto"/>
          </w:tcPr>
          <w:p w14:paraId="123F2081" w14:textId="77777777" w:rsidR="009F53E4" w:rsidRPr="00803F09" w:rsidRDefault="009F53E4" w:rsidP="00000270">
            <w:pPr>
              <w:pStyle w:val="Compact"/>
            </w:pPr>
            <w:r w:rsidRPr="00803F09">
              <w:t xml:space="preserve">Utpictura18. s. d. « Farinelli et ses amis - Amigoni ». Utpictura18. Consulté le 18 mai 2023. </w:t>
            </w:r>
            <w:hyperlink r:id="rId542">
              <w:r w:rsidRPr="00803F09">
                <w:rPr>
                  <w:rStyle w:val="Hyperlink"/>
                </w:rPr>
                <w:t>https://utpictura18.univ-amu.fr/notice/4226-farinelli-amis-amigoni</w:t>
              </w:r>
            </w:hyperlink>
            <w:r w:rsidRPr="00803F09">
              <w:t>.</w:t>
            </w:r>
          </w:p>
        </w:tc>
      </w:tr>
      <w:tr w:rsidR="009F53E4" w:rsidRPr="00803F09" w14:paraId="26573C49" w14:textId="77777777" w:rsidTr="00000270">
        <w:tc>
          <w:tcPr>
            <w:tcW w:w="0" w:type="auto"/>
          </w:tcPr>
          <w:p w14:paraId="07280BBE" w14:textId="77777777" w:rsidR="009F53E4" w:rsidRPr="00803F09" w:rsidRDefault="009F53E4" w:rsidP="00000270">
            <w:pPr>
              <w:pStyle w:val="Compact"/>
            </w:pPr>
            <w:r w:rsidRPr="00803F09">
              <w:lastRenderedPageBreak/>
              <w:t xml:space="preserve">Van Rijn, Rembrandt. 1658. </w:t>
            </w:r>
            <w:r w:rsidRPr="00803F09">
              <w:rPr>
                <w:i/>
                <w:iCs/>
              </w:rPr>
              <w:t>La Femme devant le poêle</w:t>
            </w:r>
            <w:r w:rsidRPr="00803F09">
              <w:t xml:space="preserve">. Épreuve sur papier japon. Eau-forte, burin et pointe sèche. Bibliothèque nationale de France. </w:t>
            </w:r>
            <w:hyperlink r:id="rId543">
              <w:r w:rsidRPr="00803F09">
                <w:rPr>
                  <w:rStyle w:val="Hyperlink"/>
                </w:rPr>
                <w:t>https://essentiels.bnf.fr/fr/image/eff2e8b4-8e73-4800-91fb-7d277ca66a34-femme-devant-poele-7e-etat</w:t>
              </w:r>
            </w:hyperlink>
            <w:r w:rsidRPr="00803F09">
              <w:t>.</w:t>
            </w:r>
          </w:p>
        </w:tc>
      </w:tr>
      <w:tr w:rsidR="009F53E4" w:rsidRPr="00803F09" w14:paraId="3D7FDBE2" w14:textId="77777777" w:rsidTr="00000270">
        <w:tc>
          <w:tcPr>
            <w:tcW w:w="0" w:type="auto"/>
          </w:tcPr>
          <w:p w14:paraId="7BB08233" w14:textId="77777777" w:rsidR="009F53E4" w:rsidRPr="00803F09" w:rsidRDefault="009F53E4" w:rsidP="00000270">
            <w:pPr>
              <w:pStyle w:val="Compact"/>
            </w:pPr>
            <w:r w:rsidRPr="00803F09">
              <w:t xml:space="preserve">Wikipédia. 2017a. « Monotonie ». </w:t>
            </w:r>
            <w:r w:rsidRPr="000467B7">
              <w:rPr>
                <w:lang w:val="en-CA"/>
              </w:rPr>
              <w:t xml:space="preserve">Dans </w:t>
            </w:r>
            <w:r w:rsidRPr="000467B7">
              <w:rPr>
                <w:i/>
                <w:iCs/>
                <w:lang w:val="en-CA"/>
              </w:rPr>
              <w:t>Wikipédia</w:t>
            </w:r>
            <w:r w:rsidRPr="000467B7">
              <w:rPr>
                <w:lang w:val="en-CA"/>
              </w:rPr>
              <w:t xml:space="preserve">. </w:t>
            </w:r>
            <w:r w:rsidRPr="009F53E4">
              <w:rPr>
                <w:lang w:val="en-US"/>
              </w:rPr>
              <w:t>San Francisco, US-</w:t>
            </w:r>
            <w:proofErr w:type="gramStart"/>
            <w:r w:rsidRPr="009F53E4">
              <w:rPr>
                <w:lang w:val="en-US"/>
              </w:rPr>
              <w:t>CA :</w:t>
            </w:r>
            <w:proofErr w:type="gramEnd"/>
            <w:r w:rsidRPr="009F53E4">
              <w:rPr>
                <w:lang w:val="en-US"/>
              </w:rPr>
              <w:t xml:space="preserve"> Wikipédia. </w:t>
            </w:r>
            <w:r w:rsidRPr="00803F09">
              <w:t xml:space="preserve">Consulté le 19 février 2017. </w:t>
            </w:r>
            <w:hyperlink r:id="rId544">
              <w:r w:rsidRPr="00803F09">
                <w:rPr>
                  <w:rStyle w:val="Hyperlink"/>
                </w:rPr>
                <w:t>https://fr.wikipedia.org/w/index.php?title=Monotonie&amp;oldid=134697868</w:t>
              </w:r>
            </w:hyperlink>
            <w:r w:rsidRPr="00803F09">
              <w:t>.</w:t>
            </w:r>
          </w:p>
        </w:tc>
      </w:tr>
      <w:tr w:rsidR="009F53E4" w:rsidRPr="00803F09" w14:paraId="7CBEA4B8" w14:textId="77777777" w:rsidTr="00000270">
        <w:tc>
          <w:tcPr>
            <w:tcW w:w="0" w:type="auto"/>
          </w:tcPr>
          <w:p w14:paraId="6D234298" w14:textId="77777777" w:rsidR="009F53E4" w:rsidRPr="00803F09" w:rsidRDefault="009F53E4" w:rsidP="00000270">
            <w:pPr>
              <w:pStyle w:val="Compact"/>
            </w:pPr>
            <w:r w:rsidRPr="00803F09">
              <w:t xml:space="preserve">———. 2017b. « Extension conservatrice ». </w:t>
            </w:r>
            <w:r w:rsidRPr="000467B7">
              <w:rPr>
                <w:lang w:val="en-CA"/>
              </w:rPr>
              <w:t xml:space="preserve">Dans </w:t>
            </w:r>
            <w:r w:rsidRPr="000467B7">
              <w:rPr>
                <w:i/>
                <w:iCs/>
                <w:lang w:val="en-CA"/>
              </w:rPr>
              <w:t>Wikipédia</w:t>
            </w:r>
            <w:r w:rsidRPr="000467B7">
              <w:rPr>
                <w:lang w:val="en-CA"/>
              </w:rPr>
              <w:t xml:space="preserve">. </w:t>
            </w:r>
            <w:r w:rsidRPr="009F53E4">
              <w:rPr>
                <w:lang w:val="en-US"/>
              </w:rPr>
              <w:t>San Francisco, US-</w:t>
            </w:r>
            <w:proofErr w:type="gramStart"/>
            <w:r w:rsidRPr="009F53E4">
              <w:rPr>
                <w:lang w:val="en-US"/>
              </w:rPr>
              <w:t>CA :</w:t>
            </w:r>
            <w:proofErr w:type="gramEnd"/>
            <w:r w:rsidRPr="009F53E4">
              <w:rPr>
                <w:lang w:val="en-US"/>
              </w:rPr>
              <w:t xml:space="preserve"> Wikipédia. </w:t>
            </w:r>
            <w:r w:rsidRPr="00803F09">
              <w:t xml:space="preserve">Consulté le 17 décembre 2017. </w:t>
            </w:r>
            <w:hyperlink r:id="rId545">
              <w:r w:rsidRPr="00803F09">
                <w:rPr>
                  <w:rStyle w:val="Hyperlink"/>
                </w:rPr>
                <w:t>https://fr.wikipedia.org/w/index.php?title=Extension_conservatrice&amp;oldid=143598511</w:t>
              </w:r>
            </w:hyperlink>
            <w:r w:rsidRPr="00803F09">
              <w:t>.</w:t>
            </w:r>
          </w:p>
        </w:tc>
      </w:tr>
      <w:tr w:rsidR="009F53E4" w:rsidRPr="00803F09" w14:paraId="0CA2BAA0" w14:textId="77777777" w:rsidTr="00000270">
        <w:tc>
          <w:tcPr>
            <w:tcW w:w="0" w:type="auto"/>
          </w:tcPr>
          <w:p w14:paraId="38C22F70" w14:textId="77777777" w:rsidR="009F53E4" w:rsidRPr="00803F09" w:rsidRDefault="009F53E4" w:rsidP="00000270">
            <w:pPr>
              <w:pStyle w:val="Compact"/>
            </w:pPr>
            <w:r w:rsidRPr="009F53E4">
              <w:rPr>
                <w:lang w:val="en-US"/>
              </w:rPr>
              <w:t xml:space="preserve">———. 2020a. « Érostrate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rsidRPr="00803F09">
              <w:t xml:space="preserve">Consulté le 4 août 2020. </w:t>
            </w:r>
            <w:hyperlink r:id="rId546">
              <w:r w:rsidRPr="00803F09">
                <w:rPr>
                  <w:rStyle w:val="Hyperlink"/>
                </w:rPr>
                <w:t>https://fr.wikipedia.org/w/index.php?title=%C3%89rostrate&amp;oldid=173548642</w:t>
              </w:r>
            </w:hyperlink>
            <w:r w:rsidRPr="00803F09">
              <w:t>.</w:t>
            </w:r>
          </w:p>
        </w:tc>
      </w:tr>
      <w:tr w:rsidR="009F53E4" w:rsidRPr="00803F09" w14:paraId="3F06DF6F" w14:textId="77777777" w:rsidTr="00000270">
        <w:tc>
          <w:tcPr>
            <w:tcW w:w="0" w:type="auto"/>
          </w:tcPr>
          <w:p w14:paraId="59DE44EB" w14:textId="77777777" w:rsidR="009F53E4" w:rsidRPr="00803F09" w:rsidRDefault="009F53E4" w:rsidP="00000270">
            <w:pPr>
              <w:pStyle w:val="Compact"/>
            </w:pPr>
            <w:r w:rsidRPr="009F53E4">
              <w:rPr>
                <w:lang w:val="en-US"/>
              </w:rPr>
              <w:t>———. 2020b. « </w:t>
            </w:r>
            <w:r>
              <w:t>安</w:t>
            </w:r>
            <w:r w:rsidRPr="009F53E4">
              <w:rPr>
                <w:lang w:val="en-US"/>
              </w:rPr>
              <w:t xml:space="preserve"> ». Dans </w:t>
            </w:r>
            <w:r w:rsidRPr="009F53E4">
              <w:rPr>
                <w:i/>
                <w:iCs/>
                <w:lang w:val="en-US"/>
              </w:rPr>
              <w:t>Wikipédia</w:t>
            </w:r>
            <w:proofErr w:type="gramStart"/>
            <w:r w:rsidRPr="009F53E4">
              <w:rPr>
                <w:lang w:val="en-US"/>
              </w:rPr>
              <w:t>. .</w:t>
            </w:r>
            <w:proofErr w:type="gramEnd"/>
            <w:r w:rsidRPr="009F53E4">
              <w:rPr>
                <w:lang w:val="en-US"/>
              </w:rPr>
              <w:t xml:space="preserve"> San Francisco, US-</w:t>
            </w:r>
            <w:proofErr w:type="gramStart"/>
            <w:r w:rsidRPr="009F53E4">
              <w:rPr>
                <w:lang w:val="en-US"/>
              </w:rPr>
              <w:t>CA :</w:t>
            </w:r>
            <w:proofErr w:type="gramEnd"/>
            <w:r w:rsidRPr="009F53E4">
              <w:rPr>
                <w:lang w:val="en-US"/>
              </w:rPr>
              <w:t xml:space="preserve"> Wikipédia. </w:t>
            </w:r>
            <w:r w:rsidRPr="00803F09">
              <w:t xml:space="preserve">Consulté le 21 octobre 2020. </w:t>
            </w:r>
            <w:hyperlink r:id="rId547">
              <w:r w:rsidRPr="00803F09">
                <w:rPr>
                  <w:rStyle w:val="Hyperlink"/>
                </w:rPr>
                <w:t>https://fr.wikipedia.org/w/index.php?title=%E5%AE%89</w:t>
              </w:r>
            </w:hyperlink>
            <w:r w:rsidRPr="00803F09">
              <w:t>.</w:t>
            </w:r>
          </w:p>
        </w:tc>
      </w:tr>
      <w:tr w:rsidR="009F53E4" w:rsidRPr="00803F09" w14:paraId="474D0801" w14:textId="77777777" w:rsidTr="00000270">
        <w:tc>
          <w:tcPr>
            <w:tcW w:w="0" w:type="auto"/>
          </w:tcPr>
          <w:p w14:paraId="05B68D07" w14:textId="77777777" w:rsidR="009F53E4" w:rsidRPr="00803F09" w:rsidRDefault="009F53E4" w:rsidP="00000270">
            <w:pPr>
              <w:pStyle w:val="Compact"/>
            </w:pPr>
            <w:r w:rsidRPr="00803F09">
              <w:t xml:space="preserve">———. 2020c. « Langue SVO ». </w:t>
            </w:r>
            <w:r w:rsidRPr="000467B7">
              <w:rPr>
                <w:lang w:val="en-CA"/>
              </w:rPr>
              <w:t xml:space="preserve">Dans </w:t>
            </w:r>
            <w:r w:rsidRPr="000467B7">
              <w:rPr>
                <w:i/>
                <w:iCs/>
                <w:lang w:val="en-CA"/>
              </w:rPr>
              <w:t>Wikipédia</w:t>
            </w:r>
            <w:r w:rsidRPr="000467B7">
              <w:rPr>
                <w:lang w:val="en-CA"/>
              </w:rPr>
              <w:t xml:space="preserve">. </w:t>
            </w:r>
            <w:r w:rsidRPr="009F53E4">
              <w:rPr>
                <w:lang w:val="en-US"/>
              </w:rPr>
              <w:t>San Francisco, US-</w:t>
            </w:r>
            <w:proofErr w:type="gramStart"/>
            <w:r w:rsidRPr="009F53E4">
              <w:rPr>
                <w:lang w:val="en-US"/>
              </w:rPr>
              <w:t>CA :</w:t>
            </w:r>
            <w:proofErr w:type="gramEnd"/>
            <w:r w:rsidRPr="009F53E4">
              <w:rPr>
                <w:lang w:val="en-US"/>
              </w:rPr>
              <w:t xml:space="preserve"> Wikipédia. </w:t>
            </w:r>
            <w:r w:rsidRPr="00803F09">
              <w:t xml:space="preserve">Consulté le 31 octobre 2020. </w:t>
            </w:r>
            <w:hyperlink r:id="rId548">
              <w:r w:rsidRPr="00803F09">
                <w:rPr>
                  <w:rStyle w:val="Hyperlink"/>
                </w:rPr>
                <w:t>https://fr.wikipedia.org/w/index.php?title=Langue_SVO&amp;oldid=176099662</w:t>
              </w:r>
            </w:hyperlink>
            <w:r w:rsidRPr="00803F09">
              <w:t>.</w:t>
            </w:r>
          </w:p>
        </w:tc>
      </w:tr>
      <w:tr w:rsidR="009F53E4" w:rsidRPr="00803F09" w14:paraId="2FDA7CEF" w14:textId="77777777" w:rsidTr="00000270">
        <w:tc>
          <w:tcPr>
            <w:tcW w:w="0" w:type="auto"/>
          </w:tcPr>
          <w:p w14:paraId="7138EC9F" w14:textId="77777777" w:rsidR="009F53E4" w:rsidRPr="00803F09" w:rsidRDefault="009F53E4" w:rsidP="00000270">
            <w:pPr>
              <w:pStyle w:val="Compact"/>
            </w:pPr>
            <w:r w:rsidRPr="009F53E4">
              <w:rPr>
                <w:lang w:val="en-US"/>
              </w:rPr>
              <w:t xml:space="preserve">———. 2020d. « Fan-in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rsidRPr="00803F09">
              <w:t xml:space="preserve">Consulté le 11 novembre 2020. </w:t>
            </w:r>
            <w:hyperlink r:id="rId549">
              <w:r w:rsidRPr="00803F09">
                <w:rPr>
                  <w:rStyle w:val="Hyperlink"/>
                </w:rPr>
                <w:t>https://fr.wikipedia.org/w/index.php?title=Fan-in&amp;oldid=176479056</w:t>
              </w:r>
            </w:hyperlink>
            <w:r w:rsidRPr="00803F09">
              <w:t>.</w:t>
            </w:r>
          </w:p>
        </w:tc>
      </w:tr>
      <w:tr w:rsidR="009F53E4" w:rsidRPr="00803F09" w14:paraId="1727C074" w14:textId="77777777" w:rsidTr="00000270">
        <w:tc>
          <w:tcPr>
            <w:tcW w:w="0" w:type="auto"/>
          </w:tcPr>
          <w:p w14:paraId="6BF7A953" w14:textId="77777777" w:rsidR="009F53E4" w:rsidRPr="00803F09" w:rsidRDefault="009F53E4" w:rsidP="00000270">
            <w:pPr>
              <w:pStyle w:val="Compact"/>
            </w:pPr>
            <w:r w:rsidRPr="009F53E4">
              <w:rPr>
                <w:lang w:val="en-US"/>
              </w:rPr>
              <w:t xml:space="preserve">———. 2020e. « Fan-out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rsidRPr="00803F09">
              <w:t xml:space="preserve">Consulté le 11 novembre 2020. </w:t>
            </w:r>
            <w:hyperlink r:id="rId550">
              <w:r w:rsidRPr="00803F09">
                <w:rPr>
                  <w:rStyle w:val="Hyperlink"/>
                </w:rPr>
                <w:t>https://fr.wikipedia.org/w/index.php?title=Fan-out&amp;oldid=176479075</w:t>
              </w:r>
            </w:hyperlink>
            <w:r w:rsidRPr="00803F09">
              <w:t>.</w:t>
            </w:r>
          </w:p>
        </w:tc>
      </w:tr>
      <w:tr w:rsidR="009F53E4" w:rsidRPr="00803F09" w14:paraId="33C6D8D4" w14:textId="77777777" w:rsidTr="00000270">
        <w:tc>
          <w:tcPr>
            <w:tcW w:w="0" w:type="auto"/>
          </w:tcPr>
          <w:p w14:paraId="6B0ED9CF" w14:textId="77777777" w:rsidR="009F53E4" w:rsidRPr="00803F09" w:rsidRDefault="009F53E4" w:rsidP="00000270">
            <w:pPr>
              <w:pStyle w:val="Compact"/>
            </w:pPr>
            <w:r w:rsidRPr="00803F09">
              <w:t xml:space="preserve">———. 2021a. « Algèbre des intervalles d’Allen ». </w:t>
            </w:r>
            <w:r w:rsidRPr="009F53E4">
              <w:rPr>
                <w:lang w:val="en-US"/>
              </w:rPr>
              <w:t xml:space="preserve">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rsidRPr="00803F09">
              <w:t xml:space="preserve">Consulté le 14 janvier 2021. </w:t>
            </w:r>
            <w:hyperlink r:id="rId551">
              <w:r w:rsidRPr="00803F09">
                <w:rPr>
                  <w:rStyle w:val="Hyperlink"/>
                </w:rPr>
                <w:t>https://fr.wikipedia.org/wiki/Alg%C3%A8bre_des_intervalles_d%27Allen</w:t>
              </w:r>
            </w:hyperlink>
            <w:r w:rsidRPr="00803F09">
              <w:t>.</w:t>
            </w:r>
          </w:p>
        </w:tc>
      </w:tr>
      <w:tr w:rsidR="009F53E4" w:rsidRPr="00803F09" w14:paraId="364C22C9" w14:textId="77777777" w:rsidTr="00000270">
        <w:tc>
          <w:tcPr>
            <w:tcW w:w="0" w:type="auto"/>
          </w:tcPr>
          <w:p w14:paraId="6E7915F4" w14:textId="77777777" w:rsidR="009F53E4" w:rsidRPr="00803F09" w:rsidRDefault="009F53E4" w:rsidP="00000270">
            <w:pPr>
              <w:pStyle w:val="Compact"/>
            </w:pPr>
            <w:r w:rsidRPr="00803F09">
              <w:t xml:space="preserve">———. 2021b. « Univers du discours ». </w:t>
            </w:r>
            <w:r w:rsidRPr="000467B7">
              <w:rPr>
                <w:lang w:val="en-CA"/>
              </w:rPr>
              <w:t xml:space="preserve">Dans </w:t>
            </w:r>
            <w:r w:rsidRPr="000467B7">
              <w:rPr>
                <w:i/>
                <w:iCs/>
                <w:lang w:val="en-CA"/>
              </w:rPr>
              <w:t>Wikipedia</w:t>
            </w:r>
            <w:r w:rsidRPr="000467B7">
              <w:rPr>
                <w:lang w:val="en-CA"/>
              </w:rPr>
              <w:t xml:space="preserve">. </w:t>
            </w:r>
            <w:r w:rsidRPr="009F53E4">
              <w:rPr>
                <w:lang w:val="en-US"/>
              </w:rPr>
              <w:t>San Francisco, US-</w:t>
            </w:r>
            <w:proofErr w:type="gramStart"/>
            <w:r w:rsidRPr="009F53E4">
              <w:rPr>
                <w:lang w:val="en-US"/>
              </w:rPr>
              <w:t>CA :</w:t>
            </w:r>
            <w:proofErr w:type="gramEnd"/>
            <w:r w:rsidRPr="009F53E4">
              <w:rPr>
                <w:lang w:val="en-US"/>
              </w:rPr>
              <w:t xml:space="preserve"> Wikipédia. </w:t>
            </w:r>
            <w:r w:rsidRPr="00803F09">
              <w:t xml:space="preserve">Consulté le 28 janvier 2021. </w:t>
            </w:r>
            <w:hyperlink r:id="rId552">
              <w:r w:rsidRPr="00803F09">
                <w:rPr>
                  <w:rStyle w:val="Hyperlink"/>
                </w:rPr>
                <w:t>https://fr.wikipedia.org/wiki/Univers_du_discours</w:t>
              </w:r>
            </w:hyperlink>
            <w:r w:rsidRPr="00803F09">
              <w:t>.</w:t>
            </w:r>
          </w:p>
        </w:tc>
      </w:tr>
      <w:tr w:rsidR="009F53E4" w14:paraId="0B58C330" w14:textId="77777777" w:rsidTr="00000270">
        <w:tc>
          <w:tcPr>
            <w:tcW w:w="0" w:type="auto"/>
          </w:tcPr>
          <w:p w14:paraId="21DF374A" w14:textId="77777777" w:rsidR="009F53E4" w:rsidRDefault="009F53E4" w:rsidP="00000270">
            <w:pPr>
              <w:pStyle w:val="Compact"/>
            </w:pPr>
            <w:r w:rsidRPr="00803F09">
              <w:t xml:space="preserve">———. 2021c. « Expositions des vestiges archéologiques provenant de la tombe de Toutânkhamon ». Dans </w:t>
            </w:r>
            <w:r w:rsidRPr="00803F09">
              <w:rPr>
                <w:i/>
                <w:iCs/>
              </w:rPr>
              <w:t>Wikipédia</w:t>
            </w:r>
            <w:r w:rsidRPr="00803F09">
              <w:t xml:space="preserve">. San Francisco, US-CA : Wikipédia. Consulté le 30 janvier 2021. </w:t>
            </w:r>
            <w:hyperlink r:id="rId553">
              <w:r>
                <w:rPr>
                  <w:rStyle w:val="Hyperlink"/>
                </w:rPr>
                <w:t>https://fr.wikipedia.org/w/index.php?title=Expositions_des_vestiges_arch%C3%A9ologiques_provenant_de_la_tombe_de_Tout%C3%A2nkhamon&amp;oldid=179392035</w:t>
              </w:r>
            </w:hyperlink>
            <w:r>
              <w:t>.</w:t>
            </w:r>
          </w:p>
        </w:tc>
      </w:tr>
      <w:tr w:rsidR="009F53E4" w:rsidRPr="00803F09" w14:paraId="55E66F47" w14:textId="77777777" w:rsidTr="00000270">
        <w:tc>
          <w:tcPr>
            <w:tcW w:w="0" w:type="auto"/>
          </w:tcPr>
          <w:p w14:paraId="6744CFD8" w14:textId="77777777" w:rsidR="009F53E4" w:rsidRPr="00803F09" w:rsidRDefault="009F53E4" w:rsidP="00000270">
            <w:pPr>
              <w:pStyle w:val="Compact"/>
            </w:pPr>
            <w:r w:rsidRPr="00803F09">
              <w:t xml:space="preserve">———. 2021d. « Liste des gravures de Rembrandt ». </w:t>
            </w:r>
            <w:r w:rsidRPr="009F53E4">
              <w:rPr>
                <w:lang w:val="en-US"/>
              </w:rPr>
              <w:t xml:space="preserve">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rsidRPr="00803F09">
              <w:t xml:space="preserve">Consulté le 15 mars 2021. </w:t>
            </w:r>
            <w:hyperlink r:id="rId554">
              <w:r w:rsidRPr="00803F09">
                <w:rPr>
                  <w:rStyle w:val="Hyperlink"/>
                </w:rPr>
                <w:t>https://fr.wikipedia.org/w/index.php?title=Liste_des_gravures_de_Rembrandt&amp;oldid=180898582</w:t>
              </w:r>
            </w:hyperlink>
            <w:r w:rsidRPr="00803F09">
              <w:t>.</w:t>
            </w:r>
          </w:p>
        </w:tc>
      </w:tr>
      <w:tr w:rsidR="009F53E4" w:rsidRPr="00803F09" w14:paraId="547D0D1B" w14:textId="77777777" w:rsidTr="00000270">
        <w:tc>
          <w:tcPr>
            <w:tcW w:w="0" w:type="auto"/>
          </w:tcPr>
          <w:p w14:paraId="0447E085" w14:textId="77777777" w:rsidR="009F53E4" w:rsidRPr="00803F09" w:rsidRDefault="009F53E4" w:rsidP="00000270">
            <w:pPr>
              <w:pStyle w:val="Compact"/>
            </w:pPr>
            <w:r w:rsidRPr="009F53E4">
              <w:rPr>
                <w:lang w:val="en-US"/>
              </w:rPr>
              <w:t xml:space="preserve">———. 2021e. « United Press International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rsidRPr="00803F09">
              <w:t xml:space="preserve">Consulté le 15 mai 2021. </w:t>
            </w:r>
            <w:hyperlink r:id="rId555">
              <w:r w:rsidRPr="00803F09">
                <w:rPr>
                  <w:rStyle w:val="Hyperlink"/>
                </w:rPr>
                <w:t>https://fr.wikipedia.org/w/index.php?title=United_Press_International&amp;oldid=182934531</w:t>
              </w:r>
            </w:hyperlink>
            <w:r w:rsidRPr="00803F09">
              <w:t>.</w:t>
            </w:r>
          </w:p>
        </w:tc>
      </w:tr>
      <w:tr w:rsidR="009F53E4" w14:paraId="4F4B49C0" w14:textId="77777777" w:rsidTr="00000270">
        <w:tc>
          <w:tcPr>
            <w:tcW w:w="0" w:type="auto"/>
          </w:tcPr>
          <w:p w14:paraId="5C6CA6E3" w14:textId="77777777" w:rsidR="009F53E4" w:rsidRDefault="009F53E4" w:rsidP="00000270">
            <w:pPr>
              <w:pStyle w:val="Compact"/>
            </w:pPr>
            <w:r w:rsidRPr="009F53E4">
              <w:rPr>
                <w:lang w:val="en-US"/>
              </w:rPr>
              <w:lastRenderedPageBreak/>
              <w:t xml:space="preserve">———. 2021f. « Chrisme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t xml:space="preserve">Consulté le 30 juin 2021. </w:t>
            </w:r>
            <w:hyperlink r:id="rId556">
              <w:r>
                <w:rPr>
                  <w:rStyle w:val="Hyperlink"/>
                </w:rPr>
                <w:t>https://fr.wikipedia.org/w/index.php?title=Chrisme&amp;oldid=184249375</w:t>
              </w:r>
            </w:hyperlink>
            <w:r>
              <w:t>.</w:t>
            </w:r>
          </w:p>
        </w:tc>
      </w:tr>
      <w:tr w:rsidR="009F53E4" w14:paraId="75DA7B25" w14:textId="77777777" w:rsidTr="00000270">
        <w:tc>
          <w:tcPr>
            <w:tcW w:w="0" w:type="auto"/>
          </w:tcPr>
          <w:p w14:paraId="16592B30" w14:textId="77777777" w:rsidR="009F53E4" w:rsidRDefault="009F53E4" w:rsidP="00000270">
            <w:pPr>
              <w:pStyle w:val="Compact"/>
            </w:pPr>
            <w:r w:rsidRPr="009F53E4">
              <w:rPr>
                <w:lang w:val="en-US"/>
              </w:rPr>
              <w:t xml:space="preserve">Wikipedia. 2022. « László Moholy-Nagy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t xml:space="preserve">Consulté le 30 mars 2022. </w:t>
            </w:r>
            <w:hyperlink r:id="rId557">
              <w:r>
                <w:rPr>
                  <w:rStyle w:val="Hyperlink"/>
                </w:rPr>
                <w:t>https://fr.wikipedia.org/w/index.php?title=L%C3%A1szl%C3%B3_Moholy-Nagy&amp;oldid=192385234</w:t>
              </w:r>
            </w:hyperlink>
            <w:r>
              <w:t>.</w:t>
            </w:r>
          </w:p>
        </w:tc>
      </w:tr>
      <w:tr w:rsidR="009F53E4" w:rsidRPr="000467B7" w14:paraId="49317C78" w14:textId="77777777" w:rsidTr="00000270">
        <w:tc>
          <w:tcPr>
            <w:tcW w:w="0" w:type="auto"/>
          </w:tcPr>
          <w:p w14:paraId="59B328CF" w14:textId="77777777" w:rsidR="009F53E4" w:rsidRPr="009F53E4" w:rsidRDefault="009F53E4" w:rsidP="00000270">
            <w:pPr>
              <w:pStyle w:val="Compact"/>
              <w:rPr>
                <w:lang w:val="en-US"/>
              </w:rPr>
            </w:pPr>
            <w:r w:rsidRPr="009F53E4">
              <w:rPr>
                <w:lang w:val="en-US"/>
              </w:rPr>
              <w:t xml:space="preserve">Wikipédia. 2022a. « Well-known text representation of geometry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Consulté le 20 août 2022. </w:t>
            </w:r>
            <w:r w:rsidR="000467B7">
              <w:fldChar w:fldCharType="begin"/>
            </w:r>
            <w:r w:rsidR="000467B7" w:rsidRPr="000467B7">
              <w:rPr>
                <w:lang w:val="en-US"/>
              </w:rPr>
              <w:instrText>HYPERLINK "https://en.wikipedia.org/w/index.php?title=Well-known_text_representation_of_geometry&amp;oldid=1105540049" \h</w:instrText>
            </w:r>
            <w:r w:rsidR="000467B7">
              <w:fldChar w:fldCharType="separate"/>
            </w:r>
            <w:r w:rsidRPr="009F53E4">
              <w:rPr>
                <w:rStyle w:val="Hyperlink"/>
                <w:lang w:val="en-US"/>
              </w:rPr>
              <w:t>https://en.wikipedia.org/w/index.php?title=Well-known_text_representation_of_geometry&amp;oldid=1105540049</w:t>
            </w:r>
            <w:r w:rsidR="000467B7">
              <w:rPr>
                <w:rStyle w:val="Hyperlink"/>
                <w:lang w:val="en-US"/>
              </w:rPr>
              <w:fldChar w:fldCharType="end"/>
            </w:r>
            <w:r w:rsidRPr="009F53E4">
              <w:rPr>
                <w:lang w:val="en-US"/>
              </w:rPr>
              <w:t>.</w:t>
            </w:r>
          </w:p>
        </w:tc>
      </w:tr>
      <w:tr w:rsidR="009F53E4" w14:paraId="0BD12275" w14:textId="77777777" w:rsidTr="00000270">
        <w:tc>
          <w:tcPr>
            <w:tcW w:w="0" w:type="auto"/>
          </w:tcPr>
          <w:p w14:paraId="0A80D752" w14:textId="77777777" w:rsidR="009F53E4" w:rsidRDefault="009F53E4" w:rsidP="00000270">
            <w:pPr>
              <w:pStyle w:val="Compact"/>
            </w:pPr>
            <w:r>
              <w:t xml:space="preserve">———. 2022b. « La Relativité ». Dans </w:t>
            </w:r>
            <w:r>
              <w:rPr>
                <w:i/>
                <w:iCs/>
              </w:rPr>
              <w:t>Wikipédia</w:t>
            </w:r>
            <w:r>
              <w:t xml:space="preserve">. </w:t>
            </w:r>
            <w:r w:rsidRPr="009F53E4">
              <w:rPr>
                <w:lang w:val="en-US"/>
              </w:rPr>
              <w:t>San Francisco, US-</w:t>
            </w:r>
            <w:proofErr w:type="gramStart"/>
            <w:r w:rsidRPr="009F53E4">
              <w:rPr>
                <w:lang w:val="en-US"/>
              </w:rPr>
              <w:t>CA :</w:t>
            </w:r>
            <w:proofErr w:type="gramEnd"/>
            <w:r w:rsidRPr="009F53E4">
              <w:rPr>
                <w:lang w:val="en-US"/>
              </w:rPr>
              <w:t xml:space="preserve"> Wikipédia. </w:t>
            </w:r>
            <w:r>
              <w:t xml:space="preserve">Consulté le 14 octobre 2022. </w:t>
            </w:r>
            <w:hyperlink r:id="rId558">
              <w:r>
                <w:rPr>
                  <w:rStyle w:val="Hyperlink"/>
                </w:rPr>
                <w:t>https://fr.wikipedia.org/w/index.php?title=La_Relativit%C3%A9&amp;oldid=197771496</w:t>
              </w:r>
            </w:hyperlink>
            <w:r>
              <w:t>.</w:t>
            </w:r>
          </w:p>
        </w:tc>
      </w:tr>
      <w:tr w:rsidR="009F53E4" w14:paraId="000F0F66" w14:textId="77777777" w:rsidTr="00000270">
        <w:tc>
          <w:tcPr>
            <w:tcW w:w="0" w:type="auto"/>
          </w:tcPr>
          <w:p w14:paraId="7123A8C9" w14:textId="77777777" w:rsidR="009F53E4" w:rsidRDefault="009F53E4" w:rsidP="00000270">
            <w:pPr>
              <w:pStyle w:val="Compact"/>
            </w:pPr>
            <w:r w:rsidRPr="009F53E4">
              <w:rPr>
                <w:lang w:val="en-US"/>
              </w:rPr>
              <w:t xml:space="preserve">———. 2022c. « Penny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t xml:space="preserve">Consulté le 8 décembre 2022. </w:t>
            </w:r>
            <w:hyperlink r:id="rId559">
              <w:r>
                <w:rPr>
                  <w:rStyle w:val="Hyperlink"/>
                </w:rPr>
                <w:t>https://fr.wikipedia.org/w/index.php?title=Penny&amp;oldid=199318252</w:t>
              </w:r>
            </w:hyperlink>
            <w:r>
              <w:t>.</w:t>
            </w:r>
          </w:p>
        </w:tc>
      </w:tr>
      <w:tr w:rsidR="009F53E4" w14:paraId="76C1C444" w14:textId="77777777" w:rsidTr="00000270">
        <w:tc>
          <w:tcPr>
            <w:tcW w:w="0" w:type="auto"/>
          </w:tcPr>
          <w:p w14:paraId="5CCE7094" w14:textId="77777777" w:rsidR="009F53E4" w:rsidRDefault="009F53E4" w:rsidP="00000270">
            <w:pPr>
              <w:pStyle w:val="Compact"/>
            </w:pPr>
            <w:r w:rsidRPr="009F53E4">
              <w:rPr>
                <w:lang w:val="en-US"/>
              </w:rPr>
              <w:t xml:space="preserve">———. 2023a. « Schöningen spears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t xml:space="preserve">Consulté le 6 mars 2023. </w:t>
            </w:r>
            <w:hyperlink r:id="rId560">
              <w:r>
                <w:rPr>
                  <w:rStyle w:val="Hyperlink"/>
                </w:rPr>
                <w:t>https://en.wikipedia.org/w/index.php?title=Sch%C3%B6ningen_spears&amp;oldid=1143301875</w:t>
              </w:r>
            </w:hyperlink>
            <w:r>
              <w:t>.</w:t>
            </w:r>
          </w:p>
        </w:tc>
      </w:tr>
      <w:tr w:rsidR="009F53E4" w14:paraId="6AA734A1" w14:textId="77777777" w:rsidTr="00000270">
        <w:tc>
          <w:tcPr>
            <w:tcW w:w="0" w:type="auto"/>
          </w:tcPr>
          <w:p w14:paraId="02935EC4" w14:textId="77777777" w:rsidR="009F53E4" w:rsidRDefault="009F53E4" w:rsidP="00000270">
            <w:pPr>
              <w:pStyle w:val="Compact"/>
            </w:pPr>
            <w:r w:rsidRPr="009F53E4">
              <w:rPr>
                <w:lang w:val="en-US"/>
              </w:rPr>
              <w:t xml:space="preserve">———. 2023b. « Georges Amoudruz ». Dans </w:t>
            </w:r>
            <w:r w:rsidRPr="009F53E4">
              <w:rPr>
                <w:i/>
                <w:iCs/>
                <w:lang w:val="en-US"/>
              </w:rPr>
              <w:t>Wikipédia</w:t>
            </w:r>
            <w:r w:rsidRPr="009F53E4">
              <w:rPr>
                <w:lang w:val="en-US"/>
              </w:rPr>
              <w:t>. San Francisco, US-</w:t>
            </w:r>
            <w:proofErr w:type="gramStart"/>
            <w:r w:rsidRPr="009F53E4">
              <w:rPr>
                <w:lang w:val="en-US"/>
              </w:rPr>
              <w:t>CA :</w:t>
            </w:r>
            <w:proofErr w:type="gramEnd"/>
            <w:r w:rsidRPr="009F53E4">
              <w:rPr>
                <w:lang w:val="en-US"/>
              </w:rPr>
              <w:t xml:space="preserve"> Wikipédia. </w:t>
            </w:r>
            <w:r>
              <w:t xml:space="preserve">Consulté le 10 mars 2023. </w:t>
            </w:r>
            <w:hyperlink r:id="rId561">
              <w:r>
                <w:rPr>
                  <w:rStyle w:val="Hyperlink"/>
                </w:rPr>
                <w:t>https://fr.wikipedia.org/w/index.php?title=Georges_Amoudruz&amp;oldid=202151566</w:t>
              </w:r>
            </w:hyperlink>
            <w:r>
              <w:t>.</w:t>
            </w:r>
          </w:p>
        </w:tc>
      </w:tr>
      <w:tr w:rsidR="009F53E4" w14:paraId="74F04465" w14:textId="77777777" w:rsidTr="00000270">
        <w:tc>
          <w:tcPr>
            <w:tcW w:w="0" w:type="auto"/>
          </w:tcPr>
          <w:p w14:paraId="2B9B03DF" w14:textId="77777777" w:rsidR="009F53E4" w:rsidRDefault="009F53E4" w:rsidP="00000270">
            <w:pPr>
              <w:pStyle w:val="Compact"/>
            </w:pPr>
            <w:r w:rsidRPr="009F53E4">
              <w:rPr>
                <w:lang w:val="en-US"/>
              </w:rPr>
              <w:t xml:space="preserve">———. 2023c. « Oka ». Dans </w:t>
            </w:r>
            <w:r w:rsidRPr="009F53E4">
              <w:rPr>
                <w:i/>
                <w:iCs/>
                <w:lang w:val="en-US"/>
              </w:rPr>
              <w:t>Wiktionary</w:t>
            </w:r>
            <w:proofErr w:type="gramStart"/>
            <w:r w:rsidRPr="009F53E4">
              <w:rPr>
                <w:lang w:val="en-US"/>
              </w:rPr>
              <w:t>. .</w:t>
            </w:r>
            <w:proofErr w:type="gramEnd"/>
            <w:r w:rsidRPr="009F53E4">
              <w:rPr>
                <w:lang w:val="en-US"/>
              </w:rPr>
              <w:t xml:space="preserve"> San Francisco, US-</w:t>
            </w:r>
            <w:proofErr w:type="gramStart"/>
            <w:r w:rsidRPr="009F53E4">
              <w:rPr>
                <w:lang w:val="en-US"/>
              </w:rPr>
              <w:t>CA :</w:t>
            </w:r>
            <w:proofErr w:type="gramEnd"/>
            <w:r w:rsidRPr="009F53E4">
              <w:rPr>
                <w:lang w:val="en-US"/>
              </w:rPr>
              <w:t xml:space="preserve"> Wikipédia. </w:t>
            </w:r>
            <w:r>
              <w:t xml:space="preserve">Consulté le 8 avril 2023. </w:t>
            </w:r>
            <w:hyperlink r:id="rId562">
              <w:r>
                <w:rPr>
                  <w:rStyle w:val="Hyperlink"/>
                </w:rPr>
                <w:t>https://en.wiktionary.org/w/index.php?title=oka&amp;oldid=72628696</w:t>
              </w:r>
            </w:hyperlink>
            <w:r>
              <w:t>.</w:t>
            </w:r>
          </w:p>
        </w:tc>
      </w:tr>
      <w:tr w:rsidR="009F53E4" w14:paraId="0FEB2557" w14:textId="77777777" w:rsidTr="00000270">
        <w:tc>
          <w:tcPr>
            <w:tcW w:w="0" w:type="auto"/>
          </w:tcPr>
          <w:p w14:paraId="407CD459" w14:textId="77777777" w:rsidR="009F53E4" w:rsidRDefault="009F53E4" w:rsidP="00000270">
            <w:pPr>
              <w:pStyle w:val="Compact"/>
            </w:pPr>
            <w:r>
              <w:t xml:space="preserve">———. 2023d. « Trois Glorieuses ». Dans </w:t>
            </w:r>
            <w:r>
              <w:rPr>
                <w:i/>
                <w:iCs/>
              </w:rPr>
              <w:t>Wikipédia</w:t>
            </w:r>
            <w:r>
              <w:t xml:space="preserve">. </w:t>
            </w:r>
            <w:r w:rsidRPr="009F53E4">
              <w:rPr>
                <w:lang w:val="en-US"/>
              </w:rPr>
              <w:t>San Francisco, US-</w:t>
            </w:r>
            <w:proofErr w:type="gramStart"/>
            <w:r w:rsidRPr="009F53E4">
              <w:rPr>
                <w:lang w:val="en-US"/>
              </w:rPr>
              <w:t>CA :</w:t>
            </w:r>
            <w:proofErr w:type="gramEnd"/>
            <w:r w:rsidRPr="009F53E4">
              <w:rPr>
                <w:lang w:val="en-US"/>
              </w:rPr>
              <w:t xml:space="preserve"> Wikipédia. </w:t>
            </w:r>
            <w:r>
              <w:t xml:space="preserve">Consulté le 17 avril 2023. </w:t>
            </w:r>
            <w:hyperlink r:id="rId563">
              <w:r>
                <w:rPr>
                  <w:rStyle w:val="Hyperlink"/>
                </w:rPr>
                <w:t>https://fr.wikipedia.org/w/index.php?title=Trois_Glorieuses&amp;oldid=203438591</w:t>
              </w:r>
            </w:hyperlink>
            <w:r>
              <w:t>.</w:t>
            </w:r>
          </w:p>
        </w:tc>
      </w:tr>
      <w:tr w:rsidR="009F53E4" w14:paraId="79631911" w14:textId="77777777" w:rsidTr="00000270">
        <w:tc>
          <w:tcPr>
            <w:tcW w:w="0" w:type="auto"/>
          </w:tcPr>
          <w:p w14:paraId="4B042743" w14:textId="77777777" w:rsidR="009F53E4" w:rsidRDefault="009F53E4" w:rsidP="00000270">
            <w:pPr>
              <w:pStyle w:val="Compact"/>
            </w:pPr>
            <w:r w:rsidRPr="009F53E4">
              <w:rPr>
                <w:lang w:val="en-US"/>
              </w:rPr>
              <w:t xml:space="preserve">———. 2023e. « Groschen ». Dans </w:t>
            </w:r>
            <w:r w:rsidRPr="009F53E4">
              <w:rPr>
                <w:i/>
                <w:iCs/>
                <w:lang w:val="en-US"/>
              </w:rPr>
              <w:t>Wikipedia</w:t>
            </w:r>
            <w:r w:rsidRPr="009F53E4">
              <w:rPr>
                <w:lang w:val="en-US"/>
              </w:rPr>
              <w:t>. San Francisco, US-</w:t>
            </w:r>
            <w:proofErr w:type="gramStart"/>
            <w:r w:rsidRPr="009F53E4">
              <w:rPr>
                <w:lang w:val="en-US"/>
              </w:rPr>
              <w:t>CA :</w:t>
            </w:r>
            <w:proofErr w:type="gramEnd"/>
            <w:r w:rsidRPr="009F53E4">
              <w:rPr>
                <w:lang w:val="en-US"/>
              </w:rPr>
              <w:t xml:space="preserve"> Wikipédia. </w:t>
            </w:r>
            <w:r>
              <w:t xml:space="preserve">Consulté le 6 mai 2023. </w:t>
            </w:r>
            <w:hyperlink r:id="rId564">
              <w:r>
                <w:rPr>
                  <w:rStyle w:val="Hyperlink"/>
                </w:rPr>
                <w:t>https://en.wikipedia.org/w/index.php?title=Groschen&amp;oldid=1153418826</w:t>
              </w:r>
            </w:hyperlink>
            <w:r>
              <w:t>.</w:t>
            </w:r>
          </w:p>
        </w:tc>
      </w:tr>
      <w:tr w:rsidR="009F53E4" w14:paraId="5C7107B5" w14:textId="77777777" w:rsidTr="00000270">
        <w:tc>
          <w:tcPr>
            <w:tcW w:w="0" w:type="auto"/>
          </w:tcPr>
          <w:p w14:paraId="69C5984F" w14:textId="77777777" w:rsidR="009F53E4" w:rsidRDefault="009F53E4" w:rsidP="00000270">
            <w:pPr>
              <w:pStyle w:val="Compact"/>
            </w:pPr>
            <w:r>
              <w:t xml:space="preserve">Winckelmann, Johann Joachim. (1755) 2005. </w:t>
            </w:r>
            <w:r>
              <w:rPr>
                <w:i/>
                <w:iCs/>
              </w:rPr>
              <w:t>Pensées sur l’imitation des oeuvres grecques en peinture et en sculpture</w:t>
            </w:r>
            <w:r>
              <w:t xml:space="preserve">. Traduit par Laure Cahen-Maurel. Le dix-huitième siècle – entre les lumières et l’incendie. Paris, FR-IDF : Allia. </w:t>
            </w:r>
            <w:hyperlink r:id="rId565">
              <w:r>
                <w:rPr>
                  <w:rStyle w:val="Hyperlink"/>
                </w:rPr>
                <w:t>https://www.editions-allia.com/fr/livre/91/pensees-sur-limitation-des-uvres-grecques-en-peinture-et-en-sculpture</w:t>
              </w:r>
            </w:hyperlink>
            <w:r>
              <w:t>.</w:t>
            </w:r>
          </w:p>
        </w:tc>
      </w:tr>
      <w:tr w:rsidR="009F53E4" w:rsidRPr="000467B7" w14:paraId="298B15BE" w14:textId="77777777" w:rsidTr="00000270">
        <w:tc>
          <w:tcPr>
            <w:tcW w:w="0" w:type="auto"/>
          </w:tcPr>
          <w:p w14:paraId="77419201" w14:textId="77777777" w:rsidR="009F53E4" w:rsidRPr="009F53E4" w:rsidRDefault="009F53E4" w:rsidP="00000270">
            <w:pPr>
              <w:pStyle w:val="Compact"/>
              <w:rPr>
                <w:lang w:val="en-US"/>
              </w:rPr>
            </w:pPr>
            <w:r w:rsidRPr="009F53E4">
              <w:rPr>
                <w:lang w:val="en-US"/>
              </w:rPr>
              <w:t xml:space="preserve">World Wide Web Consortium (W3C). 2021. « Translations of W3C Technical Reports ». World Wide Web Consortium (W3C). 8 mars 2021. </w:t>
            </w:r>
            <w:r w:rsidR="000467B7">
              <w:fldChar w:fldCharType="begin"/>
            </w:r>
            <w:r w:rsidR="000467B7" w:rsidRPr="000467B7">
              <w:rPr>
                <w:lang w:val="en-CA"/>
              </w:rPr>
              <w:instrText>HYPERLINK "https://www.w3.org/Translations/" \h</w:instrText>
            </w:r>
            <w:r w:rsidR="000467B7">
              <w:fldChar w:fldCharType="separate"/>
            </w:r>
            <w:r w:rsidRPr="009F53E4">
              <w:rPr>
                <w:rStyle w:val="Hyperlink"/>
                <w:lang w:val="en-US"/>
              </w:rPr>
              <w:t>https://www.w3.org/Translations/</w:t>
            </w:r>
            <w:r w:rsidR="000467B7">
              <w:rPr>
                <w:rStyle w:val="Hyperlink"/>
                <w:lang w:val="en-US"/>
              </w:rPr>
              <w:fldChar w:fldCharType="end"/>
            </w:r>
            <w:r w:rsidRPr="009F53E4">
              <w:rPr>
                <w:lang w:val="en-US"/>
              </w:rPr>
              <w:t>.</w:t>
            </w:r>
          </w:p>
        </w:tc>
      </w:tr>
      <w:tr w:rsidR="009F53E4" w14:paraId="11B286BD" w14:textId="77777777" w:rsidTr="00000270">
        <w:tc>
          <w:tcPr>
            <w:tcW w:w="0" w:type="auto"/>
          </w:tcPr>
          <w:p w14:paraId="57CDEAB8" w14:textId="77777777" w:rsidR="009F53E4" w:rsidRDefault="009F53E4" w:rsidP="00000270">
            <w:pPr>
              <w:pStyle w:val="Compact"/>
            </w:pPr>
            <w:r w:rsidRPr="009F53E4">
              <w:rPr>
                <w:lang w:val="en-US"/>
              </w:rPr>
              <w:t xml:space="preserve">XML Working Group. 2016. « Extensible Markup Language (XML) ». World Wide Web Consortium (W3C). 11 octobre 2016. </w:t>
            </w:r>
            <w:r w:rsidR="000467B7">
              <w:fldChar w:fldCharType="begin"/>
            </w:r>
            <w:r w:rsidR="000467B7" w:rsidRPr="000467B7">
              <w:rPr>
                <w:lang w:val="en-CA"/>
              </w:rPr>
              <w:instrText>HYPERLINK "https://www.w3.org/XML/" \h</w:instrText>
            </w:r>
            <w:r w:rsidR="000467B7">
              <w:fldChar w:fldCharType="separate"/>
            </w:r>
            <w:r>
              <w:rPr>
                <w:rStyle w:val="Hyperlink"/>
              </w:rPr>
              <w:t>https://www.w3.org/XML/</w:t>
            </w:r>
            <w:r w:rsidR="000467B7">
              <w:rPr>
                <w:rStyle w:val="Hyperlink"/>
              </w:rPr>
              <w:fldChar w:fldCharType="end"/>
            </w:r>
            <w:r>
              <w:t>.</w:t>
            </w:r>
          </w:p>
        </w:tc>
      </w:tr>
    </w:tbl>
    <w:p w14:paraId="08E7B7BC" w14:textId="77777777" w:rsidR="009F53E4" w:rsidRDefault="009F53E4" w:rsidP="009F53E4"/>
    <w:p w14:paraId="365534B9" w14:textId="77777777" w:rsidR="009F53E4" w:rsidRPr="009F53E4" w:rsidRDefault="009F53E4" w:rsidP="009F53E4">
      <w:pPr>
        <w:pStyle w:val="BodyText"/>
      </w:pPr>
    </w:p>
    <w:p w14:paraId="7C3D2766" w14:textId="77777777" w:rsidR="00BF18CF" w:rsidRDefault="00E51347">
      <w:pPr>
        <w:pStyle w:val="Heading1"/>
      </w:pPr>
      <w:bookmarkStart w:id="589" w:name="_Toc144361038"/>
      <w:r>
        <w:lastRenderedPageBreak/>
        <w:t>Annexe</w:t>
      </w:r>
      <w:bookmarkEnd w:id="589"/>
    </w:p>
    <w:p w14:paraId="511D783A" w14:textId="77777777" w:rsidR="00BF18CF" w:rsidRDefault="00E51347">
      <w:pPr>
        <w:pStyle w:val="Heading2"/>
      </w:pPr>
      <w:bookmarkStart w:id="590" w:name="bookmark=id.2wfod1i" w:colFirst="0" w:colLast="0"/>
      <w:bookmarkStart w:id="591" w:name="_Toc144361039"/>
      <w:bookmarkEnd w:id="590"/>
      <w:r>
        <w:t>Classes et propriétés dépréciées</w:t>
      </w:r>
      <w:bookmarkEnd w:id="591"/>
    </w:p>
    <w:tbl>
      <w:tblPr>
        <w:tblStyle w:val="afffffffffffffffffff7"/>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3795BBEE" w14:textId="77777777" w:rsidTr="00BF18CF">
        <w:tc>
          <w:tcPr>
            <w:tcW w:w="10690" w:type="dxa"/>
          </w:tcPr>
          <w:p w14:paraId="729A32CB" w14:textId="77777777" w:rsidR="00BF18CF" w:rsidRDefault="00E51347">
            <w:r>
              <w:t>La liste qui suit énumère les classes et/ou propriétés qui ont été dépréciées depuis la version 5.0.4 du CIDOC CRM (laquelle a servi d’ébauche communautaire pour ISO21127:2014 ainsi que pour cette version 7.1). Bien que le modèle CIDOC CRM soit développé selon les principes du changement monotone et que tout soit mis en oeuvre pour minimiser la rétro-incompatibilité (notamment grâce à une modélisation conservatrice tant initialement qu’au cours de l’évolution du modèle), certaines révisions exigent inévitablement des mises à jour des bases de connaissances qui s’appuient sur d’anciennes versions de l’ontologie afin de réconcilier les instances avec la version actuelle. Les tableaux ci-bas indiquent quelles classes et quelles propriétés ont été dépréciées de telle sorte qu’elles exigent une mise à jour des bases de connaissances auparavant conformes au CIDOC CRM afin d’être conformes avec la version la plus récente du standard.</w:t>
            </w:r>
          </w:p>
          <w:p w14:paraId="209B7AE7" w14:textId="77777777" w:rsidR="00BF18CF" w:rsidRDefault="00E51347">
            <w:r>
              <w:t>Le tableau « </w:t>
            </w:r>
            <w:hyperlink r:id="rId566" w:anchor="instructions-de-migration-des-classes-depreciees">
              <w:r>
                <w:rPr>
                  <w:color w:val="4F81BD"/>
                </w:rPr>
                <w:t>Instructions de migration des classes dépréciées</w:t>
              </w:r>
            </w:hyperlink>
            <w:r>
              <w:t> » énumère les classes dépréciées ainsi que les classes ou entités primitives qu’il est recommandé d’utiliser à la place de celles-ci.</w:t>
            </w:r>
          </w:p>
          <w:p w14:paraId="07C6ABCA" w14:textId="77777777" w:rsidR="00BF18CF" w:rsidRDefault="00E51347">
            <w:r>
              <w:t>[n.d.t. Le tableau « </w:t>
            </w:r>
            <w:hyperlink r:id="rId567" w:anchor="instructions-de-migration-pour-e81_transformation-domaine-dapplication-restreint">
              <w:r>
                <w:rPr>
                  <w:color w:val="4F81BD"/>
                </w:rPr>
                <w:t xml:space="preserve">Instructions de migration pour </w:t>
              </w:r>
            </w:hyperlink>
            <w:hyperlink r:id="rId568" w:anchor="instructions-de-migration-pour-e81_transformation-domaine-dapplication-restreint">
              <w:r>
                <w:rPr>
                  <w:rFonts w:ascii="Consolas" w:eastAsia="Consolas" w:hAnsi="Consolas" w:cs="Consolas"/>
                  <w:sz w:val="22"/>
                  <w:szCs w:val="22"/>
                  <w:shd w:val="clear" w:color="auto" w:fill="EAEEF3"/>
                </w:rPr>
                <w:t>E81_Transformation</w:t>
              </w:r>
            </w:hyperlink>
            <w:hyperlink r:id="rId569" w:anchor="instructions-de-migration-pour-e81_transformation-domaine-dapplication-restreint">
              <w:r>
                <w:rPr>
                  <w:color w:val="4F81BD"/>
                </w:rPr>
                <w:t xml:space="preserve"> (domaine d’application restreint)</w:t>
              </w:r>
            </w:hyperlink>
            <w:r>
              <w:t xml:space="preserve"> » fait des recommandations quand à la meilleure manière de mettre à jour une base de connaissances suite à la restriction du domaine d’application de </w:t>
            </w:r>
            <w:r>
              <w:rPr>
                <w:rFonts w:ascii="Consolas" w:eastAsia="Consolas" w:hAnsi="Consolas" w:cs="Consolas"/>
                <w:sz w:val="22"/>
                <w:szCs w:val="22"/>
                <w:shd w:val="clear" w:color="auto" w:fill="EAEEF3"/>
              </w:rPr>
              <w:t>E81_Transformation</w:t>
            </w:r>
            <w:r>
              <w:t>.]</w:t>
            </w:r>
          </w:p>
          <w:p w14:paraId="6BB91CE0" w14:textId="77777777" w:rsidR="00BF18CF" w:rsidRDefault="00E51347">
            <w:r>
              <w:t>Le tableau « </w:t>
            </w:r>
            <w:hyperlink r:id="rId570" w:anchor="instructions-de-migration-des-proprietes-depreciees">
              <w:r>
                <w:rPr>
                  <w:color w:val="4F81BD"/>
                </w:rPr>
                <w:t>Instructions de migration des propriétés dépréciées</w:t>
              </w:r>
            </w:hyperlink>
            <w:r>
              <w:t> » énumère les propriétés dépréciées ainsi que celles qu’il est recommandé d’utiliser à la place de celles-ci. C’est un bon outil pour comprendre comment bien construire de nouveaux chemins sémantiques entre des instances de classes dépréciées et les remplacements de classes ou d’entités primitives qui sont recommandés.</w:t>
            </w:r>
          </w:p>
        </w:tc>
      </w:tr>
    </w:tbl>
    <w:p w14:paraId="06576B5D" w14:textId="77777777" w:rsidR="00BF18CF" w:rsidRDefault="00BF18CF"/>
    <w:tbl>
      <w:tblPr>
        <w:tblStyle w:val="afffffffffffffffffff8"/>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0ED46E9D" w14:textId="77777777" w:rsidTr="00BF18CF">
        <w:tc>
          <w:tcPr>
            <w:tcW w:w="1828" w:type="dxa"/>
          </w:tcPr>
          <w:p w14:paraId="62BE705A" w14:textId="184B3FF7" w:rsidR="00BF18CF" w:rsidRDefault="00F27208">
            <w:r>
              <w:rPr>
                <w:i/>
              </w:rPr>
              <w:t>Note de traduction</w:t>
            </w:r>
          </w:p>
        </w:tc>
        <w:tc>
          <w:tcPr>
            <w:tcW w:w="8867" w:type="dxa"/>
          </w:tcPr>
          <w:p w14:paraId="3EE914EC" w14:textId="77777777" w:rsidR="00BF18CF" w:rsidRDefault="00BF18CF">
            <w:pPr>
              <w:pBdr>
                <w:top w:val="nil"/>
                <w:left w:val="nil"/>
                <w:bottom w:val="nil"/>
                <w:right w:val="nil"/>
                <w:between w:val="nil"/>
              </w:pBdr>
              <w:spacing w:before="36" w:after="36"/>
              <w:rPr>
                <w:color w:val="000000"/>
              </w:rPr>
            </w:pPr>
          </w:p>
        </w:tc>
      </w:tr>
      <w:tr w:rsidR="00BF18CF" w14:paraId="24754A65" w14:textId="77777777" w:rsidTr="00BF18CF">
        <w:tc>
          <w:tcPr>
            <w:tcW w:w="1828" w:type="dxa"/>
          </w:tcPr>
          <w:p w14:paraId="06A43E74" w14:textId="77777777" w:rsidR="00BF18CF" w:rsidRDefault="00E51347">
            <w:r>
              <w:rPr>
                <w:i/>
              </w:rPr>
              <w:t>Références</w:t>
            </w:r>
          </w:p>
        </w:tc>
        <w:tc>
          <w:tcPr>
            <w:tcW w:w="8867" w:type="dxa"/>
          </w:tcPr>
          <w:p w14:paraId="65FC8B35" w14:textId="77777777" w:rsidR="00BF18CF" w:rsidRDefault="00BF18CF">
            <w:pPr>
              <w:pBdr>
                <w:top w:val="nil"/>
                <w:left w:val="nil"/>
                <w:bottom w:val="nil"/>
                <w:right w:val="nil"/>
                <w:between w:val="nil"/>
              </w:pBdr>
              <w:spacing w:before="36" w:after="36"/>
              <w:rPr>
                <w:color w:val="000000"/>
              </w:rPr>
            </w:pPr>
          </w:p>
        </w:tc>
      </w:tr>
    </w:tbl>
    <w:p w14:paraId="42B3CBE0" w14:textId="77777777" w:rsidR="00BF18CF" w:rsidRDefault="00E51347">
      <w:pPr>
        <w:pStyle w:val="Heading3"/>
      </w:pPr>
      <w:bookmarkStart w:id="592" w:name="bookmark=id.1bkyn9b" w:colFirst="0" w:colLast="0"/>
      <w:bookmarkStart w:id="593" w:name="_Toc144361040"/>
      <w:bookmarkEnd w:id="592"/>
      <w:r>
        <w:t>Instructions de migration des classes dépréciées</w:t>
      </w:r>
      <w:bookmarkEnd w:id="593"/>
    </w:p>
    <w:tbl>
      <w:tblPr>
        <w:tblStyle w:val="afffffffffffffffffff9"/>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4329"/>
        <w:gridCol w:w="6361"/>
      </w:tblGrid>
      <w:tr w:rsidR="00BF18CF" w14:paraId="3E68D1C5" w14:textId="77777777" w:rsidTr="00BF18CF">
        <w:tc>
          <w:tcPr>
            <w:tcW w:w="4329" w:type="dxa"/>
          </w:tcPr>
          <w:p w14:paraId="06A11949" w14:textId="77777777" w:rsidR="00BF18CF" w:rsidRDefault="00E51347">
            <w:r>
              <w:rPr>
                <w:rFonts w:ascii="Consolas" w:eastAsia="Consolas" w:hAnsi="Consolas" w:cs="Consolas"/>
                <w:sz w:val="22"/>
                <w:szCs w:val="22"/>
                <w:shd w:val="clear" w:color="auto" w:fill="EAEEF3"/>
              </w:rPr>
              <w:t>E38_Image</w:t>
            </w:r>
          </w:p>
        </w:tc>
        <w:tc>
          <w:tcPr>
            <w:tcW w:w="6361" w:type="dxa"/>
          </w:tcPr>
          <w:p w14:paraId="6D53AEE1"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E36_Entité_visuelle</w:t>
            </w:r>
          </w:p>
        </w:tc>
      </w:tr>
      <w:tr w:rsidR="00BF18CF" w14:paraId="07F1C6F6" w14:textId="77777777" w:rsidTr="00BF18CF">
        <w:tc>
          <w:tcPr>
            <w:tcW w:w="4329" w:type="dxa"/>
          </w:tcPr>
          <w:p w14:paraId="564438EC" w14:textId="77777777" w:rsidR="00BF18CF" w:rsidRDefault="00E51347">
            <w:r>
              <w:rPr>
                <w:rFonts w:ascii="Consolas" w:eastAsia="Consolas" w:hAnsi="Consolas" w:cs="Consolas"/>
                <w:sz w:val="22"/>
                <w:szCs w:val="22"/>
                <w:shd w:val="clear" w:color="auto" w:fill="EAEEF3"/>
              </w:rPr>
              <w:t>E40_Entité_légale</w:t>
            </w:r>
          </w:p>
        </w:tc>
        <w:tc>
          <w:tcPr>
            <w:tcW w:w="6361" w:type="dxa"/>
          </w:tcPr>
          <w:p w14:paraId="1248A515"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E74_Groupe</w:t>
            </w:r>
          </w:p>
        </w:tc>
      </w:tr>
      <w:tr w:rsidR="00BF18CF" w14:paraId="31871D9D" w14:textId="77777777" w:rsidTr="00BF18CF">
        <w:tc>
          <w:tcPr>
            <w:tcW w:w="4329" w:type="dxa"/>
          </w:tcPr>
          <w:p w14:paraId="616A84E9" w14:textId="77777777" w:rsidR="00BF18CF" w:rsidRDefault="00E51347">
            <w:r>
              <w:rPr>
                <w:rFonts w:ascii="Consolas" w:eastAsia="Consolas" w:hAnsi="Consolas" w:cs="Consolas"/>
                <w:sz w:val="22"/>
                <w:szCs w:val="22"/>
                <w:shd w:val="clear" w:color="auto" w:fill="EAEEF3"/>
              </w:rPr>
              <w:t>E44_Appellation_du_lieu</w:t>
            </w:r>
          </w:p>
        </w:tc>
        <w:tc>
          <w:tcPr>
            <w:tcW w:w="6361" w:type="dxa"/>
          </w:tcPr>
          <w:p w14:paraId="4E79CBAA"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E41_Appellation</w:t>
            </w:r>
          </w:p>
        </w:tc>
      </w:tr>
      <w:tr w:rsidR="00BF18CF" w14:paraId="39452E65" w14:textId="77777777" w:rsidTr="00BF18CF">
        <w:tc>
          <w:tcPr>
            <w:tcW w:w="4329" w:type="dxa"/>
          </w:tcPr>
          <w:p w14:paraId="2787D63F" w14:textId="77777777" w:rsidR="00BF18CF" w:rsidRDefault="00E51347">
            <w:r>
              <w:rPr>
                <w:rFonts w:ascii="Consolas" w:eastAsia="Consolas" w:hAnsi="Consolas" w:cs="Consolas"/>
                <w:sz w:val="22"/>
                <w:szCs w:val="22"/>
                <w:shd w:val="clear" w:color="auto" w:fill="EAEEF3"/>
              </w:rPr>
              <w:t>E45_Adresse</w:t>
            </w:r>
          </w:p>
        </w:tc>
        <w:tc>
          <w:tcPr>
            <w:tcW w:w="6361" w:type="dxa"/>
          </w:tcPr>
          <w:p w14:paraId="2132E9EF"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E41_Appellation</w:t>
            </w:r>
            <w:r>
              <w:t xml:space="preserve">, </w:t>
            </w:r>
            <w:r>
              <w:rPr>
                <w:rFonts w:ascii="Consolas" w:eastAsia="Consolas" w:hAnsi="Consolas" w:cs="Consolas"/>
                <w:sz w:val="22"/>
                <w:szCs w:val="22"/>
                <w:shd w:val="clear" w:color="auto" w:fill="EAEEF3"/>
              </w:rPr>
              <w:t>P2_a_pour_type</w:t>
            </w:r>
            <w:r>
              <w:t xml:space="preserve"> : « Adresse »</w:t>
            </w:r>
          </w:p>
        </w:tc>
      </w:tr>
      <w:tr w:rsidR="00BF18CF" w14:paraId="03877FE5" w14:textId="77777777" w:rsidTr="00BF18CF">
        <w:tc>
          <w:tcPr>
            <w:tcW w:w="4329" w:type="dxa"/>
          </w:tcPr>
          <w:p w14:paraId="2E11B7DA" w14:textId="77777777" w:rsidR="00BF18CF" w:rsidRDefault="00E51347">
            <w:r>
              <w:rPr>
                <w:rFonts w:ascii="Consolas" w:eastAsia="Consolas" w:hAnsi="Consolas" w:cs="Consolas"/>
                <w:sz w:val="22"/>
                <w:szCs w:val="22"/>
                <w:shd w:val="clear" w:color="auto" w:fill="EAEEF3"/>
              </w:rPr>
              <w:t>E46_Définition_de_section</w:t>
            </w:r>
          </w:p>
        </w:tc>
        <w:tc>
          <w:tcPr>
            <w:tcW w:w="6361" w:type="dxa"/>
          </w:tcPr>
          <w:p w14:paraId="78C6F3E5"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E41_Appellation</w:t>
            </w:r>
          </w:p>
        </w:tc>
      </w:tr>
      <w:tr w:rsidR="00BF18CF" w14:paraId="77A6AB44" w14:textId="77777777" w:rsidTr="00BF18CF">
        <w:tc>
          <w:tcPr>
            <w:tcW w:w="4329" w:type="dxa"/>
          </w:tcPr>
          <w:p w14:paraId="004236A8" w14:textId="77777777" w:rsidR="00BF18CF" w:rsidRDefault="00E51347">
            <w:r>
              <w:rPr>
                <w:rFonts w:ascii="Consolas" w:eastAsia="Consolas" w:hAnsi="Consolas" w:cs="Consolas"/>
                <w:sz w:val="22"/>
                <w:szCs w:val="22"/>
                <w:shd w:val="clear" w:color="auto" w:fill="EAEEF3"/>
              </w:rPr>
              <w:t>E47_Coordonnées_spatiales</w:t>
            </w:r>
          </w:p>
        </w:tc>
        <w:tc>
          <w:tcPr>
            <w:tcW w:w="6361" w:type="dxa"/>
          </w:tcPr>
          <w:p w14:paraId="073782EE"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E94_Primitive_spatiale</w:t>
            </w:r>
          </w:p>
        </w:tc>
      </w:tr>
      <w:tr w:rsidR="00BF18CF" w14:paraId="47E5D129" w14:textId="77777777" w:rsidTr="00BF18CF">
        <w:tc>
          <w:tcPr>
            <w:tcW w:w="4329" w:type="dxa"/>
          </w:tcPr>
          <w:p w14:paraId="500550DF" w14:textId="77777777" w:rsidR="00BF18CF" w:rsidRDefault="00E51347">
            <w:r>
              <w:rPr>
                <w:rFonts w:ascii="Consolas" w:eastAsia="Consolas" w:hAnsi="Consolas" w:cs="Consolas"/>
                <w:sz w:val="22"/>
                <w:szCs w:val="22"/>
                <w:shd w:val="clear" w:color="auto" w:fill="EAEEF3"/>
              </w:rPr>
              <w:t>E48_Nom_de_lieu</w:t>
            </w:r>
          </w:p>
        </w:tc>
        <w:tc>
          <w:tcPr>
            <w:tcW w:w="6361" w:type="dxa"/>
          </w:tcPr>
          <w:p w14:paraId="76FC4B68"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E41_Appellation</w:t>
            </w:r>
          </w:p>
        </w:tc>
      </w:tr>
      <w:tr w:rsidR="00BF18CF" w14:paraId="7F8F4A2D" w14:textId="77777777" w:rsidTr="00BF18CF">
        <w:tc>
          <w:tcPr>
            <w:tcW w:w="4329" w:type="dxa"/>
          </w:tcPr>
          <w:p w14:paraId="5695FFD0" w14:textId="77777777" w:rsidR="00BF18CF" w:rsidRDefault="00E51347">
            <w:r>
              <w:rPr>
                <w:rFonts w:ascii="Consolas" w:eastAsia="Consolas" w:hAnsi="Consolas" w:cs="Consolas"/>
                <w:sz w:val="22"/>
                <w:szCs w:val="22"/>
                <w:shd w:val="clear" w:color="auto" w:fill="EAEEF3"/>
              </w:rPr>
              <w:t>E49_Appellation_de_temps</w:t>
            </w:r>
          </w:p>
        </w:tc>
        <w:tc>
          <w:tcPr>
            <w:tcW w:w="6361" w:type="dxa"/>
          </w:tcPr>
          <w:p w14:paraId="5383BA4F"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E41_Appellation</w:t>
            </w:r>
          </w:p>
        </w:tc>
      </w:tr>
      <w:tr w:rsidR="00BF18CF" w14:paraId="601B4CFA" w14:textId="77777777" w:rsidTr="00BF18CF">
        <w:tc>
          <w:tcPr>
            <w:tcW w:w="4329" w:type="dxa"/>
          </w:tcPr>
          <w:p w14:paraId="371DAC9D" w14:textId="77777777" w:rsidR="00BF18CF" w:rsidRDefault="00E51347">
            <w:r>
              <w:rPr>
                <w:rFonts w:ascii="Consolas" w:eastAsia="Consolas" w:hAnsi="Consolas" w:cs="Consolas"/>
                <w:sz w:val="22"/>
                <w:szCs w:val="22"/>
                <w:shd w:val="clear" w:color="auto" w:fill="EAEEF3"/>
              </w:rPr>
              <w:t>E50_Date</w:t>
            </w:r>
          </w:p>
        </w:tc>
        <w:tc>
          <w:tcPr>
            <w:tcW w:w="6361" w:type="dxa"/>
          </w:tcPr>
          <w:p w14:paraId="0873DE14"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E61_Primitive_temporelle</w:t>
            </w:r>
          </w:p>
        </w:tc>
      </w:tr>
      <w:tr w:rsidR="00BF18CF" w14:paraId="1AD7377B" w14:textId="77777777" w:rsidTr="00BF18CF">
        <w:tc>
          <w:tcPr>
            <w:tcW w:w="4329" w:type="dxa"/>
          </w:tcPr>
          <w:p w14:paraId="1264F701" w14:textId="77777777" w:rsidR="00BF18CF" w:rsidRDefault="00E51347">
            <w:r>
              <w:rPr>
                <w:rFonts w:ascii="Consolas" w:eastAsia="Consolas" w:hAnsi="Consolas" w:cs="Consolas"/>
                <w:sz w:val="22"/>
                <w:szCs w:val="22"/>
                <w:shd w:val="clear" w:color="auto" w:fill="EAEEF3"/>
              </w:rPr>
              <w:lastRenderedPageBreak/>
              <w:t>E51_Point_de_contact</w:t>
            </w:r>
          </w:p>
        </w:tc>
        <w:tc>
          <w:tcPr>
            <w:tcW w:w="6361" w:type="dxa"/>
          </w:tcPr>
          <w:p w14:paraId="46648F38"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E41_Appellation</w:t>
            </w:r>
            <w:r>
              <w:t xml:space="preserve">, </w:t>
            </w:r>
            <w:r>
              <w:rPr>
                <w:rFonts w:ascii="Consolas" w:eastAsia="Consolas" w:hAnsi="Consolas" w:cs="Consolas"/>
                <w:sz w:val="22"/>
                <w:szCs w:val="22"/>
                <w:shd w:val="clear" w:color="auto" w:fill="EAEEF3"/>
              </w:rPr>
              <w:t>P2_a_pour_type</w:t>
            </w:r>
            <w:r>
              <w:t xml:space="preserve"> : « Point de contact »</w:t>
            </w:r>
          </w:p>
        </w:tc>
      </w:tr>
      <w:tr w:rsidR="00BF18CF" w14:paraId="4D953A8D" w14:textId="77777777" w:rsidTr="00BF18CF">
        <w:tc>
          <w:tcPr>
            <w:tcW w:w="4329" w:type="dxa"/>
          </w:tcPr>
          <w:p w14:paraId="4D781EE2" w14:textId="77777777" w:rsidR="00BF18CF" w:rsidRDefault="00E51347">
            <w:r>
              <w:rPr>
                <w:rFonts w:ascii="Consolas" w:eastAsia="Consolas" w:hAnsi="Consolas" w:cs="Consolas"/>
                <w:sz w:val="22"/>
                <w:szCs w:val="22"/>
                <w:shd w:val="clear" w:color="auto" w:fill="EAEEF3"/>
              </w:rPr>
              <w:t>E75_Appellation_d’objet_conceptuel</w:t>
            </w:r>
          </w:p>
        </w:tc>
        <w:tc>
          <w:tcPr>
            <w:tcW w:w="6361" w:type="dxa"/>
          </w:tcPr>
          <w:p w14:paraId="14459C98"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E41_Appellation</w:t>
            </w:r>
          </w:p>
        </w:tc>
      </w:tr>
      <w:tr w:rsidR="00BF18CF" w14:paraId="070712F7" w14:textId="77777777" w:rsidTr="00BF18CF">
        <w:tc>
          <w:tcPr>
            <w:tcW w:w="4329" w:type="dxa"/>
          </w:tcPr>
          <w:p w14:paraId="70F40A10" w14:textId="77777777" w:rsidR="00BF18CF" w:rsidRDefault="00E51347">
            <w:r>
              <w:rPr>
                <w:rFonts w:ascii="Consolas" w:eastAsia="Consolas" w:hAnsi="Consolas" w:cs="Consolas"/>
                <w:sz w:val="22"/>
                <w:szCs w:val="22"/>
                <w:shd w:val="clear" w:color="auto" w:fill="EAEEF3"/>
              </w:rPr>
              <w:t>E82_Appellation_d’acteur</w:t>
            </w:r>
          </w:p>
        </w:tc>
        <w:tc>
          <w:tcPr>
            <w:tcW w:w="6361" w:type="dxa"/>
          </w:tcPr>
          <w:p w14:paraId="5D32F5A8"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E41_Appellation</w:t>
            </w:r>
          </w:p>
        </w:tc>
      </w:tr>
      <w:tr w:rsidR="00BF18CF" w14:paraId="5061F8F7" w14:textId="77777777" w:rsidTr="00BF18CF">
        <w:tc>
          <w:tcPr>
            <w:tcW w:w="4329" w:type="dxa"/>
          </w:tcPr>
          <w:p w14:paraId="356F348B" w14:textId="77777777" w:rsidR="00BF18CF" w:rsidRDefault="00E51347">
            <w:r>
              <w:rPr>
                <w:rFonts w:ascii="Consolas" w:eastAsia="Consolas" w:hAnsi="Consolas" w:cs="Consolas"/>
                <w:sz w:val="22"/>
                <w:szCs w:val="22"/>
                <w:shd w:val="clear" w:color="auto" w:fill="EAEEF3"/>
              </w:rPr>
              <w:t>E84_Porteur_d’information</w:t>
            </w:r>
          </w:p>
        </w:tc>
        <w:tc>
          <w:tcPr>
            <w:tcW w:w="6361" w:type="dxa"/>
          </w:tcPr>
          <w:p w14:paraId="063F95C9"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E22_Objet_élaboré_par_l'humain</w:t>
            </w:r>
            <w:r>
              <w:t xml:space="preserve">, </w:t>
            </w:r>
            <w:r>
              <w:rPr>
                <w:rFonts w:ascii="Consolas" w:eastAsia="Consolas" w:hAnsi="Consolas" w:cs="Consolas"/>
                <w:sz w:val="22"/>
                <w:szCs w:val="22"/>
                <w:shd w:val="clear" w:color="auto" w:fill="EAEEF3"/>
              </w:rPr>
              <w:t>P2_a_pour_type</w:t>
            </w:r>
            <w:r>
              <w:t xml:space="preserve"> : « Porteur d’information »</w:t>
            </w:r>
          </w:p>
        </w:tc>
      </w:tr>
      <w:tr w:rsidR="00BF18CF" w14:paraId="04C213E3" w14:textId="77777777" w:rsidTr="00BF18CF">
        <w:tc>
          <w:tcPr>
            <w:tcW w:w="4329" w:type="dxa"/>
          </w:tcPr>
          <w:p w14:paraId="5998F75E" w14:textId="0024C693" w:rsidR="00BF18CF" w:rsidRDefault="00F27208">
            <w:r>
              <w:rPr>
                <w:i/>
              </w:rPr>
              <w:t>Note de traduction</w:t>
            </w:r>
          </w:p>
        </w:tc>
        <w:tc>
          <w:tcPr>
            <w:tcW w:w="6361" w:type="dxa"/>
          </w:tcPr>
          <w:p w14:paraId="5C56B09B" w14:textId="77777777" w:rsidR="00BF18CF" w:rsidRDefault="00E51347">
            <w:r>
              <w:t>Les traductions des classes dépréciées sont littérales et n’ont pas fait l’objet d’un examen dédié dans le cadre de ce travail.</w:t>
            </w:r>
          </w:p>
        </w:tc>
      </w:tr>
      <w:tr w:rsidR="00BF18CF" w14:paraId="6920CAEC" w14:textId="77777777" w:rsidTr="00BF18CF">
        <w:tc>
          <w:tcPr>
            <w:tcW w:w="4329" w:type="dxa"/>
          </w:tcPr>
          <w:p w14:paraId="24819C52" w14:textId="77777777" w:rsidR="00BF18CF" w:rsidRDefault="00E51347">
            <w:r>
              <w:rPr>
                <w:i/>
              </w:rPr>
              <w:t>Références</w:t>
            </w:r>
          </w:p>
        </w:tc>
        <w:tc>
          <w:tcPr>
            <w:tcW w:w="6361" w:type="dxa"/>
          </w:tcPr>
          <w:p w14:paraId="1B56B9C0" w14:textId="77777777" w:rsidR="00BF18CF" w:rsidRDefault="00BF18CF">
            <w:pPr>
              <w:pBdr>
                <w:top w:val="nil"/>
                <w:left w:val="nil"/>
                <w:bottom w:val="nil"/>
                <w:right w:val="nil"/>
                <w:between w:val="nil"/>
              </w:pBdr>
              <w:spacing w:before="36" w:after="36"/>
              <w:rPr>
                <w:color w:val="000000"/>
              </w:rPr>
            </w:pPr>
          </w:p>
        </w:tc>
      </w:tr>
    </w:tbl>
    <w:p w14:paraId="2A15A736" w14:textId="77777777" w:rsidR="00BF18CF" w:rsidRDefault="00E51347">
      <w:pPr>
        <w:pStyle w:val="Heading3"/>
      </w:pPr>
      <w:bookmarkStart w:id="594" w:name="bookmark=id.3vkm5x4" w:colFirst="0" w:colLast="0"/>
      <w:bookmarkStart w:id="595" w:name="_Toc144361041"/>
      <w:bookmarkEnd w:id="594"/>
      <w:r>
        <w:t xml:space="preserve">Instructions de migration pour </w:t>
      </w:r>
      <w:r>
        <w:rPr>
          <w:rFonts w:ascii="Consolas" w:eastAsia="Consolas" w:hAnsi="Consolas" w:cs="Consolas"/>
          <w:sz w:val="22"/>
          <w:szCs w:val="22"/>
          <w:shd w:val="clear" w:color="auto" w:fill="EAEEF3"/>
        </w:rPr>
        <w:t>E81_Transformation</w:t>
      </w:r>
      <w:r>
        <w:t xml:space="preserve"> (domaine d’application restreint)</w:t>
      </w:r>
      <w:bookmarkEnd w:id="595"/>
    </w:p>
    <w:tbl>
      <w:tblPr>
        <w:tblStyle w:val="afffffffffffffffffffa"/>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35220E57" w14:textId="77777777" w:rsidTr="00BF18CF">
        <w:tc>
          <w:tcPr>
            <w:tcW w:w="10690" w:type="dxa"/>
          </w:tcPr>
          <w:p w14:paraId="1BBC968A" w14:textId="77777777" w:rsidR="00BF18CF" w:rsidRDefault="00E51347">
            <w:r>
              <w:t xml:space="preserve">À compter de la version 7.1, la classe </w:t>
            </w:r>
            <w:r>
              <w:rPr>
                <w:rFonts w:ascii="Consolas" w:eastAsia="Consolas" w:hAnsi="Consolas" w:cs="Consolas"/>
                <w:sz w:val="22"/>
                <w:szCs w:val="22"/>
                <w:shd w:val="clear" w:color="auto" w:fill="EAEEF3"/>
              </w:rPr>
              <w:t>E81_Transformation</w:t>
            </w:r>
            <w:r>
              <w:t xml:space="preserve"> ne s’applique qu’aux instances de </w:t>
            </w:r>
            <w:r>
              <w:rPr>
                <w:rFonts w:ascii="Consolas" w:eastAsia="Consolas" w:hAnsi="Consolas" w:cs="Consolas"/>
                <w:sz w:val="22"/>
                <w:szCs w:val="22"/>
                <w:shd w:val="clear" w:color="auto" w:fill="EAEEF3"/>
              </w:rPr>
              <w:t>E18_Chose_matérielle</w:t>
            </w:r>
            <w:r>
              <w:t xml:space="preserve"> alors qu’elle s’appliquait aussi, auparavant, aux instances de </w:t>
            </w:r>
            <w:r>
              <w:rPr>
                <w:rFonts w:ascii="Consolas" w:eastAsia="Consolas" w:hAnsi="Consolas" w:cs="Consolas"/>
                <w:sz w:val="22"/>
                <w:szCs w:val="22"/>
                <w:shd w:val="clear" w:color="auto" w:fill="EAEEF3"/>
              </w:rPr>
              <w:t>E77_Entité_persistante</w:t>
            </w:r>
            <w:r>
              <w:t xml:space="preserve">. Ce changement a été effectué car si la forme préexistante d’une chose matérielle doit cesser d’exister pour être remplacée, ce n’est pas le cas de ce qui n’est pas matériel. Dans le cas des instances de </w:t>
            </w:r>
            <w:r>
              <w:rPr>
                <w:rFonts w:ascii="Consolas" w:eastAsia="Consolas" w:hAnsi="Consolas" w:cs="Consolas"/>
                <w:sz w:val="22"/>
                <w:szCs w:val="22"/>
                <w:shd w:val="clear" w:color="auto" w:fill="EAEEF3"/>
              </w:rPr>
              <w:t>E28_Objet_conceptuel</w:t>
            </w:r>
            <w:r>
              <w:t xml:space="preserve">, de nombreuses copies d’un même objet peuvent exister sans être affectées par la transformation. De la même manière, la transformation des instances de </w:t>
            </w:r>
            <w:r>
              <w:rPr>
                <w:rFonts w:ascii="Consolas" w:eastAsia="Consolas" w:hAnsi="Consolas" w:cs="Consolas"/>
                <w:sz w:val="22"/>
                <w:szCs w:val="22"/>
                <w:shd w:val="clear" w:color="auto" w:fill="EAEEF3"/>
              </w:rPr>
              <w:t>E74_Groupe</w:t>
            </w:r>
            <w:r>
              <w:t xml:space="preserve"> n’implique pas nécessairement la dissolution du groupement préexistant.</w:t>
            </w:r>
          </w:p>
          <w:p w14:paraId="2CE7F065" w14:textId="77777777" w:rsidR="00BF18CF" w:rsidRDefault="00E51347">
            <w:r>
              <w:t xml:space="preserve">Les propriétés </w:t>
            </w:r>
            <w:r>
              <w:rPr>
                <w:rFonts w:ascii="Consolas" w:eastAsia="Consolas" w:hAnsi="Consolas" w:cs="Consolas"/>
                <w:sz w:val="22"/>
                <w:szCs w:val="22"/>
                <w:shd w:val="clear" w:color="auto" w:fill="EAEEF3"/>
              </w:rPr>
              <w:t>P123_a_eu_pour_résultat (a_résulté_de)</w:t>
            </w:r>
            <w:r>
              <w:t xml:space="preserve"> et </w:t>
            </w:r>
            <w:r>
              <w:rPr>
                <w:rFonts w:ascii="Consolas" w:eastAsia="Consolas" w:hAnsi="Consolas" w:cs="Consolas"/>
                <w:sz w:val="22"/>
                <w:szCs w:val="22"/>
                <w:shd w:val="clear" w:color="auto" w:fill="EAEEF3"/>
              </w:rPr>
              <w:t>P124_a transformé (a_été_transformé_par)</w:t>
            </w:r>
            <w:r>
              <w:t xml:space="preserve"> ont donc maintenant pour portée </w:t>
            </w:r>
            <w:r>
              <w:rPr>
                <w:rFonts w:ascii="Consolas" w:eastAsia="Consolas" w:hAnsi="Consolas" w:cs="Consolas"/>
                <w:sz w:val="22"/>
                <w:szCs w:val="22"/>
                <w:shd w:val="clear" w:color="auto" w:fill="EAEEF3"/>
              </w:rPr>
              <w:t>E18_Chose_matérielle</w:t>
            </w:r>
            <w:r>
              <w:t>.</w:t>
            </w:r>
          </w:p>
          <w:p w14:paraId="58FE1860" w14:textId="77777777" w:rsidR="00BF18CF" w:rsidRDefault="00E51347">
            <w:r>
              <w:t xml:space="preserve">Si dans la [n.d.t. base de connaissances] source ces propriétés étaient appliquées à des instances de </w:t>
            </w:r>
            <w:r>
              <w:rPr>
                <w:rFonts w:ascii="Consolas" w:eastAsia="Consolas" w:hAnsi="Consolas" w:cs="Consolas"/>
                <w:sz w:val="22"/>
                <w:szCs w:val="22"/>
                <w:shd w:val="clear" w:color="auto" w:fill="EAEEF3"/>
              </w:rPr>
              <w:t>E28_Objet_conceptuel</w:t>
            </w:r>
            <w:r>
              <w:t xml:space="preserve"> ou de ses sous-classes, il est recommandé d’utiliser :</w:t>
            </w:r>
          </w:p>
          <w:p w14:paraId="26F9F1DE" w14:textId="77777777" w:rsidR="00BF18CF" w:rsidRDefault="00E51347">
            <w:pPr>
              <w:numPr>
                <w:ilvl w:val="0"/>
                <w:numId w:val="19"/>
              </w:numPr>
            </w:pPr>
            <w:r>
              <w:rPr>
                <w:rFonts w:ascii="Consolas" w:eastAsia="Consolas" w:hAnsi="Consolas" w:cs="Consolas"/>
                <w:sz w:val="22"/>
                <w:szCs w:val="22"/>
                <w:shd w:val="clear" w:color="auto" w:fill="EAEEF3"/>
              </w:rPr>
              <w:t>E65_Création</w:t>
            </w:r>
            <w:r>
              <w:t xml:space="preserve"> au lieu de </w:t>
            </w:r>
            <w:r>
              <w:rPr>
                <w:rFonts w:ascii="Consolas" w:eastAsia="Consolas" w:hAnsi="Consolas" w:cs="Consolas"/>
                <w:sz w:val="22"/>
                <w:szCs w:val="22"/>
                <w:shd w:val="clear" w:color="auto" w:fill="EAEEF3"/>
              </w:rPr>
              <w:t>E81_Transformation</w:t>
            </w:r>
            <w:r>
              <w:t>;</w:t>
            </w:r>
          </w:p>
          <w:p w14:paraId="5DC0A711" w14:textId="77777777" w:rsidR="00BF18CF" w:rsidRDefault="00E51347">
            <w:pPr>
              <w:numPr>
                <w:ilvl w:val="0"/>
                <w:numId w:val="19"/>
              </w:numPr>
            </w:pPr>
            <w:r>
              <w:rPr>
                <w:rFonts w:ascii="Consolas" w:eastAsia="Consolas" w:hAnsi="Consolas" w:cs="Consolas"/>
                <w:sz w:val="22"/>
                <w:szCs w:val="22"/>
                <w:shd w:val="clear" w:color="auto" w:fill="EAEEF3"/>
              </w:rPr>
              <w:t>P94_a_créé (a_été_créé_par)</w:t>
            </w:r>
            <w:r>
              <w:t xml:space="preserve"> au lieu de </w:t>
            </w:r>
            <w:r>
              <w:rPr>
                <w:rFonts w:ascii="Consolas" w:eastAsia="Consolas" w:hAnsi="Consolas" w:cs="Consolas"/>
                <w:sz w:val="22"/>
                <w:szCs w:val="22"/>
                <w:shd w:val="clear" w:color="auto" w:fill="EAEEF3"/>
              </w:rPr>
              <w:t>P123_a_eu_pour_résultat (a_résulté_de)</w:t>
            </w:r>
            <w:r>
              <w:t>;</w:t>
            </w:r>
          </w:p>
          <w:p w14:paraId="42D613B6" w14:textId="77777777" w:rsidR="00BF18CF" w:rsidRDefault="00E51347">
            <w:pPr>
              <w:numPr>
                <w:ilvl w:val="0"/>
                <w:numId w:val="19"/>
              </w:numPr>
            </w:pPr>
            <w:r>
              <w:rPr>
                <w:rFonts w:ascii="Consolas" w:eastAsia="Consolas" w:hAnsi="Consolas" w:cs="Consolas"/>
                <w:sz w:val="22"/>
                <w:szCs w:val="22"/>
                <w:shd w:val="clear" w:color="auto" w:fill="EAEEF3"/>
              </w:rPr>
              <w:t>P16_a_utilisé_l'objet_spécifique (a_été_utilisé_pour)</w:t>
            </w:r>
            <w:r>
              <w:t xml:space="preserve"> au lieu de </w:t>
            </w:r>
            <w:r>
              <w:rPr>
                <w:rFonts w:ascii="Consolas" w:eastAsia="Consolas" w:hAnsi="Consolas" w:cs="Consolas"/>
                <w:sz w:val="22"/>
                <w:szCs w:val="22"/>
                <w:shd w:val="clear" w:color="auto" w:fill="EAEEF3"/>
              </w:rPr>
              <w:t>P124_a transformé (a_été_transformé_par)</w:t>
            </w:r>
            <w:r>
              <w:t>.</w:t>
            </w:r>
          </w:p>
          <w:p w14:paraId="29BF1379" w14:textId="77777777" w:rsidR="00BF18CF" w:rsidRDefault="00E51347">
            <w:r>
              <w:t xml:space="preserve">Si dans la [n.d.t. base de connaissances] source ces propriétés étaient appliquées à des instances de </w:t>
            </w:r>
            <w:r>
              <w:rPr>
                <w:rFonts w:ascii="Consolas" w:eastAsia="Consolas" w:hAnsi="Consolas" w:cs="Consolas"/>
                <w:sz w:val="22"/>
                <w:szCs w:val="22"/>
                <w:shd w:val="clear" w:color="auto" w:fill="EAEEF3"/>
              </w:rPr>
              <w:t>E74_Groupe</w:t>
            </w:r>
            <w:r>
              <w:t>, il est recommandé d’utiliser :</w:t>
            </w:r>
          </w:p>
          <w:p w14:paraId="225AC115" w14:textId="77777777" w:rsidR="00BF18CF" w:rsidRDefault="00E51347">
            <w:pPr>
              <w:numPr>
                <w:ilvl w:val="0"/>
                <w:numId w:val="19"/>
              </w:numPr>
            </w:pPr>
            <w:r>
              <w:rPr>
                <w:rFonts w:ascii="Consolas" w:eastAsia="Consolas" w:hAnsi="Consolas" w:cs="Consolas"/>
                <w:sz w:val="22"/>
                <w:szCs w:val="22"/>
                <w:shd w:val="clear" w:color="auto" w:fill="EAEEF3"/>
              </w:rPr>
              <w:t>E66_Formation</w:t>
            </w:r>
            <w:r>
              <w:t xml:space="preserve"> au lieu de </w:t>
            </w:r>
            <w:r>
              <w:rPr>
                <w:rFonts w:ascii="Consolas" w:eastAsia="Consolas" w:hAnsi="Consolas" w:cs="Consolas"/>
                <w:sz w:val="22"/>
                <w:szCs w:val="22"/>
                <w:shd w:val="clear" w:color="auto" w:fill="EAEEF3"/>
              </w:rPr>
              <w:t>E81_Transformation</w:t>
            </w:r>
            <w:r>
              <w:t>;</w:t>
            </w:r>
          </w:p>
          <w:p w14:paraId="0EADF7FB" w14:textId="77777777" w:rsidR="00BF18CF" w:rsidRDefault="00E51347">
            <w:pPr>
              <w:numPr>
                <w:ilvl w:val="0"/>
                <w:numId w:val="19"/>
              </w:numPr>
            </w:pPr>
            <w:r>
              <w:rPr>
                <w:rFonts w:ascii="Consolas" w:eastAsia="Consolas" w:hAnsi="Consolas" w:cs="Consolas"/>
                <w:sz w:val="22"/>
                <w:szCs w:val="22"/>
                <w:shd w:val="clear" w:color="auto" w:fill="EAEEF3"/>
              </w:rPr>
              <w:t>P95_a_fondé (a_été_fondé_par)</w:t>
            </w:r>
            <w:r>
              <w:t xml:space="preserve"> au lieu de </w:t>
            </w:r>
            <w:r>
              <w:rPr>
                <w:rFonts w:ascii="Consolas" w:eastAsia="Consolas" w:hAnsi="Consolas" w:cs="Consolas"/>
                <w:sz w:val="22"/>
                <w:szCs w:val="22"/>
                <w:shd w:val="clear" w:color="auto" w:fill="EAEEF3"/>
              </w:rPr>
              <w:t>P123_a_eu_pour_résultat (a_résulté_de)</w:t>
            </w:r>
            <w:r>
              <w:t>;</w:t>
            </w:r>
          </w:p>
          <w:p w14:paraId="430F183F" w14:textId="77777777" w:rsidR="00BF18CF" w:rsidRDefault="00E51347">
            <w:pPr>
              <w:numPr>
                <w:ilvl w:val="0"/>
                <w:numId w:val="19"/>
              </w:numPr>
            </w:pPr>
            <w:r>
              <w:rPr>
                <w:rFonts w:ascii="Consolas" w:eastAsia="Consolas" w:hAnsi="Consolas" w:cs="Consolas"/>
                <w:sz w:val="22"/>
                <w:szCs w:val="22"/>
                <w:shd w:val="clear" w:color="auto" w:fill="EAEEF3"/>
              </w:rPr>
              <w:t>P151_a_été_formé_de (a_participé_à)</w:t>
            </w:r>
            <w:r>
              <w:t xml:space="preserve"> au lieu de </w:t>
            </w:r>
            <w:r>
              <w:rPr>
                <w:rFonts w:ascii="Consolas" w:eastAsia="Consolas" w:hAnsi="Consolas" w:cs="Consolas"/>
                <w:sz w:val="22"/>
                <w:szCs w:val="22"/>
                <w:shd w:val="clear" w:color="auto" w:fill="EAEEF3"/>
              </w:rPr>
              <w:t>P124_a transformé (a_été_transformé_par)</w:t>
            </w:r>
            <w:r>
              <w:t>.</w:t>
            </w:r>
          </w:p>
        </w:tc>
      </w:tr>
    </w:tbl>
    <w:p w14:paraId="768CF732" w14:textId="77777777" w:rsidR="00BF18CF" w:rsidRDefault="00BF18CF"/>
    <w:tbl>
      <w:tblPr>
        <w:tblStyle w:val="afffffffffffffffffffb"/>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57D3C4BE" w14:textId="77777777" w:rsidTr="00BF18CF">
        <w:tc>
          <w:tcPr>
            <w:tcW w:w="1828" w:type="dxa"/>
          </w:tcPr>
          <w:p w14:paraId="18F41FF8" w14:textId="1BD46D25" w:rsidR="00BF18CF" w:rsidRDefault="00F27208">
            <w:r>
              <w:rPr>
                <w:i/>
              </w:rPr>
              <w:lastRenderedPageBreak/>
              <w:t>Note de traduction</w:t>
            </w:r>
          </w:p>
        </w:tc>
        <w:tc>
          <w:tcPr>
            <w:tcW w:w="8867" w:type="dxa"/>
          </w:tcPr>
          <w:p w14:paraId="687B28A9" w14:textId="77777777" w:rsidR="00BF18CF" w:rsidRDefault="00BF18CF">
            <w:pPr>
              <w:pBdr>
                <w:top w:val="nil"/>
                <w:left w:val="nil"/>
                <w:bottom w:val="nil"/>
                <w:right w:val="nil"/>
                <w:between w:val="nil"/>
              </w:pBdr>
              <w:spacing w:before="36" w:after="36"/>
              <w:rPr>
                <w:color w:val="000000"/>
              </w:rPr>
            </w:pPr>
          </w:p>
        </w:tc>
      </w:tr>
      <w:tr w:rsidR="00BF18CF" w14:paraId="4E0F7FBE" w14:textId="77777777" w:rsidTr="00BF18CF">
        <w:tc>
          <w:tcPr>
            <w:tcW w:w="1828" w:type="dxa"/>
          </w:tcPr>
          <w:p w14:paraId="722F95B2" w14:textId="77777777" w:rsidR="00BF18CF" w:rsidRDefault="00E51347">
            <w:r>
              <w:rPr>
                <w:i/>
              </w:rPr>
              <w:t>Références</w:t>
            </w:r>
          </w:p>
        </w:tc>
        <w:tc>
          <w:tcPr>
            <w:tcW w:w="8867" w:type="dxa"/>
          </w:tcPr>
          <w:p w14:paraId="268EC45A" w14:textId="77777777" w:rsidR="00BF18CF" w:rsidRDefault="00BF18CF">
            <w:pPr>
              <w:pBdr>
                <w:top w:val="nil"/>
                <w:left w:val="nil"/>
                <w:bottom w:val="nil"/>
                <w:right w:val="nil"/>
                <w:between w:val="nil"/>
              </w:pBdr>
              <w:spacing w:before="36" w:after="36"/>
              <w:rPr>
                <w:color w:val="000000"/>
              </w:rPr>
            </w:pPr>
          </w:p>
        </w:tc>
      </w:tr>
    </w:tbl>
    <w:p w14:paraId="43A48E10" w14:textId="77777777" w:rsidR="00BF18CF" w:rsidRDefault="00E51347">
      <w:pPr>
        <w:pStyle w:val="Heading3"/>
      </w:pPr>
      <w:bookmarkStart w:id="596" w:name="bookmark=id.2apwg4x" w:colFirst="0" w:colLast="0"/>
      <w:bookmarkStart w:id="597" w:name="_Toc144361042"/>
      <w:bookmarkEnd w:id="596"/>
      <w:r>
        <w:t>Instructions de migration des propriétés dépréciées</w:t>
      </w:r>
      <w:bookmarkEnd w:id="597"/>
    </w:p>
    <w:tbl>
      <w:tblPr>
        <w:tblStyle w:val="afffffffffffffffffffc"/>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4682"/>
        <w:gridCol w:w="6008"/>
      </w:tblGrid>
      <w:tr w:rsidR="00BF18CF" w14:paraId="4EE86269" w14:textId="77777777" w:rsidTr="00BF18CF">
        <w:tc>
          <w:tcPr>
            <w:tcW w:w="4682" w:type="dxa"/>
          </w:tcPr>
          <w:p w14:paraId="1AEAE730" w14:textId="77777777" w:rsidR="00BF18CF" w:rsidRDefault="00E51347">
            <w:r>
              <w:rPr>
                <w:rFonts w:ascii="Consolas" w:eastAsia="Consolas" w:hAnsi="Consolas" w:cs="Consolas"/>
                <w:sz w:val="22"/>
                <w:szCs w:val="22"/>
                <w:shd w:val="clear" w:color="auto" w:fill="EAEEF3"/>
              </w:rPr>
              <w:t>P58_a_pour_définition_de_section (définit_la_section)</w:t>
            </w:r>
          </w:p>
        </w:tc>
        <w:tc>
          <w:tcPr>
            <w:tcW w:w="6008" w:type="dxa"/>
          </w:tcPr>
          <w:p w14:paraId="40B3DB14"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P1_est_identifié_par (identifie)</w:t>
            </w:r>
          </w:p>
        </w:tc>
      </w:tr>
      <w:tr w:rsidR="00BF18CF" w14:paraId="2F1439B3" w14:textId="77777777" w:rsidTr="00BF18CF">
        <w:tc>
          <w:tcPr>
            <w:tcW w:w="4682" w:type="dxa"/>
          </w:tcPr>
          <w:p w14:paraId="44142F4F" w14:textId="77777777" w:rsidR="00BF18CF" w:rsidRDefault="00E51347">
            <w:r>
              <w:rPr>
                <w:rFonts w:ascii="Consolas" w:eastAsia="Consolas" w:hAnsi="Consolas" w:cs="Consolas"/>
                <w:sz w:val="22"/>
                <w:szCs w:val="22"/>
                <w:shd w:val="clear" w:color="auto" w:fill="EAEEF3"/>
              </w:rPr>
              <w:t>P78_est_identifié_</w:t>
            </w:r>
            <w:proofErr w:type="gramStart"/>
            <w:r>
              <w:rPr>
                <w:rFonts w:ascii="Consolas" w:eastAsia="Consolas" w:hAnsi="Consolas" w:cs="Consolas"/>
                <w:sz w:val="22"/>
                <w:szCs w:val="22"/>
                <w:shd w:val="clear" w:color="auto" w:fill="EAEEF3"/>
              </w:rPr>
              <w:t>par</w:t>
            </w:r>
            <w:r>
              <w:t xml:space="preserve">  </w:t>
            </w:r>
            <w:r>
              <w:rPr>
                <w:rFonts w:ascii="Consolas" w:eastAsia="Consolas" w:hAnsi="Consolas" w:cs="Consolas"/>
                <w:sz w:val="22"/>
                <w:szCs w:val="22"/>
                <w:shd w:val="clear" w:color="auto" w:fill="EAEEF3"/>
              </w:rPr>
              <w:t>(</w:t>
            </w:r>
            <w:proofErr w:type="gramEnd"/>
            <w:r>
              <w:rPr>
                <w:rFonts w:ascii="Consolas" w:eastAsia="Consolas" w:hAnsi="Consolas" w:cs="Consolas"/>
                <w:sz w:val="22"/>
                <w:szCs w:val="22"/>
                <w:shd w:val="clear" w:color="auto" w:fill="EAEEF3"/>
              </w:rPr>
              <w:t>identifie)</w:t>
            </w:r>
            <w:r>
              <w:t xml:space="preserve">  : </w:t>
            </w:r>
            <w:r>
              <w:rPr>
                <w:rFonts w:ascii="Consolas" w:eastAsia="Consolas" w:hAnsi="Consolas" w:cs="Consolas"/>
                <w:sz w:val="22"/>
                <w:szCs w:val="22"/>
                <w:shd w:val="clear" w:color="auto" w:fill="EAEEF3"/>
              </w:rPr>
              <w:t>E49_Appellation_de_temps</w:t>
            </w:r>
          </w:p>
          <w:p w14:paraId="5567C962" w14:textId="77777777" w:rsidR="00BF18CF" w:rsidRDefault="00E51347">
            <w:r>
              <w:t>[</w:t>
            </w:r>
            <w:proofErr w:type="gramStart"/>
            <w:r>
              <w:t>à</w:t>
            </w:r>
            <w:proofErr w:type="gramEnd"/>
            <w:r>
              <w:t xml:space="preserve"> l’exception des instances de </w:t>
            </w:r>
            <w:r>
              <w:rPr>
                <w:rFonts w:ascii="Consolas" w:eastAsia="Consolas" w:hAnsi="Consolas" w:cs="Consolas"/>
                <w:sz w:val="22"/>
                <w:szCs w:val="22"/>
                <w:shd w:val="clear" w:color="auto" w:fill="EAEEF3"/>
              </w:rPr>
              <w:t>E50_Date</w:t>
            </w:r>
            <w:r>
              <w:t>]</w:t>
            </w:r>
          </w:p>
        </w:tc>
        <w:tc>
          <w:tcPr>
            <w:tcW w:w="6008" w:type="dxa"/>
          </w:tcPr>
          <w:p w14:paraId="09A58CB9"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P1_est_identifié_par (identifie)</w:t>
            </w:r>
            <w:r>
              <w:t xml:space="preserve"> : </w:t>
            </w:r>
            <w:r>
              <w:rPr>
                <w:rFonts w:ascii="Consolas" w:eastAsia="Consolas" w:hAnsi="Consolas" w:cs="Consolas"/>
                <w:sz w:val="22"/>
                <w:szCs w:val="22"/>
                <w:shd w:val="clear" w:color="auto" w:fill="EAEEF3"/>
              </w:rPr>
              <w:t xml:space="preserve">E41_Appellation </w:t>
            </w:r>
            <w:r>
              <w:t>[par exemple, des noms de règles impériales japonaises]</w:t>
            </w:r>
          </w:p>
        </w:tc>
      </w:tr>
      <w:tr w:rsidR="00BF18CF" w14:paraId="22F9B678" w14:textId="77777777" w:rsidTr="00BF18CF">
        <w:tc>
          <w:tcPr>
            <w:tcW w:w="4682" w:type="dxa"/>
          </w:tcPr>
          <w:p w14:paraId="35F64D1D" w14:textId="77777777" w:rsidR="00BF18CF" w:rsidRDefault="00E51347">
            <w:r>
              <w:rPr>
                <w:rFonts w:ascii="Consolas" w:eastAsia="Consolas" w:hAnsi="Consolas" w:cs="Consolas"/>
                <w:sz w:val="22"/>
                <w:szCs w:val="22"/>
                <w:shd w:val="clear" w:color="auto" w:fill="EAEEF3"/>
              </w:rPr>
              <w:t>P78_est_identifié_par (</w:t>
            </w:r>
            <w:proofErr w:type="gramStart"/>
            <w:r>
              <w:rPr>
                <w:rFonts w:ascii="Consolas" w:eastAsia="Consolas" w:hAnsi="Consolas" w:cs="Consolas"/>
                <w:sz w:val="22"/>
                <w:szCs w:val="22"/>
                <w:shd w:val="clear" w:color="auto" w:fill="EAEEF3"/>
              </w:rPr>
              <w:t>identifie)</w:t>
            </w:r>
            <w:r>
              <w:t xml:space="preserve">  :</w:t>
            </w:r>
            <w:proofErr w:type="gramEnd"/>
            <w:r>
              <w:t xml:space="preserve"> </w:t>
            </w:r>
            <w:r>
              <w:rPr>
                <w:rFonts w:ascii="Consolas" w:eastAsia="Consolas" w:hAnsi="Consolas" w:cs="Consolas"/>
                <w:sz w:val="22"/>
                <w:szCs w:val="22"/>
                <w:shd w:val="clear" w:color="auto" w:fill="EAEEF3"/>
              </w:rPr>
              <w:t>E50_Date</w:t>
            </w:r>
          </w:p>
        </w:tc>
        <w:tc>
          <w:tcPr>
            <w:tcW w:w="6008" w:type="dxa"/>
          </w:tcPr>
          <w:p w14:paraId="44F91725"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P170i_temps_défini_par</w:t>
            </w:r>
            <w:r>
              <w:t xml:space="preserve"> : </w:t>
            </w:r>
            <w:r>
              <w:rPr>
                <w:rFonts w:ascii="Consolas" w:eastAsia="Consolas" w:hAnsi="Consolas" w:cs="Consolas"/>
                <w:sz w:val="22"/>
                <w:szCs w:val="22"/>
                <w:shd w:val="clear" w:color="auto" w:fill="EAEEF3"/>
              </w:rPr>
              <w:t>E61_Primitive_temporelle</w:t>
            </w:r>
          </w:p>
        </w:tc>
      </w:tr>
      <w:tr w:rsidR="00BF18CF" w14:paraId="33490C24" w14:textId="77777777" w:rsidTr="00BF18CF">
        <w:tc>
          <w:tcPr>
            <w:tcW w:w="4682" w:type="dxa"/>
          </w:tcPr>
          <w:p w14:paraId="60D9CCC5" w14:textId="77777777" w:rsidR="00BF18CF" w:rsidRDefault="00E51347">
            <w:r>
              <w:rPr>
                <w:rFonts w:ascii="Consolas" w:eastAsia="Consolas" w:hAnsi="Consolas" w:cs="Consolas"/>
                <w:sz w:val="22"/>
                <w:szCs w:val="22"/>
                <w:shd w:val="clear" w:color="auto" w:fill="EAEEF3"/>
              </w:rPr>
              <w:t>P88_consiste_en (fait_partie_de)</w:t>
            </w:r>
          </w:p>
        </w:tc>
        <w:tc>
          <w:tcPr>
            <w:tcW w:w="6008" w:type="dxa"/>
          </w:tcPr>
          <w:p w14:paraId="1E917DBB" w14:textId="77777777" w:rsidR="00BF18CF" w:rsidRDefault="00E51347">
            <w:proofErr w:type="gramStart"/>
            <w:r>
              <w:t>s’il</w:t>
            </w:r>
            <w:proofErr w:type="gramEnd"/>
            <w:r>
              <w:t xml:space="preserve"> s’agit d’une décomposition géométrique, utiliser </w:t>
            </w:r>
            <w:r>
              <w:rPr>
                <w:rFonts w:ascii="Consolas" w:eastAsia="Consolas" w:hAnsi="Consolas" w:cs="Consolas"/>
                <w:sz w:val="22"/>
                <w:szCs w:val="22"/>
                <w:shd w:val="clear" w:color="auto" w:fill="EAEEF3"/>
              </w:rPr>
              <w:t>P89i_contient</w:t>
            </w:r>
          </w:p>
          <w:p w14:paraId="4E913272" w14:textId="77777777" w:rsidR="00BF18CF" w:rsidRDefault="00E51347">
            <w:r>
              <w:t xml:space="preserve">Si le lieu dont il est question est une instance de </w:t>
            </w:r>
            <w:r>
              <w:rPr>
                <w:rFonts w:ascii="Consolas" w:eastAsia="Consolas" w:hAnsi="Consolas" w:cs="Consolas"/>
                <w:sz w:val="22"/>
                <w:szCs w:val="22"/>
                <w:shd w:val="clear" w:color="auto" w:fill="EAEEF3"/>
              </w:rPr>
              <w:t>E26_Caractéristique_physique</w:t>
            </w:r>
            <w:r>
              <w:t xml:space="preserve"> et que l’usage de </w:t>
            </w:r>
            <w:r>
              <w:rPr>
                <w:rFonts w:ascii="Consolas" w:eastAsia="Consolas" w:hAnsi="Consolas" w:cs="Consolas"/>
                <w:sz w:val="22"/>
                <w:szCs w:val="22"/>
                <w:shd w:val="clear" w:color="auto" w:fill="EAEEF3"/>
              </w:rPr>
              <w:t>P88_consiste_en</w:t>
            </w:r>
            <w:r>
              <w:t xml:space="preserve"> a pour objectif de décrire la décomposition en des composantes naturelles, décrire explicitement l’instance de </w:t>
            </w:r>
            <w:r>
              <w:rPr>
                <w:rFonts w:ascii="Consolas" w:eastAsia="Consolas" w:hAnsi="Consolas" w:cs="Consolas"/>
                <w:sz w:val="22"/>
                <w:szCs w:val="22"/>
                <w:shd w:val="clear" w:color="auto" w:fill="EAEEF3"/>
              </w:rPr>
              <w:t>E26_Caractéristique_physique</w:t>
            </w:r>
            <w:r>
              <w:t xml:space="preserve"> ainsi que ses composantes en utilisant </w:t>
            </w:r>
            <w:r>
              <w:rPr>
                <w:rFonts w:ascii="Consolas" w:eastAsia="Consolas" w:hAnsi="Consolas" w:cs="Consolas"/>
                <w:sz w:val="22"/>
                <w:szCs w:val="22"/>
                <w:shd w:val="clear" w:color="auto" w:fill="EAEEF3"/>
              </w:rPr>
              <w:t>P46_est_composé_de</w:t>
            </w:r>
          </w:p>
        </w:tc>
      </w:tr>
      <w:tr w:rsidR="00BF18CF" w14:paraId="57831932" w14:textId="77777777" w:rsidTr="00BF18CF">
        <w:tc>
          <w:tcPr>
            <w:tcW w:w="4682" w:type="dxa"/>
          </w:tcPr>
          <w:p w14:paraId="14639AEC" w14:textId="77777777" w:rsidR="00BF18CF" w:rsidRDefault="00E51347">
            <w:r>
              <w:rPr>
                <w:rFonts w:ascii="Consolas" w:eastAsia="Consolas" w:hAnsi="Consolas" w:cs="Consolas"/>
                <w:sz w:val="22"/>
                <w:szCs w:val="22"/>
                <w:shd w:val="clear" w:color="auto" w:fill="EAEEF3"/>
              </w:rPr>
              <w:t>P83_a_eu_pour_durée_minimale (était_la_durée_minimale_de)</w:t>
            </w:r>
          </w:p>
          <w:p w14:paraId="4C3AFB0B" w14:textId="77777777" w:rsidR="00BF18CF" w:rsidRDefault="00E51347">
            <w:proofErr w:type="gramStart"/>
            <w:r>
              <w:t>et</w:t>
            </w:r>
            <w:proofErr w:type="gramEnd"/>
          </w:p>
          <w:p w14:paraId="0DBDAE64" w14:textId="77777777" w:rsidR="00BF18CF" w:rsidRDefault="00E51347">
            <w:r>
              <w:rPr>
                <w:rFonts w:ascii="Consolas" w:eastAsia="Consolas" w:hAnsi="Consolas" w:cs="Consolas"/>
                <w:sz w:val="22"/>
                <w:szCs w:val="22"/>
                <w:shd w:val="clear" w:color="auto" w:fill="EAEEF3"/>
              </w:rPr>
              <w:t>P84_a_eu_pour_durée_maximale (était_la_durée_maximale_de)</w:t>
            </w:r>
          </w:p>
        </w:tc>
        <w:tc>
          <w:tcPr>
            <w:tcW w:w="6008" w:type="dxa"/>
          </w:tcPr>
          <w:p w14:paraId="40D7DA31"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P191_a_eu_pour_durée (était_la_durée_de)</w:t>
            </w:r>
          </w:p>
          <w:p w14:paraId="33DA558E" w14:textId="77777777" w:rsidR="00BF18CF" w:rsidRDefault="00E51347">
            <w:r>
              <w:t xml:space="preserve">Les instances de </w:t>
            </w:r>
            <w:r>
              <w:rPr>
                <w:rFonts w:ascii="Consolas" w:eastAsia="Consolas" w:hAnsi="Consolas" w:cs="Consolas"/>
                <w:sz w:val="22"/>
                <w:szCs w:val="22"/>
                <w:shd w:val="clear" w:color="auto" w:fill="EAEEF3"/>
              </w:rPr>
              <w:t>E60_Nombre</w:t>
            </w:r>
            <w:r>
              <w:t xml:space="preserve"> qui se trouvent dans des chemins sémantiques complets (</w:t>
            </w:r>
            <w:r>
              <w:rPr>
                <w:rFonts w:ascii="Consolas" w:eastAsia="Consolas" w:hAnsi="Consolas" w:cs="Consolas"/>
                <w:sz w:val="22"/>
                <w:szCs w:val="22"/>
                <w:shd w:val="clear" w:color="auto" w:fill="EAEEF3"/>
              </w:rPr>
              <w:t>E52_Intervalle_</w:t>
            </w:r>
            <w:proofErr w:type="gramStart"/>
            <w:r>
              <w:rPr>
                <w:rFonts w:ascii="Consolas" w:eastAsia="Consolas" w:hAnsi="Consolas" w:cs="Consolas"/>
                <w:sz w:val="22"/>
                <w:szCs w:val="22"/>
                <w:shd w:val="clear" w:color="auto" w:fill="EAEEF3"/>
              </w:rPr>
              <w:t>temporel</w:t>
            </w:r>
            <w:r>
              <w:t xml:space="preserve"> .</w:t>
            </w:r>
            <w:proofErr w:type="gramEnd"/>
            <w:r>
              <w:t xml:space="preserve"> </w:t>
            </w:r>
            <w:r>
              <w:rPr>
                <w:rFonts w:ascii="Consolas" w:eastAsia="Consolas" w:hAnsi="Consolas" w:cs="Consolas"/>
                <w:sz w:val="22"/>
                <w:szCs w:val="22"/>
                <w:shd w:val="clear" w:color="auto" w:fill="EAEEF3"/>
              </w:rPr>
              <w:t>P83_a_eu_pour_durée_</w:t>
            </w:r>
            <w:proofErr w:type="gramStart"/>
            <w:r>
              <w:rPr>
                <w:rFonts w:ascii="Consolas" w:eastAsia="Consolas" w:hAnsi="Consolas" w:cs="Consolas"/>
                <w:sz w:val="22"/>
                <w:szCs w:val="22"/>
                <w:shd w:val="clear" w:color="auto" w:fill="EAEEF3"/>
              </w:rPr>
              <w:t>minimale</w:t>
            </w:r>
            <w:r>
              <w:t xml:space="preserve"> .</w:t>
            </w:r>
            <w:proofErr w:type="gramEnd"/>
            <w:r>
              <w:t xml:space="preserve"> </w:t>
            </w:r>
            <w:r>
              <w:rPr>
                <w:rFonts w:ascii="Consolas" w:eastAsia="Consolas" w:hAnsi="Consolas" w:cs="Consolas"/>
                <w:sz w:val="22"/>
                <w:szCs w:val="22"/>
                <w:shd w:val="clear" w:color="auto" w:fill="EAEEF3"/>
              </w:rPr>
              <w:t>E54_</w:t>
            </w:r>
            <w:proofErr w:type="gramStart"/>
            <w:r>
              <w:rPr>
                <w:rFonts w:ascii="Consolas" w:eastAsia="Consolas" w:hAnsi="Consolas" w:cs="Consolas"/>
                <w:sz w:val="22"/>
                <w:szCs w:val="22"/>
                <w:shd w:val="clear" w:color="auto" w:fill="EAEEF3"/>
              </w:rPr>
              <w:t>Dimension</w:t>
            </w:r>
            <w:r>
              <w:t xml:space="preserve"> .</w:t>
            </w:r>
            <w:proofErr w:type="gramEnd"/>
            <w:r>
              <w:t xml:space="preserve"> </w:t>
            </w:r>
            <w:r>
              <w:rPr>
                <w:rFonts w:ascii="Consolas" w:eastAsia="Consolas" w:hAnsi="Consolas" w:cs="Consolas"/>
                <w:sz w:val="22"/>
                <w:szCs w:val="22"/>
                <w:shd w:val="clear" w:color="auto" w:fill="EAEEF3"/>
              </w:rPr>
              <w:t>P90_a_pour_</w:t>
            </w:r>
            <w:proofErr w:type="gramStart"/>
            <w:r>
              <w:rPr>
                <w:rFonts w:ascii="Consolas" w:eastAsia="Consolas" w:hAnsi="Consolas" w:cs="Consolas"/>
                <w:sz w:val="22"/>
                <w:szCs w:val="22"/>
                <w:shd w:val="clear" w:color="auto" w:fill="EAEEF3"/>
              </w:rPr>
              <w:t>valeur</w:t>
            </w:r>
            <w:r>
              <w:t xml:space="preserve"> .</w:t>
            </w:r>
            <w:proofErr w:type="gramEnd"/>
            <w:r>
              <w:t xml:space="preserve"> </w:t>
            </w:r>
            <w:r>
              <w:rPr>
                <w:rFonts w:ascii="Consolas" w:eastAsia="Consolas" w:hAnsi="Consolas" w:cs="Consolas"/>
                <w:sz w:val="22"/>
                <w:szCs w:val="22"/>
                <w:shd w:val="clear" w:color="auto" w:fill="EAEEF3"/>
              </w:rPr>
              <w:t>E60_Nombre</w:t>
            </w:r>
            <w:r>
              <w:t xml:space="preserve"> et </w:t>
            </w:r>
            <w:r>
              <w:rPr>
                <w:rFonts w:ascii="Consolas" w:eastAsia="Consolas" w:hAnsi="Consolas" w:cs="Consolas"/>
                <w:sz w:val="22"/>
                <w:szCs w:val="22"/>
                <w:shd w:val="clear" w:color="auto" w:fill="EAEEF3"/>
              </w:rPr>
              <w:t>E52_Intervalle_</w:t>
            </w:r>
            <w:proofErr w:type="gramStart"/>
            <w:r>
              <w:rPr>
                <w:rFonts w:ascii="Consolas" w:eastAsia="Consolas" w:hAnsi="Consolas" w:cs="Consolas"/>
                <w:sz w:val="22"/>
                <w:szCs w:val="22"/>
                <w:shd w:val="clear" w:color="auto" w:fill="EAEEF3"/>
              </w:rPr>
              <w:t>temporel</w:t>
            </w:r>
            <w:r>
              <w:t xml:space="preserve"> .</w:t>
            </w:r>
            <w:proofErr w:type="gramEnd"/>
            <w:r>
              <w:t xml:space="preserve"> </w:t>
            </w:r>
            <w:r>
              <w:rPr>
                <w:rFonts w:ascii="Consolas" w:eastAsia="Consolas" w:hAnsi="Consolas" w:cs="Consolas"/>
                <w:sz w:val="22"/>
                <w:szCs w:val="22"/>
                <w:shd w:val="clear" w:color="auto" w:fill="EAEEF3"/>
              </w:rPr>
              <w:t>P84_a_eu_pour_durée_</w:t>
            </w:r>
            <w:proofErr w:type="gramStart"/>
            <w:r>
              <w:rPr>
                <w:rFonts w:ascii="Consolas" w:eastAsia="Consolas" w:hAnsi="Consolas" w:cs="Consolas"/>
                <w:sz w:val="22"/>
                <w:szCs w:val="22"/>
                <w:shd w:val="clear" w:color="auto" w:fill="EAEEF3"/>
              </w:rPr>
              <w:t>maximale</w:t>
            </w:r>
            <w:r>
              <w:t xml:space="preserve"> .</w:t>
            </w:r>
            <w:proofErr w:type="gramEnd"/>
            <w:r>
              <w:t xml:space="preserve"> </w:t>
            </w:r>
            <w:r>
              <w:rPr>
                <w:rFonts w:ascii="Consolas" w:eastAsia="Consolas" w:hAnsi="Consolas" w:cs="Consolas"/>
                <w:sz w:val="22"/>
                <w:szCs w:val="22"/>
                <w:shd w:val="clear" w:color="auto" w:fill="EAEEF3"/>
              </w:rPr>
              <w:t>E54_</w:t>
            </w:r>
            <w:proofErr w:type="gramStart"/>
            <w:r>
              <w:rPr>
                <w:rFonts w:ascii="Consolas" w:eastAsia="Consolas" w:hAnsi="Consolas" w:cs="Consolas"/>
                <w:sz w:val="22"/>
                <w:szCs w:val="22"/>
                <w:shd w:val="clear" w:color="auto" w:fill="EAEEF3"/>
              </w:rPr>
              <w:t>Dimension</w:t>
            </w:r>
            <w:r>
              <w:t xml:space="preserve"> .</w:t>
            </w:r>
            <w:proofErr w:type="gramEnd"/>
            <w:r>
              <w:t xml:space="preserve"> </w:t>
            </w:r>
            <w:r>
              <w:rPr>
                <w:rFonts w:ascii="Consolas" w:eastAsia="Consolas" w:hAnsi="Consolas" w:cs="Consolas"/>
                <w:sz w:val="22"/>
                <w:szCs w:val="22"/>
                <w:shd w:val="clear" w:color="auto" w:fill="EAEEF3"/>
              </w:rPr>
              <w:t>P90_a_pour_</w:t>
            </w:r>
            <w:proofErr w:type="gramStart"/>
            <w:r>
              <w:rPr>
                <w:rFonts w:ascii="Consolas" w:eastAsia="Consolas" w:hAnsi="Consolas" w:cs="Consolas"/>
                <w:sz w:val="22"/>
                <w:szCs w:val="22"/>
                <w:shd w:val="clear" w:color="auto" w:fill="EAEEF3"/>
              </w:rPr>
              <w:t>valeur</w:t>
            </w:r>
            <w:r>
              <w:t xml:space="preserve"> .</w:t>
            </w:r>
            <w:proofErr w:type="gramEnd"/>
            <w:r>
              <w:t xml:space="preserve"> </w:t>
            </w:r>
            <w:r>
              <w:rPr>
                <w:rFonts w:ascii="Consolas" w:eastAsia="Consolas" w:hAnsi="Consolas" w:cs="Consolas"/>
                <w:sz w:val="22"/>
                <w:szCs w:val="22"/>
                <w:shd w:val="clear" w:color="auto" w:fill="EAEEF3"/>
              </w:rPr>
              <w:t>E60_Nombre</w:t>
            </w:r>
            <w:r>
              <w:t xml:space="preserve">) devraient être amalgamées en un seul intervalle numérique, instance de </w:t>
            </w:r>
            <w:r>
              <w:rPr>
                <w:rFonts w:ascii="Consolas" w:eastAsia="Consolas" w:hAnsi="Consolas" w:cs="Consolas"/>
                <w:sz w:val="22"/>
                <w:szCs w:val="22"/>
                <w:shd w:val="clear" w:color="auto" w:fill="EAEEF3"/>
              </w:rPr>
              <w:t>E60_Nombre</w:t>
            </w:r>
            <w:r>
              <w:t xml:space="preserve"> : </w:t>
            </w:r>
            <w:r>
              <w:rPr>
                <w:rFonts w:ascii="Consolas" w:eastAsia="Consolas" w:hAnsi="Consolas" w:cs="Consolas"/>
                <w:sz w:val="22"/>
                <w:szCs w:val="22"/>
                <w:shd w:val="clear" w:color="auto" w:fill="EAEEF3"/>
              </w:rPr>
              <w:t>E52_Intervalle_</w:t>
            </w:r>
            <w:proofErr w:type="gramStart"/>
            <w:r>
              <w:rPr>
                <w:rFonts w:ascii="Consolas" w:eastAsia="Consolas" w:hAnsi="Consolas" w:cs="Consolas"/>
                <w:sz w:val="22"/>
                <w:szCs w:val="22"/>
                <w:shd w:val="clear" w:color="auto" w:fill="EAEEF3"/>
              </w:rPr>
              <w:t>temporel</w:t>
            </w:r>
            <w:r>
              <w:t xml:space="preserve"> .</w:t>
            </w:r>
            <w:proofErr w:type="gramEnd"/>
            <w:r>
              <w:t xml:space="preserve"> </w:t>
            </w:r>
            <w:r>
              <w:rPr>
                <w:rFonts w:ascii="Consolas" w:eastAsia="Consolas" w:hAnsi="Consolas" w:cs="Consolas"/>
                <w:sz w:val="22"/>
                <w:szCs w:val="22"/>
                <w:shd w:val="clear" w:color="auto" w:fill="EAEEF3"/>
              </w:rPr>
              <w:t>P191_a_eu_pour_</w:t>
            </w:r>
            <w:proofErr w:type="gramStart"/>
            <w:r>
              <w:rPr>
                <w:rFonts w:ascii="Consolas" w:eastAsia="Consolas" w:hAnsi="Consolas" w:cs="Consolas"/>
                <w:sz w:val="22"/>
                <w:szCs w:val="22"/>
                <w:shd w:val="clear" w:color="auto" w:fill="EAEEF3"/>
              </w:rPr>
              <w:t>durée</w:t>
            </w:r>
            <w:r>
              <w:t xml:space="preserve"> .</w:t>
            </w:r>
            <w:proofErr w:type="gramEnd"/>
            <w:r>
              <w:t xml:space="preserve"> </w:t>
            </w:r>
            <w:r>
              <w:rPr>
                <w:rFonts w:ascii="Consolas" w:eastAsia="Consolas" w:hAnsi="Consolas" w:cs="Consolas"/>
                <w:sz w:val="22"/>
                <w:szCs w:val="22"/>
                <w:shd w:val="clear" w:color="auto" w:fill="EAEEF3"/>
              </w:rPr>
              <w:t>E54_</w:t>
            </w:r>
            <w:proofErr w:type="gramStart"/>
            <w:r>
              <w:rPr>
                <w:rFonts w:ascii="Consolas" w:eastAsia="Consolas" w:hAnsi="Consolas" w:cs="Consolas"/>
                <w:sz w:val="22"/>
                <w:szCs w:val="22"/>
                <w:shd w:val="clear" w:color="auto" w:fill="EAEEF3"/>
              </w:rPr>
              <w:t>Dimension</w:t>
            </w:r>
            <w:r>
              <w:t xml:space="preserve"> .</w:t>
            </w:r>
            <w:proofErr w:type="gramEnd"/>
            <w:r>
              <w:t xml:space="preserve"> </w:t>
            </w:r>
            <w:r>
              <w:rPr>
                <w:rFonts w:ascii="Consolas" w:eastAsia="Consolas" w:hAnsi="Consolas" w:cs="Consolas"/>
                <w:sz w:val="22"/>
                <w:szCs w:val="22"/>
                <w:shd w:val="clear" w:color="auto" w:fill="EAEEF3"/>
              </w:rPr>
              <w:t>P90_a_pour_</w:t>
            </w:r>
            <w:proofErr w:type="gramStart"/>
            <w:r>
              <w:rPr>
                <w:rFonts w:ascii="Consolas" w:eastAsia="Consolas" w:hAnsi="Consolas" w:cs="Consolas"/>
                <w:sz w:val="22"/>
                <w:szCs w:val="22"/>
                <w:shd w:val="clear" w:color="auto" w:fill="EAEEF3"/>
              </w:rPr>
              <w:t>valeur</w:t>
            </w:r>
            <w:r>
              <w:t xml:space="preserve"> .</w:t>
            </w:r>
            <w:proofErr w:type="gramEnd"/>
            <w:r>
              <w:t xml:space="preserve"> </w:t>
            </w:r>
            <w:r>
              <w:rPr>
                <w:rFonts w:ascii="Consolas" w:eastAsia="Consolas" w:hAnsi="Consolas" w:cs="Consolas"/>
                <w:sz w:val="22"/>
                <w:szCs w:val="22"/>
                <w:shd w:val="clear" w:color="auto" w:fill="EAEEF3"/>
              </w:rPr>
              <w:t>E60_Nombre</w:t>
            </w:r>
          </w:p>
          <w:p w14:paraId="5A10F490" w14:textId="77777777" w:rsidR="00BF18CF" w:rsidRDefault="00E51347">
            <w:r>
              <w:t xml:space="preserve">Pour représenter les intervalles en encodage </w:t>
            </w:r>
            <w:hyperlink r:id="rId571">
              <w:r>
                <w:rPr>
                  <w:color w:val="4F81BD"/>
                </w:rPr>
                <w:t>RDF</w:t>
              </w:r>
            </w:hyperlink>
            <w:r>
              <w:t>/</w:t>
            </w:r>
            <w:hyperlink r:id="rId572">
              <w:r>
                <w:rPr>
                  <w:color w:val="4F81BD"/>
                </w:rPr>
                <w:t>OWL</w:t>
              </w:r>
            </w:hyperlink>
            <w:r>
              <w:t>, voir les recommandations d’implémentation de chacun.</w:t>
            </w:r>
          </w:p>
        </w:tc>
      </w:tr>
      <w:tr w:rsidR="00BF18CF" w14:paraId="7215816B" w14:textId="77777777" w:rsidTr="00BF18CF">
        <w:tc>
          <w:tcPr>
            <w:tcW w:w="4682" w:type="dxa"/>
          </w:tcPr>
          <w:p w14:paraId="5B6A67AF" w14:textId="77777777" w:rsidR="00BF18CF" w:rsidRDefault="00E51347">
            <w:r>
              <w:rPr>
                <w:rFonts w:ascii="Consolas" w:eastAsia="Consolas" w:hAnsi="Consolas" w:cs="Consolas"/>
                <w:sz w:val="22"/>
                <w:szCs w:val="22"/>
                <w:shd w:val="clear" w:color="auto" w:fill="EAEEF3"/>
              </w:rPr>
              <w:t>P87_est_identifié_par (</w:t>
            </w:r>
            <w:proofErr w:type="gramStart"/>
            <w:r>
              <w:rPr>
                <w:rFonts w:ascii="Consolas" w:eastAsia="Consolas" w:hAnsi="Consolas" w:cs="Consolas"/>
                <w:sz w:val="22"/>
                <w:szCs w:val="22"/>
                <w:shd w:val="clear" w:color="auto" w:fill="EAEEF3"/>
              </w:rPr>
              <w:t>identifie)</w:t>
            </w:r>
            <w:r>
              <w:t xml:space="preserve">  :</w:t>
            </w:r>
            <w:proofErr w:type="gramEnd"/>
            <w:r>
              <w:t xml:space="preserve"> </w:t>
            </w:r>
            <w:r>
              <w:rPr>
                <w:rFonts w:ascii="Consolas" w:eastAsia="Consolas" w:hAnsi="Consolas" w:cs="Consolas"/>
                <w:sz w:val="22"/>
                <w:szCs w:val="22"/>
                <w:shd w:val="clear" w:color="auto" w:fill="EAEEF3"/>
              </w:rPr>
              <w:t>E44_Appellation_du_lieu</w:t>
            </w:r>
            <w:r>
              <w:t xml:space="preserve"> (à l’exception des instances de </w:t>
            </w:r>
            <w:r>
              <w:rPr>
                <w:rFonts w:ascii="Consolas" w:eastAsia="Consolas" w:hAnsi="Consolas" w:cs="Consolas"/>
                <w:sz w:val="22"/>
                <w:szCs w:val="22"/>
                <w:shd w:val="clear" w:color="auto" w:fill="EAEEF3"/>
              </w:rPr>
              <w:t>E47_Coordonnées_spatiales</w:t>
            </w:r>
            <w:r>
              <w:t>).</w:t>
            </w:r>
          </w:p>
        </w:tc>
        <w:tc>
          <w:tcPr>
            <w:tcW w:w="6008" w:type="dxa"/>
          </w:tcPr>
          <w:p w14:paraId="1C187A38"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P1_est_identifié_par (identifie)</w:t>
            </w:r>
            <w:r>
              <w:t xml:space="preserve"> : </w:t>
            </w:r>
            <w:r>
              <w:rPr>
                <w:rFonts w:ascii="Consolas" w:eastAsia="Consolas" w:hAnsi="Consolas" w:cs="Consolas"/>
                <w:sz w:val="22"/>
                <w:szCs w:val="22"/>
                <w:shd w:val="clear" w:color="auto" w:fill="EAEEF3"/>
              </w:rPr>
              <w:t>E41_Appellation</w:t>
            </w:r>
          </w:p>
        </w:tc>
      </w:tr>
      <w:tr w:rsidR="00BF18CF" w14:paraId="6A43EC71" w14:textId="77777777" w:rsidTr="00BF18CF">
        <w:tc>
          <w:tcPr>
            <w:tcW w:w="4682" w:type="dxa"/>
          </w:tcPr>
          <w:p w14:paraId="3E12E639" w14:textId="77777777" w:rsidR="00BF18CF" w:rsidRDefault="00E51347">
            <w:r>
              <w:rPr>
                <w:rFonts w:ascii="Consolas" w:eastAsia="Consolas" w:hAnsi="Consolas" w:cs="Consolas"/>
                <w:sz w:val="22"/>
                <w:szCs w:val="22"/>
                <w:shd w:val="clear" w:color="auto" w:fill="EAEEF3"/>
              </w:rPr>
              <w:lastRenderedPageBreak/>
              <w:t>P87_est_identifié_par (</w:t>
            </w:r>
            <w:proofErr w:type="gramStart"/>
            <w:r>
              <w:rPr>
                <w:rFonts w:ascii="Consolas" w:eastAsia="Consolas" w:hAnsi="Consolas" w:cs="Consolas"/>
                <w:sz w:val="22"/>
                <w:szCs w:val="22"/>
                <w:shd w:val="clear" w:color="auto" w:fill="EAEEF3"/>
              </w:rPr>
              <w:t>identifie)</w:t>
            </w:r>
            <w:r>
              <w:t xml:space="preserve">  :</w:t>
            </w:r>
            <w:proofErr w:type="gramEnd"/>
            <w:r>
              <w:t xml:space="preserve"> </w:t>
            </w:r>
            <w:r>
              <w:rPr>
                <w:rFonts w:ascii="Consolas" w:eastAsia="Consolas" w:hAnsi="Consolas" w:cs="Consolas"/>
                <w:sz w:val="22"/>
                <w:szCs w:val="22"/>
                <w:shd w:val="clear" w:color="auto" w:fill="EAEEF3"/>
              </w:rPr>
              <w:t>E47_Coordonnées_spatiales</w:t>
            </w:r>
          </w:p>
        </w:tc>
        <w:tc>
          <w:tcPr>
            <w:tcW w:w="6008" w:type="dxa"/>
          </w:tcPr>
          <w:p w14:paraId="7616F863"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P168i_définit_le_lieu</w:t>
            </w:r>
            <w:r>
              <w:t xml:space="preserve"> : </w:t>
            </w:r>
            <w:r>
              <w:rPr>
                <w:rFonts w:ascii="Consolas" w:eastAsia="Consolas" w:hAnsi="Consolas" w:cs="Consolas"/>
                <w:sz w:val="22"/>
                <w:szCs w:val="22"/>
                <w:shd w:val="clear" w:color="auto" w:fill="EAEEF3"/>
              </w:rPr>
              <w:t>E94_Primitive_spatiale</w:t>
            </w:r>
          </w:p>
        </w:tc>
      </w:tr>
      <w:tr w:rsidR="00BF18CF" w14:paraId="0109B352" w14:textId="77777777" w:rsidTr="00BF18CF">
        <w:tc>
          <w:tcPr>
            <w:tcW w:w="4682" w:type="dxa"/>
          </w:tcPr>
          <w:p w14:paraId="4AD29C44" w14:textId="77777777" w:rsidR="00BF18CF" w:rsidRDefault="00E51347">
            <w:r>
              <w:rPr>
                <w:rFonts w:ascii="Consolas" w:eastAsia="Consolas" w:hAnsi="Consolas" w:cs="Consolas"/>
                <w:sz w:val="22"/>
                <w:szCs w:val="22"/>
                <w:shd w:val="clear" w:color="auto" w:fill="EAEEF3"/>
              </w:rPr>
              <w:t>P114_a_pour_équivalence_</w:t>
            </w:r>
            <w:proofErr w:type="gramStart"/>
            <w:r>
              <w:rPr>
                <w:rFonts w:ascii="Consolas" w:eastAsia="Consolas" w:hAnsi="Consolas" w:cs="Consolas"/>
                <w:sz w:val="22"/>
                <w:szCs w:val="22"/>
                <w:shd w:val="clear" w:color="auto" w:fill="EAEEF3"/>
              </w:rPr>
              <w:t>temporelle</w:t>
            </w:r>
            <w:r>
              <w:t xml:space="preserve">  *</w:t>
            </w:r>
            <w:proofErr w:type="gramEnd"/>
          </w:p>
        </w:tc>
        <w:tc>
          <w:tcPr>
            <w:tcW w:w="6008" w:type="dxa"/>
          </w:tcPr>
          <w:p w14:paraId="0CC1C827" w14:textId="77777777" w:rsidR="00BF18CF" w:rsidRDefault="00E51347">
            <w:proofErr w:type="gramStart"/>
            <w:r>
              <w:t>utiliser</w:t>
            </w:r>
            <w:proofErr w:type="gramEnd"/>
            <w:r>
              <w:t xml:space="preserve"> le chemin sémantique complet depuis </w:t>
            </w:r>
            <w:r>
              <w:rPr>
                <w:rFonts w:ascii="Consolas" w:eastAsia="Consolas" w:hAnsi="Consolas" w:cs="Consolas"/>
                <w:sz w:val="22"/>
                <w:szCs w:val="22"/>
                <w:shd w:val="clear" w:color="auto" w:fill="EAEEF3"/>
              </w:rPr>
              <w:t xml:space="preserve">E2_Entité_temporelle </w:t>
            </w:r>
            <w:r>
              <w:t xml:space="preserve">en passant par </w:t>
            </w:r>
            <w:r>
              <w:rPr>
                <w:rFonts w:ascii="Consolas" w:eastAsia="Consolas" w:hAnsi="Consolas" w:cs="Consolas"/>
                <w:sz w:val="22"/>
                <w:szCs w:val="22"/>
                <w:shd w:val="clear" w:color="auto" w:fill="EAEEF3"/>
              </w:rPr>
              <w:t>P4_a_pour_intervalle_temporel</w:t>
            </w:r>
            <w:r>
              <w:t xml:space="preserve">, </w:t>
            </w:r>
            <w:r>
              <w:rPr>
                <w:rFonts w:ascii="Consolas" w:eastAsia="Consolas" w:hAnsi="Consolas" w:cs="Consolas"/>
                <w:sz w:val="22"/>
                <w:szCs w:val="22"/>
                <w:shd w:val="clear" w:color="auto" w:fill="EAEEF3"/>
              </w:rPr>
              <w:t>E52_Intervalle_temporel</w:t>
            </w:r>
            <w:r>
              <w:t xml:space="preserve">, </w:t>
            </w:r>
            <w:r>
              <w:rPr>
                <w:rFonts w:ascii="Consolas" w:eastAsia="Consolas" w:hAnsi="Consolas" w:cs="Consolas"/>
                <w:sz w:val="22"/>
                <w:szCs w:val="22"/>
                <w:shd w:val="clear" w:color="auto" w:fill="EAEEF3"/>
              </w:rPr>
              <w:t>P4i_est_l’intervalle_temporel_de</w:t>
            </w:r>
            <w:r>
              <w:t xml:space="preserve"> . </w:t>
            </w:r>
            <w:r>
              <w:rPr>
                <w:rFonts w:ascii="Consolas" w:eastAsia="Consolas" w:hAnsi="Consolas" w:cs="Consolas"/>
                <w:sz w:val="22"/>
                <w:szCs w:val="22"/>
                <w:shd w:val="clear" w:color="auto" w:fill="EAEEF3"/>
              </w:rPr>
              <w:t>E2_Entité_temporelle</w:t>
            </w:r>
          </w:p>
          <w:p w14:paraId="012845C8" w14:textId="77777777" w:rsidR="00BF18CF" w:rsidRDefault="00E51347">
            <w:r>
              <w:t xml:space="preserve">Théoriquement, </w:t>
            </w:r>
            <w:r>
              <w:rPr>
                <w:i/>
              </w:rPr>
              <w:t>P114_a_pour_équivalence_temporelle</w:t>
            </w:r>
            <w:r>
              <w:t xml:space="preserve"> est l’équivalent de la conjonction de (</w:t>
            </w:r>
            <w:r>
              <w:rPr>
                <w:rFonts w:ascii="Consolas" w:eastAsia="Consolas" w:hAnsi="Consolas" w:cs="Consolas"/>
                <w:sz w:val="22"/>
                <w:szCs w:val="22"/>
                <w:shd w:val="clear" w:color="auto" w:fill="EAEEF3"/>
              </w:rPr>
              <w:t>P175_commence_avant_ou_au_moment_du_début_de</w:t>
            </w:r>
            <w:r>
              <w:t xml:space="preserve"> </w:t>
            </w:r>
            <w:r>
              <w:rPr>
                <w:b/>
              </w:rPr>
              <w:t>ET</w:t>
            </w:r>
            <w:r>
              <w:t xml:space="preserve"> </w:t>
            </w:r>
            <w:r>
              <w:rPr>
                <w:rFonts w:ascii="Consolas" w:eastAsia="Consolas" w:hAnsi="Consolas" w:cs="Consolas"/>
                <w:sz w:val="22"/>
                <w:szCs w:val="22"/>
                <w:shd w:val="clear" w:color="auto" w:fill="EAEEF3"/>
              </w:rPr>
              <w:t>P175i_commence_après_ou_au_moment_du_début_de</w:t>
            </w:r>
            <w:r>
              <w:t xml:space="preserve"> </w:t>
            </w:r>
            <w:r>
              <w:rPr>
                <w:b/>
              </w:rPr>
              <w:t>ET</w:t>
            </w:r>
            <w:r>
              <w:t xml:space="preserve"> </w:t>
            </w:r>
            <w:r>
              <w:rPr>
                <w:rFonts w:ascii="Consolas" w:eastAsia="Consolas" w:hAnsi="Consolas" w:cs="Consolas"/>
                <w:sz w:val="22"/>
                <w:szCs w:val="22"/>
                <w:shd w:val="clear" w:color="auto" w:fill="EAEEF3"/>
              </w:rPr>
              <w:t>P184_se_termine_avant_ou_au_moment_de_la_fin_de</w:t>
            </w:r>
            <w:r>
              <w:t xml:space="preserve"> </w:t>
            </w:r>
            <w:r>
              <w:rPr>
                <w:b/>
              </w:rPr>
              <w:t>ET</w:t>
            </w:r>
            <w:r>
              <w:t xml:space="preserve"> </w:t>
            </w:r>
            <w:r>
              <w:rPr>
                <w:rFonts w:ascii="Consolas" w:eastAsia="Consolas" w:hAnsi="Consolas" w:cs="Consolas"/>
                <w:sz w:val="22"/>
                <w:szCs w:val="22"/>
                <w:shd w:val="clear" w:color="auto" w:fill="EAEEF3"/>
              </w:rPr>
              <w:t>P184i_se_termine_au_moment_ou_après_la_fin_de</w:t>
            </w:r>
            <w:r>
              <w:t xml:space="preserve">) sans frontières temporelles floues. Cependant, seules une cause commune ou un intervalle temporel déclaré socialement peuvent mener à l’équivalence temporelle de différentes instances de </w:t>
            </w:r>
            <w:r>
              <w:rPr>
                <w:rFonts w:ascii="Consolas" w:eastAsia="Consolas" w:hAnsi="Consolas" w:cs="Consolas"/>
                <w:sz w:val="22"/>
                <w:szCs w:val="22"/>
                <w:shd w:val="clear" w:color="auto" w:fill="EAEEF3"/>
              </w:rPr>
              <w:t>E2_Entité_temporelle</w:t>
            </w:r>
            <w:r>
              <w:t>. Par conséquent, la création d’un chemin sémantique complet est la stratégie de migration qui devrait toujours être privilégiée.</w:t>
            </w:r>
          </w:p>
        </w:tc>
      </w:tr>
      <w:tr w:rsidR="00BF18CF" w14:paraId="43D297F6" w14:textId="77777777" w:rsidTr="00BF18CF">
        <w:tc>
          <w:tcPr>
            <w:tcW w:w="4682" w:type="dxa"/>
          </w:tcPr>
          <w:p w14:paraId="6C3103F7" w14:textId="77777777" w:rsidR="00BF18CF" w:rsidRDefault="00E51347">
            <w:r>
              <w:rPr>
                <w:rFonts w:ascii="Consolas" w:eastAsia="Consolas" w:hAnsi="Consolas" w:cs="Consolas"/>
                <w:sz w:val="22"/>
                <w:szCs w:val="22"/>
                <w:shd w:val="clear" w:color="auto" w:fill="EAEEF3"/>
              </w:rPr>
              <w:t>P115_termine (est terminé par)</w:t>
            </w:r>
            <w:r>
              <w:t xml:space="preserve"> *</w:t>
            </w:r>
          </w:p>
        </w:tc>
        <w:tc>
          <w:tcPr>
            <w:tcW w:w="6008" w:type="dxa"/>
          </w:tcPr>
          <w:p w14:paraId="2F720265"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P176i_commence_avant_le_début_de</w:t>
            </w:r>
            <w:r>
              <w:t xml:space="preserve"> </w:t>
            </w:r>
            <w:r>
              <w:rPr>
                <w:b/>
              </w:rPr>
              <w:t>ET</w:t>
            </w:r>
            <w:r>
              <w:t xml:space="preserve"> </w:t>
            </w:r>
            <w:r>
              <w:rPr>
                <w:rFonts w:ascii="Consolas" w:eastAsia="Consolas" w:hAnsi="Consolas" w:cs="Consolas"/>
                <w:sz w:val="22"/>
                <w:szCs w:val="22"/>
                <w:shd w:val="clear" w:color="auto" w:fill="EAEEF3"/>
              </w:rPr>
              <w:t>P184_se_termine_avant_ou_au_moment_de_la_fin_de</w:t>
            </w:r>
            <w:r>
              <w:t xml:space="preserve"> </w:t>
            </w:r>
            <w:r>
              <w:rPr>
                <w:b/>
              </w:rPr>
              <w:t>ET</w:t>
            </w:r>
            <w:r>
              <w:t xml:space="preserve"> </w:t>
            </w:r>
            <w:r>
              <w:rPr>
                <w:rFonts w:ascii="Consolas" w:eastAsia="Consolas" w:hAnsi="Consolas" w:cs="Consolas"/>
                <w:sz w:val="22"/>
                <w:szCs w:val="22"/>
                <w:shd w:val="clear" w:color="auto" w:fill="EAEEF3"/>
              </w:rPr>
              <w:t>P184i_se_termine_au_moment_ou_après_la_fin_de</w:t>
            </w:r>
            <w:r>
              <w:t xml:space="preserve"> [</w:t>
            </w:r>
            <w:r>
              <w:rPr>
                <w:rFonts w:ascii="Consolas" w:eastAsia="Consolas" w:hAnsi="Consolas" w:cs="Consolas"/>
                <w:sz w:val="22"/>
                <w:szCs w:val="22"/>
                <w:shd w:val="clear" w:color="auto" w:fill="EAEEF3"/>
              </w:rPr>
              <w:t>P176i_commence_avant_le_début_de</w:t>
            </w:r>
            <w:r>
              <w:t xml:space="preserve"> est exigé car la portée de </w:t>
            </w:r>
            <w:r>
              <w:rPr>
                <w:rFonts w:ascii="Consolas" w:eastAsia="Consolas" w:hAnsi="Consolas" w:cs="Consolas"/>
                <w:sz w:val="22"/>
                <w:szCs w:val="22"/>
                <w:shd w:val="clear" w:color="auto" w:fill="EAEEF3"/>
              </w:rPr>
              <w:t>E2_Entité_temporelle</w:t>
            </w:r>
            <w:r>
              <w:t xml:space="preserve"> doit être plus longue que le domaine de </w:t>
            </w:r>
            <w:r>
              <w:rPr>
                <w:rFonts w:ascii="Consolas" w:eastAsia="Consolas" w:hAnsi="Consolas" w:cs="Consolas"/>
                <w:sz w:val="22"/>
                <w:szCs w:val="22"/>
                <w:shd w:val="clear" w:color="auto" w:fill="EAEEF3"/>
              </w:rPr>
              <w:t>E2_Entité_temporelle</w:t>
            </w:r>
            <w:r>
              <w:t>].</w:t>
            </w:r>
          </w:p>
        </w:tc>
      </w:tr>
      <w:tr w:rsidR="00BF18CF" w14:paraId="585D3987" w14:textId="77777777" w:rsidTr="00BF18CF">
        <w:tc>
          <w:tcPr>
            <w:tcW w:w="4682" w:type="dxa"/>
          </w:tcPr>
          <w:p w14:paraId="011C85D9" w14:textId="77777777" w:rsidR="00BF18CF" w:rsidRDefault="00E51347">
            <w:r>
              <w:rPr>
                <w:rFonts w:ascii="Consolas" w:eastAsia="Consolas" w:hAnsi="Consolas" w:cs="Consolas"/>
                <w:sz w:val="22"/>
                <w:szCs w:val="22"/>
                <w:shd w:val="clear" w:color="auto" w:fill="EAEEF3"/>
              </w:rPr>
              <w:t>P116_commence (est_commencé_par)</w:t>
            </w:r>
            <w:r>
              <w:t xml:space="preserve"> *</w:t>
            </w:r>
          </w:p>
        </w:tc>
        <w:tc>
          <w:tcPr>
            <w:tcW w:w="6008" w:type="dxa"/>
          </w:tcPr>
          <w:p w14:paraId="3E478244"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P175_commence_avant_ou_au_moment_du_début_de</w:t>
            </w:r>
            <w:r>
              <w:t xml:space="preserve"> </w:t>
            </w:r>
            <w:r>
              <w:rPr>
                <w:b/>
              </w:rPr>
              <w:t>ET</w:t>
            </w:r>
            <w:r>
              <w:t xml:space="preserve"> </w:t>
            </w:r>
            <w:r>
              <w:rPr>
                <w:rFonts w:ascii="Consolas" w:eastAsia="Consolas" w:hAnsi="Consolas" w:cs="Consolas"/>
                <w:sz w:val="22"/>
                <w:szCs w:val="22"/>
                <w:shd w:val="clear" w:color="auto" w:fill="EAEEF3"/>
              </w:rPr>
              <w:t>P175i_commence_après_ou_au_moment_du_début_de</w:t>
            </w:r>
            <w:r>
              <w:t xml:space="preserve"> </w:t>
            </w:r>
            <w:r>
              <w:rPr>
                <w:b/>
              </w:rPr>
              <w:t>ET</w:t>
            </w:r>
            <w:r>
              <w:t xml:space="preserve"> </w:t>
            </w:r>
            <w:r>
              <w:rPr>
                <w:rFonts w:ascii="Consolas" w:eastAsia="Consolas" w:hAnsi="Consolas" w:cs="Consolas"/>
                <w:sz w:val="22"/>
                <w:szCs w:val="22"/>
                <w:shd w:val="clear" w:color="auto" w:fill="EAEEF3"/>
              </w:rPr>
              <w:t>P185_se_termine_avant_la_fin_de</w:t>
            </w:r>
            <w:r>
              <w:t xml:space="preserve"> [</w:t>
            </w:r>
            <w:r>
              <w:rPr>
                <w:rFonts w:ascii="Consolas" w:eastAsia="Consolas" w:hAnsi="Consolas" w:cs="Consolas"/>
                <w:sz w:val="22"/>
                <w:szCs w:val="22"/>
                <w:shd w:val="clear" w:color="auto" w:fill="EAEEF3"/>
              </w:rPr>
              <w:t>P185_se_termine_avant_la_fin_de</w:t>
            </w:r>
            <w:r>
              <w:t xml:space="preserve"> est exigé car la portée de </w:t>
            </w:r>
            <w:r>
              <w:rPr>
                <w:rFonts w:ascii="Consolas" w:eastAsia="Consolas" w:hAnsi="Consolas" w:cs="Consolas"/>
                <w:sz w:val="22"/>
                <w:szCs w:val="22"/>
                <w:shd w:val="clear" w:color="auto" w:fill="EAEEF3"/>
              </w:rPr>
              <w:t>E2_Entité_temporelle</w:t>
            </w:r>
            <w:r>
              <w:t xml:space="preserve"> doit être plus longue que le domaine de </w:t>
            </w:r>
            <w:r>
              <w:rPr>
                <w:rFonts w:ascii="Consolas" w:eastAsia="Consolas" w:hAnsi="Consolas" w:cs="Consolas"/>
                <w:sz w:val="22"/>
                <w:szCs w:val="22"/>
                <w:shd w:val="clear" w:color="auto" w:fill="EAEEF3"/>
              </w:rPr>
              <w:t>E2_Entité_temporelle</w:t>
            </w:r>
            <w:r>
              <w:t>]</w:t>
            </w:r>
          </w:p>
        </w:tc>
      </w:tr>
      <w:tr w:rsidR="00BF18CF" w14:paraId="736065C7" w14:textId="77777777" w:rsidTr="00BF18CF">
        <w:tc>
          <w:tcPr>
            <w:tcW w:w="4682" w:type="dxa"/>
          </w:tcPr>
          <w:p w14:paraId="0B74D8A5" w14:textId="77777777" w:rsidR="00BF18CF" w:rsidRDefault="00E51347">
            <w:r>
              <w:rPr>
                <w:rFonts w:ascii="Consolas" w:eastAsia="Consolas" w:hAnsi="Consolas" w:cs="Consolas"/>
                <w:sz w:val="22"/>
                <w:szCs w:val="22"/>
                <w:shd w:val="clear" w:color="auto" w:fill="EAEEF3"/>
              </w:rPr>
              <w:t>P117_se_produit_durant (</w:t>
            </w:r>
            <w:proofErr w:type="gramStart"/>
            <w:r>
              <w:rPr>
                <w:rFonts w:ascii="Consolas" w:eastAsia="Consolas" w:hAnsi="Consolas" w:cs="Consolas"/>
                <w:sz w:val="22"/>
                <w:szCs w:val="22"/>
                <w:shd w:val="clear" w:color="auto" w:fill="EAEEF3"/>
              </w:rPr>
              <w:t>inclut)</w:t>
            </w:r>
            <w:r>
              <w:t xml:space="preserve">  *</w:t>
            </w:r>
            <w:proofErr w:type="gramEnd"/>
          </w:p>
        </w:tc>
        <w:tc>
          <w:tcPr>
            <w:tcW w:w="6008" w:type="dxa"/>
          </w:tcPr>
          <w:p w14:paraId="1CA7FB4C"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P176i_commence_après_le_début_de</w:t>
            </w:r>
            <w:r>
              <w:t xml:space="preserve"> </w:t>
            </w:r>
            <w:r>
              <w:rPr>
                <w:b/>
              </w:rPr>
              <w:t>ET</w:t>
            </w:r>
            <w:r>
              <w:t xml:space="preserve"> </w:t>
            </w:r>
            <w:r>
              <w:rPr>
                <w:rFonts w:ascii="Consolas" w:eastAsia="Consolas" w:hAnsi="Consolas" w:cs="Consolas"/>
                <w:sz w:val="22"/>
                <w:szCs w:val="22"/>
                <w:shd w:val="clear" w:color="auto" w:fill="EAEEF3"/>
              </w:rPr>
              <w:t>P185_se_termine_avant_la_fin_de</w:t>
            </w:r>
          </w:p>
        </w:tc>
      </w:tr>
      <w:tr w:rsidR="00BF18CF" w14:paraId="0D0D2FAD" w14:textId="77777777" w:rsidTr="00BF18CF">
        <w:tc>
          <w:tcPr>
            <w:tcW w:w="4682" w:type="dxa"/>
          </w:tcPr>
          <w:p w14:paraId="542D74F5" w14:textId="77777777" w:rsidR="00BF18CF" w:rsidRDefault="00E51347">
            <w:r>
              <w:rPr>
                <w:rFonts w:ascii="Consolas" w:eastAsia="Consolas" w:hAnsi="Consolas" w:cs="Consolas"/>
                <w:sz w:val="22"/>
                <w:szCs w:val="22"/>
                <w:shd w:val="clear" w:color="auto" w:fill="EAEEF3"/>
              </w:rPr>
              <w:t xml:space="preserve">P118_se_superpose_temporellement_à (est_temporellement_superposé_à) </w:t>
            </w:r>
            <w:r>
              <w:t>*</w:t>
            </w:r>
          </w:p>
        </w:tc>
        <w:tc>
          <w:tcPr>
            <w:tcW w:w="6008" w:type="dxa"/>
          </w:tcPr>
          <w:p w14:paraId="6EECC9F8"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P176_commence_avant_le_début_de</w:t>
            </w:r>
            <w:r>
              <w:t xml:space="preserve"> </w:t>
            </w:r>
            <w:r>
              <w:rPr>
                <w:b/>
              </w:rPr>
              <w:t>ET</w:t>
            </w:r>
            <w:r>
              <w:t xml:space="preserve"> </w:t>
            </w:r>
            <w:r>
              <w:rPr>
                <w:rFonts w:ascii="Consolas" w:eastAsia="Consolas" w:hAnsi="Consolas" w:cs="Consolas"/>
                <w:sz w:val="22"/>
                <w:szCs w:val="22"/>
                <w:shd w:val="clear" w:color="auto" w:fill="EAEEF3"/>
              </w:rPr>
              <w:t>P185_se_termine_avant_la_fin_de</w:t>
            </w:r>
          </w:p>
        </w:tc>
      </w:tr>
      <w:tr w:rsidR="00BF18CF" w14:paraId="0084191A" w14:textId="77777777" w:rsidTr="00BF18CF">
        <w:tc>
          <w:tcPr>
            <w:tcW w:w="4682" w:type="dxa"/>
          </w:tcPr>
          <w:p w14:paraId="4DEAA7A2" w14:textId="77777777" w:rsidR="00BF18CF" w:rsidRDefault="00E51347">
            <w:r>
              <w:rPr>
                <w:rFonts w:ascii="Consolas" w:eastAsia="Consolas" w:hAnsi="Consolas" w:cs="Consolas"/>
                <w:sz w:val="22"/>
                <w:szCs w:val="22"/>
                <w:shd w:val="clear" w:color="auto" w:fill="EAEEF3"/>
              </w:rPr>
              <w:t>P119_concorde_temporellement_avec (concorde_temporellement_avec)</w:t>
            </w:r>
            <w:r>
              <w:t xml:space="preserve"> *</w:t>
            </w:r>
          </w:p>
        </w:tc>
        <w:tc>
          <w:tcPr>
            <w:tcW w:w="6008" w:type="dxa"/>
          </w:tcPr>
          <w:p w14:paraId="3E2DDD00"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P182_se_termine_avant_ou_au_début_du_moment_de</w:t>
            </w:r>
            <w:r>
              <w:t xml:space="preserve"> </w:t>
            </w:r>
            <w:r>
              <w:rPr>
                <w:b/>
              </w:rPr>
              <w:lastRenderedPageBreak/>
              <w:t>ET</w:t>
            </w:r>
            <w:r>
              <w:t xml:space="preserve"> </w:t>
            </w:r>
            <w:r>
              <w:rPr>
                <w:rFonts w:ascii="Consolas" w:eastAsia="Consolas" w:hAnsi="Consolas" w:cs="Consolas"/>
                <w:sz w:val="22"/>
                <w:szCs w:val="22"/>
                <w:shd w:val="clear" w:color="auto" w:fill="EAEEF3"/>
              </w:rPr>
              <w:t>P173i_se_termine_après_ou_au_moment_du_début_de</w:t>
            </w:r>
          </w:p>
        </w:tc>
      </w:tr>
      <w:tr w:rsidR="00BF18CF" w14:paraId="326E32E8" w14:textId="77777777" w:rsidTr="00BF18CF">
        <w:tc>
          <w:tcPr>
            <w:tcW w:w="4682" w:type="dxa"/>
          </w:tcPr>
          <w:p w14:paraId="66C3B496" w14:textId="77777777" w:rsidR="00BF18CF" w:rsidRDefault="00E51347">
            <w:r>
              <w:rPr>
                <w:rFonts w:ascii="Consolas" w:eastAsia="Consolas" w:hAnsi="Consolas" w:cs="Consolas"/>
                <w:sz w:val="22"/>
                <w:szCs w:val="22"/>
                <w:shd w:val="clear" w:color="auto" w:fill="EAEEF3"/>
              </w:rPr>
              <w:lastRenderedPageBreak/>
              <w:t>P120_se_produit_avant (se_produit_après)</w:t>
            </w:r>
            <w:r>
              <w:t xml:space="preserve"> *</w:t>
            </w:r>
          </w:p>
        </w:tc>
        <w:tc>
          <w:tcPr>
            <w:tcW w:w="6008" w:type="dxa"/>
          </w:tcPr>
          <w:p w14:paraId="7CF3DCE5"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P183_se_termine_avant_le_début_de</w:t>
            </w:r>
          </w:p>
        </w:tc>
      </w:tr>
      <w:tr w:rsidR="00BF18CF" w14:paraId="6914E413" w14:textId="77777777" w:rsidTr="00BF18CF">
        <w:tc>
          <w:tcPr>
            <w:tcW w:w="4682" w:type="dxa"/>
          </w:tcPr>
          <w:p w14:paraId="48A3AF8B" w14:textId="77777777" w:rsidR="00BF18CF" w:rsidRDefault="00E51347">
            <w:r>
              <w:rPr>
                <w:rFonts w:ascii="Consolas" w:eastAsia="Consolas" w:hAnsi="Consolas" w:cs="Consolas"/>
                <w:sz w:val="22"/>
                <w:szCs w:val="22"/>
                <w:shd w:val="clear" w:color="auto" w:fill="EAEEF3"/>
              </w:rPr>
              <w:t>P131_est_identifié_par (identifie)</w:t>
            </w:r>
            <w:r>
              <w:t xml:space="preserve"> </w:t>
            </w:r>
          </w:p>
        </w:tc>
        <w:tc>
          <w:tcPr>
            <w:tcW w:w="6008" w:type="dxa"/>
          </w:tcPr>
          <w:p w14:paraId="4A92495A"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P1_est_identifié_par (identifie)</w:t>
            </w:r>
          </w:p>
        </w:tc>
      </w:tr>
      <w:tr w:rsidR="00BF18CF" w14:paraId="04FF4465" w14:textId="77777777" w:rsidTr="00BF18CF">
        <w:tc>
          <w:tcPr>
            <w:tcW w:w="4682" w:type="dxa"/>
          </w:tcPr>
          <w:p w14:paraId="617E99B2" w14:textId="77777777" w:rsidR="00BF18CF" w:rsidRDefault="00E51347">
            <w:r>
              <w:rPr>
                <w:rFonts w:ascii="Consolas" w:eastAsia="Consolas" w:hAnsi="Consolas" w:cs="Consolas"/>
                <w:sz w:val="22"/>
                <w:szCs w:val="22"/>
                <w:shd w:val="clear" w:color="auto" w:fill="EAEEF3"/>
              </w:rPr>
              <w:t>P149_est_identifié_par (identifie)</w:t>
            </w:r>
            <w:r>
              <w:t xml:space="preserve"> </w:t>
            </w:r>
          </w:p>
        </w:tc>
        <w:tc>
          <w:tcPr>
            <w:tcW w:w="6008" w:type="dxa"/>
          </w:tcPr>
          <w:p w14:paraId="50DB37FA"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P1_est_identifié_par (identifie)</w:t>
            </w:r>
          </w:p>
        </w:tc>
      </w:tr>
      <w:tr w:rsidR="00BF18CF" w14:paraId="6AA65A3B" w14:textId="77777777" w:rsidTr="00BF18CF">
        <w:tc>
          <w:tcPr>
            <w:tcW w:w="4682" w:type="dxa"/>
          </w:tcPr>
          <w:p w14:paraId="4FEF909C" w14:textId="77777777" w:rsidR="00BF18CF" w:rsidRDefault="00E51347">
            <w:r>
              <w:rPr>
                <w:rFonts w:ascii="Consolas" w:eastAsia="Consolas" w:hAnsi="Consolas" w:cs="Consolas"/>
                <w:sz w:val="22"/>
                <w:szCs w:val="22"/>
                <w:shd w:val="clear" w:color="auto" w:fill="EAEEF3"/>
              </w:rPr>
              <w:t>P178_se_termine_après_ou_au_moment_de (se_termine_avant_ou_à_la_fin_de)</w:t>
            </w:r>
          </w:p>
        </w:tc>
        <w:tc>
          <w:tcPr>
            <w:tcW w:w="6008" w:type="dxa"/>
          </w:tcPr>
          <w:p w14:paraId="348B9A2C"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P184i_se_termine_au_moment_de_ou_après_la_fin_de</w:t>
            </w:r>
          </w:p>
        </w:tc>
      </w:tr>
      <w:tr w:rsidR="00BF18CF" w14:paraId="6E2AECC4" w14:textId="77777777" w:rsidTr="00BF18CF">
        <w:tc>
          <w:tcPr>
            <w:tcW w:w="4682" w:type="dxa"/>
          </w:tcPr>
          <w:p w14:paraId="0AE077E2" w14:textId="77777777" w:rsidR="00BF18CF" w:rsidRDefault="00E51347">
            <w:r>
              <w:rPr>
                <w:rFonts w:ascii="Consolas" w:eastAsia="Consolas" w:hAnsi="Consolas" w:cs="Consolas"/>
                <w:sz w:val="22"/>
                <w:szCs w:val="22"/>
                <w:shd w:val="clear" w:color="auto" w:fill="EAEEF3"/>
              </w:rPr>
              <w:t>P181_a_pour_quantité</w:t>
            </w:r>
          </w:p>
        </w:tc>
        <w:tc>
          <w:tcPr>
            <w:tcW w:w="6008" w:type="dxa"/>
          </w:tcPr>
          <w:p w14:paraId="6063C289" w14:textId="77777777" w:rsidR="00BF18CF" w:rsidRDefault="00E51347">
            <w:proofErr w:type="gramStart"/>
            <w:r>
              <w:t>utiliser</w:t>
            </w:r>
            <w:proofErr w:type="gramEnd"/>
            <w:r>
              <w:t xml:space="preserve"> </w:t>
            </w:r>
            <w:r>
              <w:rPr>
                <w:rFonts w:ascii="Consolas" w:eastAsia="Consolas" w:hAnsi="Consolas" w:cs="Consolas"/>
                <w:sz w:val="22"/>
                <w:szCs w:val="22"/>
                <w:shd w:val="clear" w:color="auto" w:fill="EAEEF3"/>
              </w:rPr>
              <w:t>E54_Dimension</w:t>
            </w:r>
            <w:r>
              <w:t xml:space="preserve"> . </w:t>
            </w:r>
            <w:r>
              <w:rPr>
                <w:rFonts w:ascii="Consolas" w:eastAsia="Consolas" w:hAnsi="Consolas" w:cs="Consolas"/>
                <w:sz w:val="22"/>
                <w:szCs w:val="22"/>
                <w:shd w:val="clear" w:color="auto" w:fill="EAEEF3"/>
              </w:rPr>
              <w:t>P90_a_pour_valeur</w:t>
            </w:r>
            <w:r>
              <w:t xml:space="preserve"> : </w:t>
            </w:r>
            <w:r>
              <w:rPr>
                <w:rFonts w:ascii="Consolas" w:eastAsia="Consolas" w:hAnsi="Consolas" w:cs="Consolas"/>
                <w:sz w:val="22"/>
                <w:szCs w:val="22"/>
                <w:shd w:val="clear" w:color="auto" w:fill="EAEEF3"/>
              </w:rPr>
              <w:t>E60_Nombre</w:t>
            </w:r>
          </w:p>
        </w:tc>
      </w:tr>
      <w:tr w:rsidR="00BF18CF" w14:paraId="3D700407" w14:textId="77777777" w:rsidTr="00BF18CF">
        <w:tc>
          <w:tcPr>
            <w:tcW w:w="4682" w:type="dxa"/>
          </w:tcPr>
          <w:p w14:paraId="7FCA03B9" w14:textId="77777777" w:rsidR="00BF18CF" w:rsidRDefault="00E51347">
            <w:r>
              <w:rPr>
                <w:vertAlign w:val="superscript"/>
              </w:rPr>
              <w:t>*</w:t>
            </w:r>
            <w:r>
              <w:t xml:space="preserve"> Les propriétés P114 à P120 ont été introduites par l’extension « Definition of the CRMarchaeo. An Extension of CIDOC CRM to support the archaeological excavation process”, Version 1.5.1 qui date de mars 2021.</w:t>
            </w:r>
          </w:p>
        </w:tc>
        <w:tc>
          <w:tcPr>
            <w:tcW w:w="6008" w:type="dxa"/>
          </w:tcPr>
          <w:p w14:paraId="03FDDF66" w14:textId="77777777" w:rsidR="00BF18CF" w:rsidRDefault="00BF18CF">
            <w:pPr>
              <w:pBdr>
                <w:top w:val="nil"/>
                <w:left w:val="nil"/>
                <w:bottom w:val="nil"/>
                <w:right w:val="nil"/>
                <w:between w:val="nil"/>
              </w:pBdr>
              <w:spacing w:before="36" w:after="36"/>
              <w:rPr>
                <w:color w:val="000000"/>
              </w:rPr>
            </w:pPr>
          </w:p>
        </w:tc>
      </w:tr>
      <w:tr w:rsidR="00BF18CF" w14:paraId="4BFA456C" w14:textId="77777777" w:rsidTr="00BF18CF">
        <w:tc>
          <w:tcPr>
            <w:tcW w:w="4682" w:type="dxa"/>
          </w:tcPr>
          <w:p w14:paraId="0D574E52" w14:textId="2BFB8DDB" w:rsidR="00BF18CF" w:rsidRDefault="00F27208">
            <w:r>
              <w:rPr>
                <w:i/>
              </w:rPr>
              <w:t>Note de traduction</w:t>
            </w:r>
          </w:p>
        </w:tc>
        <w:tc>
          <w:tcPr>
            <w:tcW w:w="6008" w:type="dxa"/>
          </w:tcPr>
          <w:p w14:paraId="69646818" w14:textId="77777777" w:rsidR="00BF18CF" w:rsidRDefault="00BF18CF">
            <w:pPr>
              <w:pBdr>
                <w:top w:val="nil"/>
                <w:left w:val="nil"/>
                <w:bottom w:val="nil"/>
                <w:right w:val="nil"/>
                <w:between w:val="nil"/>
              </w:pBdr>
              <w:spacing w:before="36" w:after="36"/>
              <w:rPr>
                <w:color w:val="000000"/>
              </w:rPr>
            </w:pPr>
          </w:p>
        </w:tc>
      </w:tr>
      <w:tr w:rsidR="00BF18CF" w14:paraId="17A7A2F3" w14:textId="77777777" w:rsidTr="00BF18CF">
        <w:tc>
          <w:tcPr>
            <w:tcW w:w="4682" w:type="dxa"/>
          </w:tcPr>
          <w:p w14:paraId="5B461EDE" w14:textId="77777777" w:rsidR="00BF18CF" w:rsidRDefault="00E51347">
            <w:r>
              <w:rPr>
                <w:i/>
              </w:rPr>
              <w:t>Références</w:t>
            </w:r>
          </w:p>
        </w:tc>
        <w:tc>
          <w:tcPr>
            <w:tcW w:w="6008" w:type="dxa"/>
          </w:tcPr>
          <w:p w14:paraId="2C1B144D" w14:textId="77777777" w:rsidR="00BF18CF" w:rsidRPr="004B3086" w:rsidRDefault="00E51347">
            <w:r w:rsidRPr="007C10F0">
              <w:rPr>
                <w:lang w:val="en-CA"/>
              </w:rPr>
              <w:t xml:space="preserve">OWL Working Group. 2012. « OWL - Semantic Web Standards ». </w:t>
            </w:r>
            <w:r w:rsidRPr="004B3086">
              <w:t>W3C. 11 décembre 2012.</w:t>
            </w:r>
            <w:hyperlink r:id="rId573">
              <w:r w:rsidRPr="004B3086">
                <w:rPr>
                  <w:color w:val="4F81BD"/>
                </w:rPr>
                <w:t xml:space="preserve"> https://www.w3.org/OWL/</w:t>
              </w:r>
            </w:hyperlink>
            <w:r w:rsidRPr="004B3086">
              <w:t>.</w:t>
            </w:r>
          </w:p>
          <w:p w14:paraId="25E685CC" w14:textId="77777777" w:rsidR="00BF18CF" w:rsidRDefault="00E51347">
            <w:r w:rsidRPr="007C10F0">
              <w:rPr>
                <w:lang w:val="en-CA"/>
              </w:rPr>
              <w:t xml:space="preserve">RDF Working Group. 2014. « RDF - Semantic Web Standards ». </w:t>
            </w:r>
            <w:r w:rsidRPr="004B3086">
              <w:t>W3C. 25 février 2014.</w:t>
            </w:r>
            <w:hyperlink r:id="rId574">
              <w:r w:rsidRPr="004B3086">
                <w:rPr>
                  <w:color w:val="4F81BD"/>
                </w:rPr>
                <w:t xml:space="preserve"> </w:t>
              </w:r>
              <w:r>
                <w:rPr>
                  <w:color w:val="4F81BD"/>
                </w:rPr>
                <w:t>https://www.w3.org/RDF/</w:t>
              </w:r>
            </w:hyperlink>
            <w:r>
              <w:t>.</w:t>
            </w:r>
          </w:p>
        </w:tc>
      </w:tr>
    </w:tbl>
    <w:p w14:paraId="152314D4" w14:textId="77777777" w:rsidR="00BF18CF" w:rsidRDefault="00E51347">
      <w:pPr>
        <w:pStyle w:val="Heading2"/>
      </w:pPr>
      <w:bookmarkStart w:id="598" w:name="bookmark=id.pv6qcq" w:colFirst="0" w:colLast="0"/>
      <w:bookmarkStart w:id="599" w:name="_Toc144361043"/>
      <w:bookmarkEnd w:id="598"/>
      <w:r>
        <w:t>Modifications</w:t>
      </w:r>
      <w:bookmarkEnd w:id="599"/>
    </w:p>
    <w:tbl>
      <w:tblPr>
        <w:tblStyle w:val="afffffffffffffffffffd"/>
        <w:tblW w:w="1069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0690"/>
      </w:tblGrid>
      <w:tr w:rsidR="00BF18CF" w14:paraId="7FEA0DFC" w14:textId="77777777" w:rsidTr="00BF18CF">
        <w:tc>
          <w:tcPr>
            <w:tcW w:w="10690" w:type="dxa"/>
          </w:tcPr>
          <w:p w14:paraId="7DE2C69A" w14:textId="77777777" w:rsidR="00BF18CF" w:rsidRDefault="00E51347">
            <w:r>
              <w:t>Les modifications sont recensées dans le document « Amendments of the CIDOC: Conceptual reference Model ver. 7.1: volume B » [n.d.t. qui n’a pas fait l’objet d’une traduction].</w:t>
            </w:r>
          </w:p>
        </w:tc>
      </w:tr>
    </w:tbl>
    <w:p w14:paraId="5127691E" w14:textId="77777777" w:rsidR="00BF18CF" w:rsidRDefault="00BF18CF"/>
    <w:tbl>
      <w:tblPr>
        <w:tblStyle w:val="afffffffffffffffffffe"/>
        <w:tblW w:w="1069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000" w:firstRow="0" w:lastRow="0" w:firstColumn="0" w:lastColumn="0" w:noHBand="0" w:noVBand="0"/>
      </w:tblPr>
      <w:tblGrid>
        <w:gridCol w:w="1828"/>
        <w:gridCol w:w="8867"/>
      </w:tblGrid>
      <w:tr w:rsidR="00BF18CF" w14:paraId="25D5001E" w14:textId="77777777" w:rsidTr="00BF18CF">
        <w:tc>
          <w:tcPr>
            <w:tcW w:w="1828" w:type="dxa"/>
          </w:tcPr>
          <w:p w14:paraId="6FF88561" w14:textId="34905026" w:rsidR="00BF18CF" w:rsidRDefault="00F27208">
            <w:r>
              <w:rPr>
                <w:i/>
              </w:rPr>
              <w:t>Note de traduction</w:t>
            </w:r>
          </w:p>
        </w:tc>
        <w:tc>
          <w:tcPr>
            <w:tcW w:w="8867" w:type="dxa"/>
          </w:tcPr>
          <w:p w14:paraId="2C21C024" w14:textId="77777777" w:rsidR="00BF18CF" w:rsidRDefault="00BF18CF">
            <w:pPr>
              <w:pBdr>
                <w:top w:val="nil"/>
                <w:left w:val="nil"/>
                <w:bottom w:val="nil"/>
                <w:right w:val="nil"/>
                <w:between w:val="nil"/>
              </w:pBdr>
              <w:spacing w:before="36" w:after="36"/>
              <w:rPr>
                <w:color w:val="000000"/>
              </w:rPr>
            </w:pPr>
          </w:p>
        </w:tc>
      </w:tr>
      <w:tr w:rsidR="00BF18CF" w14:paraId="4EF3D182" w14:textId="77777777" w:rsidTr="00BF18CF">
        <w:tc>
          <w:tcPr>
            <w:tcW w:w="1828" w:type="dxa"/>
          </w:tcPr>
          <w:p w14:paraId="77724CF8" w14:textId="77777777" w:rsidR="00BF18CF" w:rsidRDefault="00E51347">
            <w:r>
              <w:rPr>
                <w:i/>
              </w:rPr>
              <w:t>Références</w:t>
            </w:r>
          </w:p>
        </w:tc>
        <w:tc>
          <w:tcPr>
            <w:tcW w:w="8867" w:type="dxa"/>
          </w:tcPr>
          <w:p w14:paraId="76FFD0A2" w14:textId="77777777" w:rsidR="00BF18CF" w:rsidRDefault="00BF18CF">
            <w:pPr>
              <w:pBdr>
                <w:top w:val="nil"/>
                <w:left w:val="nil"/>
                <w:bottom w:val="nil"/>
                <w:right w:val="nil"/>
                <w:between w:val="nil"/>
              </w:pBdr>
              <w:spacing w:before="36" w:after="36"/>
              <w:rPr>
                <w:color w:val="000000"/>
              </w:rPr>
            </w:pPr>
          </w:p>
        </w:tc>
      </w:tr>
    </w:tbl>
    <w:p w14:paraId="7AB94F66" w14:textId="77777777" w:rsidR="00BF18CF" w:rsidRDefault="00BF18CF"/>
    <w:p w14:paraId="322800D4" w14:textId="77777777" w:rsidR="00BF18CF" w:rsidRDefault="00BF18CF">
      <w:pPr>
        <w:pStyle w:val="Heading3"/>
      </w:pPr>
    </w:p>
    <w:sectPr w:rsidR="00BF18CF" w:rsidSect="00C77C29">
      <w:headerReference w:type="default" r:id="rId575"/>
      <w:pgSz w:w="12240" w:h="15840"/>
      <w:pgMar w:top="765" w:right="765" w:bottom="765" w:left="765"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23F2F" w14:textId="77777777" w:rsidR="00A804CD" w:rsidRDefault="00A804CD">
      <w:pPr>
        <w:spacing w:after="0"/>
      </w:pPr>
      <w:r>
        <w:separator/>
      </w:r>
    </w:p>
  </w:endnote>
  <w:endnote w:type="continuationSeparator" w:id="0">
    <w:p w14:paraId="51D32AC8" w14:textId="77777777" w:rsidR="00A804CD" w:rsidRDefault="00A804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1969" w14:textId="77777777" w:rsidR="00BF18CF" w:rsidRDefault="00E51347">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EE61A5">
      <w:rPr>
        <w:noProof/>
        <w:color w:val="000000"/>
      </w:rPr>
      <w:t>1</w:t>
    </w:r>
    <w:r>
      <w:rPr>
        <w:color w:val="000000"/>
      </w:rPr>
      <w:fldChar w:fldCharType="end"/>
    </w:r>
  </w:p>
  <w:p w14:paraId="5D38BB17" w14:textId="77777777" w:rsidR="00BF18CF" w:rsidRDefault="00BF18CF">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D380B" w14:textId="77777777" w:rsidR="00A804CD" w:rsidRDefault="00A804CD">
      <w:pPr>
        <w:spacing w:after="0"/>
      </w:pPr>
      <w:r>
        <w:separator/>
      </w:r>
    </w:p>
  </w:footnote>
  <w:footnote w:type="continuationSeparator" w:id="0">
    <w:p w14:paraId="54E98217" w14:textId="77777777" w:rsidR="00A804CD" w:rsidRDefault="00A804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DF2A" w14:textId="1B671F74" w:rsidR="00BF18CF" w:rsidRDefault="00BF18CF">
    <w:pPr>
      <w:pBdr>
        <w:top w:val="nil"/>
        <w:left w:val="nil"/>
        <w:bottom w:val="nil"/>
        <w:right w:val="nil"/>
        <w:between w:val="nil"/>
      </w:pBdr>
      <w:tabs>
        <w:tab w:val="center" w:pos="4680"/>
        <w:tab w:val="right" w:pos="9360"/>
      </w:tabs>
      <w:spacing w:after="0"/>
      <w:jc w:val="right"/>
      <w:rPr>
        <w:color w:val="000000"/>
      </w:rPr>
    </w:pPr>
  </w:p>
  <w:p w14:paraId="3D692DA4" w14:textId="77777777" w:rsidR="00BF18CF" w:rsidRDefault="00BF18CF">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86F7" w14:textId="6BEA5D26" w:rsidR="00BF18CF" w:rsidRDefault="00BF18CF">
    <w:pPr>
      <w:pBdr>
        <w:top w:val="nil"/>
        <w:left w:val="nil"/>
        <w:bottom w:val="nil"/>
        <w:right w:val="nil"/>
        <w:between w:val="nil"/>
      </w:pBdr>
      <w:tabs>
        <w:tab w:val="center" w:pos="4680"/>
        <w:tab w:val="right" w:pos="9360"/>
      </w:tabs>
      <w:spacing w:after="0"/>
      <w:jc w:val="right"/>
      <w:rPr>
        <w:color w:val="000000"/>
      </w:rPr>
    </w:pPr>
  </w:p>
  <w:p w14:paraId="4D35A1E6" w14:textId="77777777" w:rsidR="00BF18CF" w:rsidRDefault="00BF18CF">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E2D"/>
    <w:multiLevelType w:val="multilevel"/>
    <w:tmpl w:val="26F84C6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2D01C31"/>
    <w:multiLevelType w:val="multilevel"/>
    <w:tmpl w:val="9798338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5BF0DF5"/>
    <w:multiLevelType w:val="multilevel"/>
    <w:tmpl w:val="3E16471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09525238"/>
    <w:multiLevelType w:val="multilevel"/>
    <w:tmpl w:val="F8BABA2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0D1174CF"/>
    <w:multiLevelType w:val="multilevel"/>
    <w:tmpl w:val="D5D2641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 w15:restartNumberingAfterBreak="0">
    <w:nsid w:val="0D4C4CA1"/>
    <w:multiLevelType w:val="multilevel"/>
    <w:tmpl w:val="117AF8A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 w15:restartNumberingAfterBreak="0">
    <w:nsid w:val="0F1A1CB8"/>
    <w:multiLevelType w:val="multilevel"/>
    <w:tmpl w:val="F5B23FF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16660DC4"/>
    <w:multiLevelType w:val="multilevel"/>
    <w:tmpl w:val="B128F37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185A5BA9"/>
    <w:multiLevelType w:val="multilevel"/>
    <w:tmpl w:val="591ACD3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1B124609"/>
    <w:multiLevelType w:val="multilevel"/>
    <w:tmpl w:val="FC6AFE9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1E902C84"/>
    <w:multiLevelType w:val="multilevel"/>
    <w:tmpl w:val="24F419D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1" w15:restartNumberingAfterBreak="0">
    <w:nsid w:val="1EB36683"/>
    <w:multiLevelType w:val="multilevel"/>
    <w:tmpl w:val="09B6CC7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1F5C461B"/>
    <w:multiLevelType w:val="multilevel"/>
    <w:tmpl w:val="5C7C5AD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3" w15:restartNumberingAfterBreak="0">
    <w:nsid w:val="224311DB"/>
    <w:multiLevelType w:val="hybridMultilevel"/>
    <w:tmpl w:val="62AE3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2FE1909"/>
    <w:multiLevelType w:val="multilevel"/>
    <w:tmpl w:val="5DB6A91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5" w15:restartNumberingAfterBreak="0">
    <w:nsid w:val="26333DBD"/>
    <w:multiLevelType w:val="multilevel"/>
    <w:tmpl w:val="5E4E437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6" w15:restartNumberingAfterBreak="0">
    <w:nsid w:val="28B44839"/>
    <w:multiLevelType w:val="multilevel"/>
    <w:tmpl w:val="FE9C2D9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7" w15:restartNumberingAfterBreak="0">
    <w:nsid w:val="29F01D0B"/>
    <w:multiLevelType w:val="multilevel"/>
    <w:tmpl w:val="AC1AFC0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2B120A9D"/>
    <w:multiLevelType w:val="multilevel"/>
    <w:tmpl w:val="BA7A5BB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9" w15:restartNumberingAfterBreak="0">
    <w:nsid w:val="2D0D0F68"/>
    <w:multiLevelType w:val="multilevel"/>
    <w:tmpl w:val="89C4AC9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0" w15:restartNumberingAfterBreak="0">
    <w:nsid w:val="33701B1A"/>
    <w:multiLevelType w:val="multilevel"/>
    <w:tmpl w:val="DCA43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A33E5A"/>
    <w:multiLevelType w:val="multilevel"/>
    <w:tmpl w:val="A79ED42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2" w15:restartNumberingAfterBreak="0">
    <w:nsid w:val="360B0F29"/>
    <w:multiLevelType w:val="multilevel"/>
    <w:tmpl w:val="7898E0B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3" w15:restartNumberingAfterBreak="0">
    <w:nsid w:val="39D019FC"/>
    <w:multiLevelType w:val="multilevel"/>
    <w:tmpl w:val="1276BDA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4" w15:restartNumberingAfterBreak="0">
    <w:nsid w:val="3C8F7657"/>
    <w:multiLevelType w:val="multilevel"/>
    <w:tmpl w:val="4DDC55E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5" w15:restartNumberingAfterBreak="0">
    <w:nsid w:val="405830C1"/>
    <w:multiLevelType w:val="multilevel"/>
    <w:tmpl w:val="0D18CF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6" w15:restartNumberingAfterBreak="0">
    <w:nsid w:val="44287BA2"/>
    <w:multiLevelType w:val="multilevel"/>
    <w:tmpl w:val="7B90B97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7" w15:restartNumberingAfterBreak="0">
    <w:nsid w:val="467E1797"/>
    <w:multiLevelType w:val="multilevel"/>
    <w:tmpl w:val="59A8029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8" w15:restartNumberingAfterBreak="0">
    <w:nsid w:val="484E2613"/>
    <w:multiLevelType w:val="multilevel"/>
    <w:tmpl w:val="D842EE2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9" w15:restartNumberingAfterBreak="0">
    <w:nsid w:val="4B1063E8"/>
    <w:multiLevelType w:val="multilevel"/>
    <w:tmpl w:val="FB14D4C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0" w15:restartNumberingAfterBreak="0">
    <w:nsid w:val="4CE24B9B"/>
    <w:multiLevelType w:val="multilevel"/>
    <w:tmpl w:val="6568DC9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1" w15:restartNumberingAfterBreak="0">
    <w:nsid w:val="4F1E04C6"/>
    <w:multiLevelType w:val="multilevel"/>
    <w:tmpl w:val="8D5A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603B8B"/>
    <w:multiLevelType w:val="multilevel"/>
    <w:tmpl w:val="F422879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3" w15:restartNumberingAfterBreak="0">
    <w:nsid w:val="58336E1C"/>
    <w:multiLevelType w:val="multilevel"/>
    <w:tmpl w:val="016A851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4" w15:restartNumberingAfterBreak="0">
    <w:nsid w:val="58EE65A6"/>
    <w:multiLevelType w:val="multilevel"/>
    <w:tmpl w:val="A33EEE0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5" w15:restartNumberingAfterBreak="0">
    <w:nsid w:val="5A0A6BE8"/>
    <w:multiLevelType w:val="multilevel"/>
    <w:tmpl w:val="DA2A305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6" w15:restartNumberingAfterBreak="0">
    <w:nsid w:val="5A276222"/>
    <w:multiLevelType w:val="multilevel"/>
    <w:tmpl w:val="1E646D5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7" w15:restartNumberingAfterBreak="0">
    <w:nsid w:val="5DA268F4"/>
    <w:multiLevelType w:val="multilevel"/>
    <w:tmpl w:val="2A486C3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8" w15:restartNumberingAfterBreak="0">
    <w:nsid w:val="61EE33AC"/>
    <w:multiLevelType w:val="multilevel"/>
    <w:tmpl w:val="33DCEDB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9" w15:restartNumberingAfterBreak="0">
    <w:nsid w:val="628562F2"/>
    <w:multiLevelType w:val="multilevel"/>
    <w:tmpl w:val="7690F1A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0" w15:restartNumberingAfterBreak="0">
    <w:nsid w:val="6B0C7285"/>
    <w:multiLevelType w:val="multilevel"/>
    <w:tmpl w:val="2C4A8AE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1" w15:restartNumberingAfterBreak="0">
    <w:nsid w:val="6BBF522A"/>
    <w:multiLevelType w:val="multilevel"/>
    <w:tmpl w:val="D31A2CB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2" w15:restartNumberingAfterBreak="0">
    <w:nsid w:val="6BF90262"/>
    <w:multiLevelType w:val="multilevel"/>
    <w:tmpl w:val="3F5063B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3" w15:restartNumberingAfterBreak="0">
    <w:nsid w:val="6C844054"/>
    <w:multiLevelType w:val="multilevel"/>
    <w:tmpl w:val="0E7E749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4" w15:restartNumberingAfterBreak="0">
    <w:nsid w:val="72AD26BB"/>
    <w:multiLevelType w:val="multilevel"/>
    <w:tmpl w:val="FA9CE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5" w15:restartNumberingAfterBreak="0">
    <w:nsid w:val="74135845"/>
    <w:multiLevelType w:val="multilevel"/>
    <w:tmpl w:val="27DC7D0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6" w15:restartNumberingAfterBreak="0">
    <w:nsid w:val="78C44AC4"/>
    <w:multiLevelType w:val="multilevel"/>
    <w:tmpl w:val="09CEA1B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7" w15:restartNumberingAfterBreak="0">
    <w:nsid w:val="7B094A7B"/>
    <w:multiLevelType w:val="multilevel"/>
    <w:tmpl w:val="1B668FE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8" w15:restartNumberingAfterBreak="0">
    <w:nsid w:val="7DB43160"/>
    <w:multiLevelType w:val="multilevel"/>
    <w:tmpl w:val="B8843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0763441">
    <w:abstractNumId w:val="30"/>
  </w:num>
  <w:num w:numId="2" w16cid:durableId="34740759">
    <w:abstractNumId w:val="37"/>
  </w:num>
  <w:num w:numId="3" w16cid:durableId="60449882">
    <w:abstractNumId w:val="1"/>
  </w:num>
  <w:num w:numId="4" w16cid:durableId="227769834">
    <w:abstractNumId w:val="32"/>
  </w:num>
  <w:num w:numId="5" w16cid:durableId="2121411085">
    <w:abstractNumId w:val="39"/>
  </w:num>
  <w:num w:numId="6" w16cid:durableId="2065642288">
    <w:abstractNumId w:val="6"/>
  </w:num>
  <w:num w:numId="7" w16cid:durableId="1429933906">
    <w:abstractNumId w:val="3"/>
  </w:num>
  <w:num w:numId="8" w16cid:durableId="666592001">
    <w:abstractNumId w:val="34"/>
  </w:num>
  <w:num w:numId="9" w16cid:durableId="324819755">
    <w:abstractNumId w:val="10"/>
  </w:num>
  <w:num w:numId="10" w16cid:durableId="1335036549">
    <w:abstractNumId w:val="14"/>
  </w:num>
  <w:num w:numId="11" w16cid:durableId="166866952">
    <w:abstractNumId w:val="15"/>
  </w:num>
  <w:num w:numId="12" w16cid:durableId="1568688993">
    <w:abstractNumId w:val="33"/>
  </w:num>
  <w:num w:numId="13" w16cid:durableId="1021200865">
    <w:abstractNumId w:val="2"/>
  </w:num>
  <w:num w:numId="14" w16cid:durableId="2063861923">
    <w:abstractNumId w:val="9"/>
  </w:num>
  <w:num w:numId="15" w16cid:durableId="1207185520">
    <w:abstractNumId w:val="40"/>
  </w:num>
  <w:num w:numId="16" w16cid:durableId="1517308353">
    <w:abstractNumId w:val="45"/>
  </w:num>
  <w:num w:numId="17" w16cid:durableId="1666937145">
    <w:abstractNumId w:val="22"/>
  </w:num>
  <w:num w:numId="18" w16cid:durableId="204146120">
    <w:abstractNumId w:val="35"/>
  </w:num>
  <w:num w:numId="19" w16cid:durableId="1317412194">
    <w:abstractNumId w:val="27"/>
  </w:num>
  <w:num w:numId="20" w16cid:durableId="129444313">
    <w:abstractNumId w:val="21"/>
  </w:num>
  <w:num w:numId="21" w16cid:durableId="1874684140">
    <w:abstractNumId w:val="46"/>
  </w:num>
  <w:num w:numId="22" w16cid:durableId="420836701">
    <w:abstractNumId w:val="11"/>
  </w:num>
  <w:num w:numId="23" w16cid:durableId="420181853">
    <w:abstractNumId w:val="26"/>
  </w:num>
  <w:num w:numId="24" w16cid:durableId="2047441736">
    <w:abstractNumId w:val="8"/>
  </w:num>
  <w:num w:numId="25" w16cid:durableId="2055496851">
    <w:abstractNumId w:val="28"/>
  </w:num>
  <w:num w:numId="26" w16cid:durableId="1962150004">
    <w:abstractNumId w:val="4"/>
  </w:num>
  <w:num w:numId="27" w16cid:durableId="1822234920">
    <w:abstractNumId w:val="47"/>
  </w:num>
  <w:num w:numId="28" w16cid:durableId="448083708">
    <w:abstractNumId w:val="25"/>
  </w:num>
  <w:num w:numId="29" w16cid:durableId="1944192275">
    <w:abstractNumId w:val="41"/>
  </w:num>
  <w:num w:numId="30" w16cid:durableId="1670449855">
    <w:abstractNumId w:val="0"/>
  </w:num>
  <w:num w:numId="31" w16cid:durableId="836192195">
    <w:abstractNumId w:val="38"/>
  </w:num>
  <w:num w:numId="32" w16cid:durableId="596329185">
    <w:abstractNumId w:val="12"/>
  </w:num>
  <w:num w:numId="33" w16cid:durableId="577129645">
    <w:abstractNumId w:val="18"/>
  </w:num>
  <w:num w:numId="34" w16cid:durableId="1466436406">
    <w:abstractNumId w:val="43"/>
  </w:num>
  <w:num w:numId="35" w16cid:durableId="335152565">
    <w:abstractNumId w:val="29"/>
  </w:num>
  <w:num w:numId="36" w16cid:durableId="1770079059">
    <w:abstractNumId w:val="17"/>
  </w:num>
  <w:num w:numId="37" w16cid:durableId="37096408">
    <w:abstractNumId w:val="42"/>
  </w:num>
  <w:num w:numId="38" w16cid:durableId="543716363">
    <w:abstractNumId w:val="24"/>
  </w:num>
  <w:num w:numId="39" w16cid:durableId="189532941">
    <w:abstractNumId w:val="7"/>
  </w:num>
  <w:num w:numId="40" w16cid:durableId="851919673">
    <w:abstractNumId w:val="23"/>
  </w:num>
  <w:num w:numId="41" w16cid:durableId="1022322100">
    <w:abstractNumId w:val="36"/>
  </w:num>
  <w:num w:numId="42" w16cid:durableId="1526481922">
    <w:abstractNumId w:val="16"/>
  </w:num>
  <w:num w:numId="43" w16cid:durableId="1989245403">
    <w:abstractNumId w:val="44"/>
  </w:num>
  <w:num w:numId="44" w16cid:durableId="384062327">
    <w:abstractNumId w:val="5"/>
  </w:num>
  <w:num w:numId="45" w16cid:durableId="1494881640">
    <w:abstractNumId w:val="19"/>
  </w:num>
  <w:num w:numId="46" w16cid:durableId="875502701">
    <w:abstractNumId w:val="20"/>
  </w:num>
  <w:num w:numId="47" w16cid:durableId="914629618">
    <w:abstractNumId w:val="48"/>
  </w:num>
  <w:num w:numId="48" w16cid:durableId="931469933">
    <w:abstractNumId w:val="31"/>
  </w:num>
  <w:num w:numId="49" w16cid:durableId="19108447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CF"/>
    <w:rsid w:val="000467B7"/>
    <w:rsid w:val="000B3AA3"/>
    <w:rsid w:val="00103833"/>
    <w:rsid w:val="001E49AC"/>
    <w:rsid w:val="002122AE"/>
    <w:rsid w:val="00307608"/>
    <w:rsid w:val="004B3086"/>
    <w:rsid w:val="005675C3"/>
    <w:rsid w:val="00584616"/>
    <w:rsid w:val="005D545E"/>
    <w:rsid w:val="00620ECC"/>
    <w:rsid w:val="007C10F0"/>
    <w:rsid w:val="008D5424"/>
    <w:rsid w:val="00977C10"/>
    <w:rsid w:val="009F53E4"/>
    <w:rsid w:val="00A804CD"/>
    <w:rsid w:val="00B33E2A"/>
    <w:rsid w:val="00BC239A"/>
    <w:rsid w:val="00BF18CF"/>
    <w:rsid w:val="00C1472B"/>
    <w:rsid w:val="00C77C29"/>
    <w:rsid w:val="00D013AA"/>
    <w:rsid w:val="00D21754"/>
    <w:rsid w:val="00D573C0"/>
    <w:rsid w:val="00DB0949"/>
    <w:rsid w:val="00DE757A"/>
    <w:rsid w:val="00E1141D"/>
    <w:rsid w:val="00E25267"/>
    <w:rsid w:val="00E51347"/>
    <w:rsid w:val="00EE61A5"/>
    <w:rsid w:val="00F27208"/>
    <w:rsid w:val="00FA565E"/>
    <w:rsid w:val="00FF0B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9FA030E"/>
  <w15:docId w15:val="{64DD3C68-7113-4832-AE90-8139DA8B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fr-CA" w:eastAsia="en-CA"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uiPriority w:val="9"/>
    <w:qFormat/>
    <w:rsid w:val="00552CFB"/>
    <w:pPr>
      <w:keepNext/>
      <w:keepLines/>
      <w:spacing w:before="480" w:after="0"/>
      <w:outlineLvl w:val="0"/>
    </w:pPr>
    <w:rPr>
      <w:rFonts w:eastAsiaTheme="majorEastAsia" w:cstheme="majorBidi"/>
      <w:sz w:val="36"/>
      <w:szCs w:val="36"/>
    </w:rPr>
  </w:style>
  <w:style w:type="paragraph" w:styleId="Heading2">
    <w:name w:val="heading 2"/>
    <w:basedOn w:val="Normal"/>
    <w:next w:val="BodyText"/>
    <w:uiPriority w:val="9"/>
    <w:unhideWhenUsed/>
    <w:qFormat/>
    <w:rsid w:val="00552CFB"/>
    <w:pPr>
      <w:keepNext/>
      <w:keepLines/>
      <w:spacing w:before="200" w:after="0"/>
      <w:outlineLvl w:val="1"/>
    </w:pPr>
    <w:rPr>
      <w:rFonts w:eastAsiaTheme="majorEastAsia" w:cstheme="majorBidi"/>
      <w:b/>
      <w:bCs/>
      <w:sz w:val="32"/>
      <w:szCs w:val="32"/>
    </w:rPr>
  </w:style>
  <w:style w:type="paragraph" w:styleId="Heading3">
    <w:name w:val="heading 3"/>
    <w:basedOn w:val="Normal"/>
    <w:next w:val="BodyText"/>
    <w:uiPriority w:val="9"/>
    <w:unhideWhenUsed/>
    <w:qFormat/>
    <w:rsid w:val="00552CFB"/>
    <w:pPr>
      <w:keepNext/>
      <w:keepLines/>
      <w:spacing w:before="200" w:after="0"/>
      <w:outlineLvl w:val="2"/>
    </w:pPr>
    <w:rPr>
      <w:rFonts w:eastAsiaTheme="majorEastAsia" w:cstheme="majorBidi"/>
      <w:b/>
      <w:bCs/>
      <w:sz w:val="28"/>
      <w:szCs w:val="28"/>
    </w:rPr>
  </w:style>
  <w:style w:type="paragraph" w:styleId="Heading4">
    <w:name w:val="heading 4"/>
    <w:basedOn w:val="Normal"/>
    <w:next w:val="BodyText"/>
    <w:uiPriority w:val="9"/>
    <w:unhideWhenUsed/>
    <w:qFormat/>
    <w:rsid w:val="00C16BCF"/>
    <w:pPr>
      <w:keepNext/>
      <w:keepLines/>
      <w:spacing w:before="200" w:after="0"/>
      <w:outlineLvl w:val="3"/>
    </w:pPr>
    <w:rPr>
      <w:rFonts w:asciiTheme="majorHAnsi" w:eastAsiaTheme="majorEastAsia" w:hAnsiTheme="majorHAnsi" w:cstheme="majorBidi"/>
      <w:bCs/>
      <w:i/>
    </w:rPr>
  </w:style>
  <w:style w:type="paragraph" w:styleId="Heading5">
    <w:name w:val="heading 5"/>
    <w:basedOn w:val="Normal"/>
    <w:next w:val="BodyText"/>
    <w:uiPriority w:val="9"/>
    <w:semiHidden/>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semiHidden/>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uiPriority w:val="1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character" w:customStyle="1" w:styleId="CaptionChar">
    <w:name w:val="Caption Char"/>
    <w:basedOn w:val="DefaultParagraphFont"/>
    <w:link w:val="Caption"/>
    <w:qFormat/>
  </w:style>
  <w:style w:type="character" w:customStyle="1" w:styleId="VerbatimChar">
    <w:name w:val="Verbatim Char"/>
    <w:basedOn w:val="CaptionChar"/>
    <w:link w:val="SourceCode"/>
    <w:qFormat/>
    <w:rsid w:val="002C1F35"/>
    <w:rPr>
      <w:rFonts w:ascii="Consolas" w:hAnsi="Consolas"/>
      <w:sz w:val="22"/>
      <w:shd w:val="clear" w:color="auto" w:fill="EAEEF3"/>
    </w:rPr>
  </w:style>
  <w:style w:type="character" w:customStyle="1" w:styleId="SectionNumber">
    <w:name w:val="Section Number"/>
    <w:basedOn w:val="CaptionChar"/>
    <w:qFormat/>
  </w:style>
  <w:style w:type="character" w:customStyle="1" w:styleId="FootnoteCharacters">
    <w:name w:val="Footnote Characters"/>
    <w:basedOn w:val="CaptionChar"/>
    <w:qFormat/>
    <w:rPr>
      <w:vertAlign w:val="superscript"/>
    </w:rPr>
  </w:style>
  <w:style w:type="character" w:styleId="FootnoteReference">
    <w:name w:val="footnote reference"/>
    <w:rPr>
      <w:vertAlign w:val="superscript"/>
    </w:rPr>
  </w:style>
  <w:style w:type="character" w:styleId="Hyperlink">
    <w:name w:val="Hyperlink"/>
    <w:basedOn w:val="CaptionChar"/>
    <w:uiPriority w:val="99"/>
    <w:rPr>
      <w:color w:val="4F81BD" w:themeColor="accent1"/>
    </w:rPr>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qFormat/>
    <w:pPr>
      <w:spacing w:before="180" w:after="180"/>
    </w:pPr>
  </w:style>
  <w:style w:type="paragraph" w:styleId="List">
    <w:name w:val="List"/>
    <w:basedOn w:val="BodyText"/>
    <w:rPr>
      <w:rFonts w:cs="Arial Unicode MS"/>
    </w:rPr>
  </w:style>
  <w:style w:type="paragraph" w:styleId="Caption">
    <w:name w:val="caption"/>
    <w:basedOn w:val="Normal"/>
    <w:link w:val="CaptionChar"/>
    <w:qFormat/>
    <w:pPr>
      <w:spacing w:after="120"/>
    </w:pPr>
    <w:rPr>
      <w:i/>
    </w:rPr>
  </w:style>
  <w:style w:type="paragraph" w:customStyle="1" w:styleId="Index">
    <w:name w:val="Index"/>
    <w:basedOn w:val="Normal"/>
    <w:qFormat/>
    <w:pPr>
      <w:suppressLineNumbers/>
    </w:pPr>
    <w:rPr>
      <w:rFonts w:cs="Arial Unicode MS"/>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color w:val="335B8A"/>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Caption"/>
    <w:qFormat/>
    <w:pPr>
      <w:keepNext/>
    </w:pPr>
  </w:style>
  <w:style w:type="paragraph" w:customStyle="1" w:styleId="ImageCaption">
    <w:name w:val="Image Caption"/>
    <w:basedOn w:val="Caption"/>
    <w:qFormat/>
  </w:style>
  <w:style w:type="paragraph" w:customStyle="1" w:styleId="Figure">
    <w:name w:val="Figure"/>
    <w:basedOn w:val="Normal"/>
    <w:qFormat/>
  </w:style>
  <w:style w:type="paragraph" w:customStyle="1" w:styleId="CaptionedFigure">
    <w:name w:val="Captioned Figure"/>
    <w:basedOn w:val="Figure"/>
    <w:qFormat/>
    <w:pPr>
      <w:keepNext/>
    </w:pPr>
  </w:style>
  <w:style w:type="paragraph" w:styleId="IndexHeading">
    <w:name w:val="index heading"/>
    <w:basedOn w:val="Heading"/>
  </w:style>
  <w:style w:type="paragraph" w:styleId="TOCHeading">
    <w:name w:val="TOC Heading"/>
    <w:basedOn w:val="Heading1"/>
    <w:next w:val="BodyText"/>
    <w:uiPriority w:val="39"/>
    <w:unhideWhenUsed/>
    <w:qFormat/>
    <w:pPr>
      <w:spacing w:before="240" w:line="259" w:lineRule="auto"/>
      <w:outlineLvl w:val="9"/>
    </w:pPr>
    <w:rPr>
      <w:b/>
      <w:bCs/>
      <w:color w:val="365F91" w:themeColor="accent1" w:themeShade="BF"/>
    </w:rPr>
  </w:style>
  <w:style w:type="table" w:customStyle="1" w:styleId="Table">
    <w:name w:val="Table"/>
    <w:semiHidden/>
    <w:unhideWhenUsed/>
    <w:qFormat/>
    <w:rsid w:val="00820F26"/>
    <w:tblPr>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CellMar>
        <w:top w:w="108" w:type="dxa"/>
        <w:left w:w="108" w:type="dxa"/>
        <w:bottom w:w="108" w:type="dxa"/>
        <w:right w:w="108" w:type="dxa"/>
      </w:tblCellMar>
    </w:tblPr>
    <w:tcPr>
      <w:shd w:val="clear" w:color="auto" w:fill="auto"/>
    </w:tcPr>
    <w:tblStylePr w:type="firstRow">
      <w:tblPr/>
      <w:tcPr>
        <w:tcBorders>
          <w:bottom w:val="single" w:sz="0" w:space="0" w:color="auto"/>
        </w:tcBorders>
        <w:vAlign w:val="bottom"/>
      </w:tcPr>
    </w:tblStylePr>
  </w:style>
  <w:style w:type="paragraph" w:customStyle="1" w:styleId="SourceCode">
    <w:name w:val="Source Code"/>
    <w:basedOn w:val="Normal"/>
    <w:link w:val="VerbatimChar"/>
    <w:rsid w:val="002C1F35"/>
    <w:pPr>
      <w:shd w:val="clear" w:color="auto" w:fill="EAEEF3"/>
      <w:wordWrap w:val="0"/>
    </w:pPr>
    <w:rPr>
      <w:rFonts w:ascii="Consolas" w:hAnsi="Consolas"/>
      <w:sz w:val="22"/>
    </w:rPr>
  </w:style>
  <w:style w:type="character" w:customStyle="1" w:styleId="KeywordTok">
    <w:name w:val="KeywordTok"/>
    <w:basedOn w:val="VerbatimChar"/>
    <w:rPr>
      <w:rFonts w:ascii="Consolas" w:hAnsi="Consolas"/>
      <w:b/>
      <w:color w:val="007020"/>
      <w:sz w:val="22"/>
      <w:shd w:val="clear" w:color="auto" w:fill="EAEEF3"/>
    </w:rPr>
  </w:style>
  <w:style w:type="character" w:customStyle="1" w:styleId="DataTypeTok">
    <w:name w:val="DataTypeTok"/>
    <w:basedOn w:val="VerbatimChar"/>
    <w:rPr>
      <w:rFonts w:ascii="Consolas" w:hAnsi="Consolas"/>
      <w:color w:val="902000"/>
      <w:sz w:val="22"/>
      <w:shd w:val="clear" w:color="auto" w:fill="EAEEF3"/>
    </w:rPr>
  </w:style>
  <w:style w:type="character" w:customStyle="1" w:styleId="DecValTok">
    <w:name w:val="DecValTok"/>
    <w:basedOn w:val="VerbatimChar"/>
    <w:rPr>
      <w:rFonts w:ascii="Consolas" w:hAnsi="Consolas"/>
      <w:color w:val="40A070"/>
      <w:sz w:val="22"/>
      <w:shd w:val="clear" w:color="auto" w:fill="EAEEF3"/>
    </w:rPr>
  </w:style>
  <w:style w:type="character" w:customStyle="1" w:styleId="BaseNTok">
    <w:name w:val="BaseNTok"/>
    <w:basedOn w:val="VerbatimChar"/>
    <w:rPr>
      <w:rFonts w:ascii="Consolas" w:hAnsi="Consolas"/>
      <w:color w:val="40A070"/>
      <w:sz w:val="22"/>
      <w:shd w:val="clear" w:color="auto" w:fill="EAEEF3"/>
    </w:rPr>
  </w:style>
  <w:style w:type="character" w:customStyle="1" w:styleId="FloatTok">
    <w:name w:val="FloatTok"/>
    <w:basedOn w:val="VerbatimChar"/>
    <w:rPr>
      <w:rFonts w:ascii="Consolas" w:hAnsi="Consolas"/>
      <w:color w:val="40A070"/>
      <w:sz w:val="22"/>
      <w:shd w:val="clear" w:color="auto" w:fill="EAEEF3"/>
    </w:rPr>
  </w:style>
  <w:style w:type="character" w:customStyle="1" w:styleId="ConstantTok">
    <w:name w:val="ConstantTok"/>
    <w:basedOn w:val="VerbatimChar"/>
    <w:rPr>
      <w:rFonts w:ascii="Consolas" w:hAnsi="Consolas"/>
      <w:color w:val="880000"/>
      <w:sz w:val="22"/>
      <w:shd w:val="clear" w:color="auto" w:fill="EAEEF3"/>
    </w:rPr>
  </w:style>
  <w:style w:type="character" w:customStyle="1" w:styleId="CharTok">
    <w:name w:val="CharTok"/>
    <w:basedOn w:val="VerbatimChar"/>
    <w:rPr>
      <w:rFonts w:ascii="Consolas" w:hAnsi="Consolas"/>
      <w:color w:val="4070A0"/>
      <w:sz w:val="22"/>
      <w:shd w:val="clear" w:color="auto" w:fill="EAEEF3"/>
    </w:rPr>
  </w:style>
  <w:style w:type="character" w:customStyle="1" w:styleId="SpecialCharTok">
    <w:name w:val="SpecialCharTok"/>
    <w:basedOn w:val="VerbatimChar"/>
    <w:rPr>
      <w:rFonts w:ascii="Consolas" w:hAnsi="Consolas"/>
      <w:color w:val="4070A0"/>
      <w:sz w:val="22"/>
      <w:shd w:val="clear" w:color="auto" w:fill="EAEEF3"/>
    </w:rPr>
  </w:style>
  <w:style w:type="character" w:customStyle="1" w:styleId="StringTok">
    <w:name w:val="StringTok"/>
    <w:basedOn w:val="VerbatimChar"/>
    <w:rPr>
      <w:rFonts w:ascii="Consolas" w:hAnsi="Consolas"/>
      <w:color w:val="4070A0"/>
      <w:sz w:val="22"/>
      <w:shd w:val="clear" w:color="auto" w:fill="EAEEF3"/>
    </w:rPr>
  </w:style>
  <w:style w:type="character" w:customStyle="1" w:styleId="VerbatimStringTok">
    <w:name w:val="VerbatimStringTok"/>
    <w:basedOn w:val="VerbatimChar"/>
    <w:rPr>
      <w:rFonts w:ascii="Consolas" w:hAnsi="Consolas"/>
      <w:color w:val="4070A0"/>
      <w:sz w:val="22"/>
      <w:shd w:val="clear" w:color="auto" w:fill="EAEEF3"/>
    </w:rPr>
  </w:style>
  <w:style w:type="character" w:customStyle="1" w:styleId="SpecialStringTok">
    <w:name w:val="SpecialStringTok"/>
    <w:basedOn w:val="VerbatimChar"/>
    <w:rPr>
      <w:rFonts w:ascii="Consolas" w:hAnsi="Consolas"/>
      <w:color w:val="BB6688"/>
      <w:sz w:val="22"/>
      <w:shd w:val="clear" w:color="auto" w:fill="EAEEF3"/>
    </w:rPr>
  </w:style>
  <w:style w:type="character" w:customStyle="1" w:styleId="ImportTok">
    <w:name w:val="ImportTok"/>
    <w:basedOn w:val="VerbatimChar"/>
    <w:rPr>
      <w:rFonts w:ascii="Consolas" w:hAnsi="Consolas"/>
      <w:sz w:val="22"/>
      <w:shd w:val="clear" w:color="auto" w:fill="EAEEF3"/>
    </w:rPr>
  </w:style>
  <w:style w:type="character" w:customStyle="1" w:styleId="CommentTok">
    <w:name w:val="CommentTok"/>
    <w:basedOn w:val="VerbatimChar"/>
    <w:rPr>
      <w:rFonts w:ascii="Consolas" w:hAnsi="Consolas"/>
      <w:i/>
      <w:color w:val="60A0B0"/>
      <w:sz w:val="22"/>
      <w:shd w:val="clear" w:color="auto" w:fill="EAEEF3"/>
    </w:rPr>
  </w:style>
  <w:style w:type="character" w:customStyle="1" w:styleId="DocumentationTok">
    <w:name w:val="DocumentationTok"/>
    <w:basedOn w:val="VerbatimChar"/>
    <w:rPr>
      <w:rFonts w:ascii="Consolas" w:hAnsi="Consolas"/>
      <w:i/>
      <w:color w:val="BA2121"/>
      <w:sz w:val="22"/>
      <w:shd w:val="clear" w:color="auto" w:fill="EAEEF3"/>
    </w:rPr>
  </w:style>
  <w:style w:type="character" w:customStyle="1" w:styleId="AnnotationTok">
    <w:name w:val="AnnotationTok"/>
    <w:basedOn w:val="VerbatimChar"/>
    <w:rPr>
      <w:rFonts w:ascii="Consolas" w:hAnsi="Consolas"/>
      <w:b/>
      <w:i/>
      <w:color w:val="60A0B0"/>
      <w:sz w:val="22"/>
      <w:shd w:val="clear" w:color="auto" w:fill="EAEEF3"/>
    </w:rPr>
  </w:style>
  <w:style w:type="character" w:customStyle="1" w:styleId="CommentVarTok">
    <w:name w:val="CommentVarTok"/>
    <w:basedOn w:val="VerbatimChar"/>
    <w:rPr>
      <w:rFonts w:ascii="Consolas" w:hAnsi="Consolas"/>
      <w:b/>
      <w:i/>
      <w:color w:val="60A0B0"/>
      <w:sz w:val="22"/>
      <w:shd w:val="clear" w:color="auto" w:fill="EAEEF3"/>
    </w:rPr>
  </w:style>
  <w:style w:type="character" w:customStyle="1" w:styleId="OtherTok">
    <w:name w:val="OtherTok"/>
    <w:basedOn w:val="VerbatimChar"/>
    <w:rPr>
      <w:rFonts w:ascii="Consolas" w:hAnsi="Consolas"/>
      <w:color w:val="007020"/>
      <w:sz w:val="22"/>
      <w:shd w:val="clear" w:color="auto" w:fill="EAEEF3"/>
    </w:rPr>
  </w:style>
  <w:style w:type="character" w:customStyle="1" w:styleId="FunctionTok">
    <w:name w:val="FunctionTok"/>
    <w:basedOn w:val="VerbatimChar"/>
    <w:rPr>
      <w:rFonts w:ascii="Consolas" w:hAnsi="Consolas"/>
      <w:color w:val="06287E"/>
      <w:sz w:val="22"/>
      <w:shd w:val="clear" w:color="auto" w:fill="EAEEF3"/>
    </w:rPr>
  </w:style>
  <w:style w:type="character" w:customStyle="1" w:styleId="VariableTok">
    <w:name w:val="VariableTok"/>
    <w:basedOn w:val="VerbatimChar"/>
    <w:rPr>
      <w:rFonts w:ascii="Consolas" w:hAnsi="Consolas"/>
      <w:color w:val="19177C"/>
      <w:sz w:val="22"/>
      <w:shd w:val="clear" w:color="auto" w:fill="EAEEF3"/>
    </w:rPr>
  </w:style>
  <w:style w:type="character" w:customStyle="1" w:styleId="ControlFlowTok">
    <w:name w:val="ControlFlowTok"/>
    <w:basedOn w:val="VerbatimChar"/>
    <w:rPr>
      <w:rFonts w:ascii="Consolas" w:hAnsi="Consolas"/>
      <w:b/>
      <w:color w:val="007020"/>
      <w:sz w:val="22"/>
      <w:shd w:val="clear" w:color="auto" w:fill="EAEEF3"/>
    </w:rPr>
  </w:style>
  <w:style w:type="character" w:customStyle="1" w:styleId="OperatorTok">
    <w:name w:val="OperatorTok"/>
    <w:basedOn w:val="VerbatimChar"/>
    <w:rPr>
      <w:rFonts w:ascii="Consolas" w:hAnsi="Consolas"/>
      <w:color w:val="666666"/>
      <w:sz w:val="22"/>
      <w:shd w:val="clear" w:color="auto" w:fill="EAEEF3"/>
    </w:rPr>
  </w:style>
  <w:style w:type="character" w:customStyle="1" w:styleId="BuiltInTok">
    <w:name w:val="BuiltInTok"/>
    <w:basedOn w:val="VerbatimChar"/>
    <w:rPr>
      <w:rFonts w:ascii="Consolas" w:hAnsi="Consolas"/>
      <w:sz w:val="22"/>
      <w:shd w:val="clear" w:color="auto" w:fill="EAEEF3"/>
    </w:rPr>
  </w:style>
  <w:style w:type="character" w:customStyle="1" w:styleId="ExtensionTok">
    <w:name w:val="ExtensionTok"/>
    <w:basedOn w:val="VerbatimChar"/>
    <w:rPr>
      <w:rFonts w:ascii="Consolas" w:hAnsi="Consolas"/>
      <w:sz w:val="22"/>
      <w:shd w:val="clear" w:color="auto" w:fill="EAEEF3"/>
    </w:rPr>
  </w:style>
  <w:style w:type="character" w:customStyle="1" w:styleId="PreprocessorTok">
    <w:name w:val="PreprocessorTok"/>
    <w:basedOn w:val="VerbatimChar"/>
    <w:rPr>
      <w:rFonts w:ascii="Consolas" w:hAnsi="Consolas"/>
      <w:color w:val="BC7A00"/>
      <w:sz w:val="22"/>
      <w:shd w:val="clear" w:color="auto" w:fill="EAEEF3"/>
    </w:rPr>
  </w:style>
  <w:style w:type="character" w:customStyle="1" w:styleId="AttributeTok">
    <w:name w:val="AttributeTok"/>
    <w:basedOn w:val="VerbatimChar"/>
    <w:rPr>
      <w:rFonts w:ascii="Consolas" w:hAnsi="Consolas"/>
      <w:color w:val="7D9029"/>
      <w:sz w:val="22"/>
      <w:shd w:val="clear" w:color="auto" w:fill="EAEEF3"/>
    </w:rPr>
  </w:style>
  <w:style w:type="character" w:customStyle="1" w:styleId="RegionMarkerTok">
    <w:name w:val="RegionMarkerTok"/>
    <w:basedOn w:val="VerbatimChar"/>
    <w:rPr>
      <w:rFonts w:ascii="Consolas" w:hAnsi="Consolas"/>
      <w:sz w:val="22"/>
      <w:shd w:val="clear" w:color="auto" w:fill="EAEEF3"/>
    </w:rPr>
  </w:style>
  <w:style w:type="character" w:customStyle="1" w:styleId="InformationTok">
    <w:name w:val="InformationTok"/>
    <w:basedOn w:val="VerbatimChar"/>
    <w:rPr>
      <w:rFonts w:ascii="Consolas" w:hAnsi="Consolas"/>
      <w:b/>
      <w:i/>
      <w:color w:val="60A0B0"/>
      <w:sz w:val="22"/>
      <w:shd w:val="clear" w:color="auto" w:fill="EAEEF3"/>
    </w:rPr>
  </w:style>
  <w:style w:type="character" w:customStyle="1" w:styleId="WarningTok">
    <w:name w:val="WarningTok"/>
    <w:basedOn w:val="VerbatimChar"/>
    <w:rPr>
      <w:rFonts w:ascii="Consolas" w:hAnsi="Consolas"/>
      <w:b/>
      <w:i/>
      <w:color w:val="60A0B0"/>
      <w:sz w:val="22"/>
      <w:shd w:val="clear" w:color="auto" w:fill="EAEEF3"/>
    </w:rPr>
  </w:style>
  <w:style w:type="character" w:customStyle="1" w:styleId="AlertTok">
    <w:name w:val="AlertTok"/>
    <w:basedOn w:val="VerbatimChar"/>
    <w:rPr>
      <w:rFonts w:ascii="Consolas" w:hAnsi="Consolas"/>
      <w:b/>
      <w:color w:val="FF0000"/>
      <w:sz w:val="22"/>
      <w:shd w:val="clear" w:color="auto" w:fill="EAEEF3"/>
    </w:rPr>
  </w:style>
  <w:style w:type="character" w:customStyle="1" w:styleId="ErrorTok">
    <w:name w:val="ErrorTok"/>
    <w:basedOn w:val="VerbatimChar"/>
    <w:rPr>
      <w:rFonts w:ascii="Consolas" w:hAnsi="Consolas"/>
      <w:b/>
      <w:color w:val="FF0000"/>
      <w:sz w:val="22"/>
      <w:shd w:val="clear" w:color="auto" w:fill="EAEEF3"/>
    </w:rPr>
  </w:style>
  <w:style w:type="character" w:customStyle="1" w:styleId="NormalTok">
    <w:name w:val="NormalTok"/>
    <w:basedOn w:val="VerbatimChar"/>
    <w:rPr>
      <w:rFonts w:ascii="Consolas" w:hAnsi="Consolas"/>
      <w:sz w:val="22"/>
      <w:shd w:val="clear" w:color="auto" w:fill="EAEEF3"/>
    </w:rPr>
  </w:style>
  <w:style w:type="table" w:styleId="TableGrid">
    <w:name w:val="Table Grid"/>
    <w:basedOn w:val="TableNormal"/>
    <w:rsid w:val="00026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A9F"/>
    <w:pPr>
      <w:tabs>
        <w:tab w:val="center" w:pos="4680"/>
        <w:tab w:val="right" w:pos="9360"/>
      </w:tabs>
      <w:spacing w:after="0"/>
    </w:pPr>
  </w:style>
  <w:style w:type="character" w:customStyle="1" w:styleId="HeaderChar">
    <w:name w:val="Header Char"/>
    <w:basedOn w:val="DefaultParagraphFont"/>
    <w:link w:val="Header"/>
    <w:uiPriority w:val="99"/>
    <w:rsid w:val="00820A9F"/>
  </w:style>
  <w:style w:type="paragraph" w:styleId="Footer">
    <w:name w:val="footer"/>
    <w:basedOn w:val="Normal"/>
    <w:link w:val="FooterChar"/>
    <w:uiPriority w:val="99"/>
    <w:unhideWhenUsed/>
    <w:rsid w:val="00820A9F"/>
    <w:pPr>
      <w:tabs>
        <w:tab w:val="center" w:pos="4680"/>
        <w:tab w:val="right" w:pos="9360"/>
      </w:tabs>
      <w:spacing w:after="0"/>
    </w:pPr>
  </w:style>
  <w:style w:type="character" w:customStyle="1" w:styleId="FooterChar">
    <w:name w:val="Footer Char"/>
    <w:basedOn w:val="DefaultParagraphFont"/>
    <w:link w:val="Footer"/>
    <w:uiPriority w:val="99"/>
    <w:rsid w:val="00820A9F"/>
  </w:style>
  <w:style w:type="table" w:customStyle="1" w:styleId="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
    <w:basedOn w:val="TableNormal"/>
    <w:tblPr>
      <w:tblStyleRowBandSize w:val="1"/>
      <w:tblStyleColBandSize w:val="1"/>
      <w:tblCellMar>
        <w:top w:w="28" w:type="dxa"/>
        <w:left w:w="115" w:type="dxa"/>
        <w:bottom w:w="28" w:type="dxa"/>
        <w:right w:w="115" w:type="dxa"/>
      </w:tblCellMar>
    </w:tblPr>
    <w:tcPr>
      <w:shd w:val="clear" w:color="auto" w:fill="auto"/>
    </w:tcPr>
    <w:tblStylePr w:type="firstRow">
      <w:tblPr/>
      <w:tcPr>
        <w:tcBorders>
          <w:bottom w:val="nil"/>
        </w:tcBorders>
        <w:vAlign w:val="bottom"/>
      </w:tcPr>
    </w:tblStylePr>
  </w:style>
  <w:style w:type="table" w:customStyle="1" w:styleId="affff0">
    <w:basedOn w:val="TableNormal"/>
    <w:tblPr>
      <w:tblStyleRowBandSize w:val="1"/>
      <w:tblStyleColBandSize w:val="1"/>
      <w:tblCellMar>
        <w:top w:w="28" w:type="dxa"/>
        <w:left w:w="115" w:type="dxa"/>
        <w:bottom w:w="28" w:type="dxa"/>
        <w:right w:w="115" w:type="dxa"/>
      </w:tblCellMar>
    </w:tblPr>
    <w:tcPr>
      <w:shd w:val="clear" w:color="auto" w:fill="auto"/>
    </w:tcPr>
    <w:tblStylePr w:type="firstRow">
      <w:tblPr/>
      <w:tcPr>
        <w:tcBorders>
          <w:bottom w:val="nil"/>
        </w:tcBorders>
        <w:vAlign w:val="bottom"/>
      </w:tcPr>
    </w:tblStylePr>
  </w:style>
  <w:style w:type="table" w:customStyle="1" w:styleId="a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0">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1">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2">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3">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4">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5">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6">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7">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8">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9">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a">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b">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c">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d">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table" w:customStyle="1" w:styleId="afffffffffffffffffffe">
    <w:basedOn w:val="TableNormal"/>
    <w:tblPr>
      <w:tblStyleRowBandSize w:val="1"/>
      <w:tblStyleColBandSize w:val="1"/>
      <w:tblCellMar>
        <w:left w:w="115" w:type="dxa"/>
        <w:right w:w="115" w:type="dxa"/>
      </w:tblCellMar>
    </w:tblPr>
    <w:tcPr>
      <w:shd w:val="clear" w:color="auto" w:fill="auto"/>
    </w:tcPr>
    <w:tblStylePr w:type="firstRow">
      <w:tblPr/>
      <w:tcPr>
        <w:tcBorders>
          <w:bottom w:val="nil"/>
        </w:tcBorders>
        <w:vAlign w:val="bottom"/>
      </w:tcPr>
    </w:tblStylePr>
  </w:style>
  <w:style w:type="paragraph" w:styleId="NormalWeb">
    <w:name w:val="Normal (Web)"/>
    <w:basedOn w:val="Normal"/>
    <w:uiPriority w:val="99"/>
    <w:unhideWhenUsed/>
    <w:rsid w:val="00EE61A5"/>
    <w:pPr>
      <w:spacing w:before="100" w:beforeAutospacing="1" w:after="100" w:afterAutospacing="1"/>
    </w:pPr>
    <w:rPr>
      <w:rFonts w:ascii="Times New Roman" w:eastAsia="Times New Roman" w:hAnsi="Times New Roman" w:cs="Times New Roman"/>
      <w:lang w:val="en-CA"/>
    </w:rPr>
  </w:style>
  <w:style w:type="character" w:customStyle="1" w:styleId="apple-tab-span">
    <w:name w:val="apple-tab-span"/>
    <w:basedOn w:val="DefaultParagraphFont"/>
    <w:rsid w:val="00EE61A5"/>
  </w:style>
  <w:style w:type="paragraph" w:styleId="TOC1">
    <w:name w:val="toc 1"/>
    <w:basedOn w:val="Normal"/>
    <w:next w:val="Normal"/>
    <w:autoRedefine/>
    <w:uiPriority w:val="39"/>
    <w:unhideWhenUsed/>
    <w:rsid w:val="00EE61A5"/>
    <w:pPr>
      <w:spacing w:after="100"/>
    </w:pPr>
  </w:style>
  <w:style w:type="paragraph" w:styleId="TOC3">
    <w:name w:val="toc 3"/>
    <w:basedOn w:val="Normal"/>
    <w:next w:val="Normal"/>
    <w:autoRedefine/>
    <w:uiPriority w:val="39"/>
    <w:unhideWhenUsed/>
    <w:rsid w:val="00EE61A5"/>
    <w:pPr>
      <w:spacing w:after="100"/>
      <w:ind w:left="480"/>
    </w:pPr>
  </w:style>
  <w:style w:type="paragraph" w:styleId="TOC2">
    <w:name w:val="toc 2"/>
    <w:basedOn w:val="Normal"/>
    <w:next w:val="Normal"/>
    <w:autoRedefine/>
    <w:uiPriority w:val="39"/>
    <w:unhideWhenUsed/>
    <w:rsid w:val="00EE61A5"/>
    <w:pPr>
      <w:spacing w:after="100"/>
      <w:ind w:left="240"/>
    </w:pPr>
  </w:style>
  <w:style w:type="paragraph" w:styleId="TOC4">
    <w:name w:val="toc 4"/>
    <w:basedOn w:val="Normal"/>
    <w:next w:val="Normal"/>
    <w:autoRedefine/>
    <w:uiPriority w:val="39"/>
    <w:unhideWhenUsed/>
    <w:rsid w:val="00EE61A5"/>
    <w:pPr>
      <w:spacing w:after="100" w:line="259" w:lineRule="auto"/>
      <w:ind w:left="660"/>
    </w:pPr>
    <w:rPr>
      <w:rFonts w:asciiTheme="minorHAnsi" w:eastAsiaTheme="minorEastAsia" w:hAnsiTheme="minorHAnsi" w:cstheme="minorBidi"/>
      <w:kern w:val="2"/>
      <w:sz w:val="22"/>
      <w:szCs w:val="22"/>
      <w:lang w:val="en-CA"/>
      <w14:ligatures w14:val="standardContextual"/>
    </w:rPr>
  </w:style>
  <w:style w:type="paragraph" w:styleId="TOC5">
    <w:name w:val="toc 5"/>
    <w:basedOn w:val="Normal"/>
    <w:next w:val="Normal"/>
    <w:autoRedefine/>
    <w:uiPriority w:val="39"/>
    <w:unhideWhenUsed/>
    <w:rsid w:val="00EE61A5"/>
    <w:pPr>
      <w:spacing w:after="100" w:line="259" w:lineRule="auto"/>
      <w:ind w:left="880"/>
    </w:pPr>
    <w:rPr>
      <w:rFonts w:asciiTheme="minorHAnsi" w:eastAsiaTheme="minorEastAsia" w:hAnsiTheme="minorHAnsi" w:cstheme="minorBidi"/>
      <w:kern w:val="2"/>
      <w:sz w:val="22"/>
      <w:szCs w:val="22"/>
      <w:lang w:val="en-CA"/>
      <w14:ligatures w14:val="standardContextual"/>
    </w:rPr>
  </w:style>
  <w:style w:type="paragraph" w:styleId="TOC6">
    <w:name w:val="toc 6"/>
    <w:basedOn w:val="Normal"/>
    <w:next w:val="Normal"/>
    <w:autoRedefine/>
    <w:uiPriority w:val="39"/>
    <w:unhideWhenUsed/>
    <w:rsid w:val="00EE61A5"/>
    <w:pPr>
      <w:spacing w:after="100" w:line="259" w:lineRule="auto"/>
      <w:ind w:left="1100"/>
    </w:pPr>
    <w:rPr>
      <w:rFonts w:asciiTheme="minorHAnsi" w:eastAsiaTheme="minorEastAsia" w:hAnsiTheme="minorHAnsi" w:cstheme="minorBidi"/>
      <w:kern w:val="2"/>
      <w:sz w:val="22"/>
      <w:szCs w:val="22"/>
      <w:lang w:val="en-CA"/>
      <w14:ligatures w14:val="standardContextual"/>
    </w:rPr>
  </w:style>
  <w:style w:type="paragraph" w:styleId="TOC7">
    <w:name w:val="toc 7"/>
    <w:basedOn w:val="Normal"/>
    <w:next w:val="Normal"/>
    <w:autoRedefine/>
    <w:uiPriority w:val="39"/>
    <w:unhideWhenUsed/>
    <w:rsid w:val="00EE61A5"/>
    <w:pPr>
      <w:spacing w:after="100" w:line="259" w:lineRule="auto"/>
      <w:ind w:left="1320"/>
    </w:pPr>
    <w:rPr>
      <w:rFonts w:asciiTheme="minorHAnsi" w:eastAsiaTheme="minorEastAsia" w:hAnsiTheme="minorHAnsi" w:cstheme="minorBidi"/>
      <w:kern w:val="2"/>
      <w:sz w:val="22"/>
      <w:szCs w:val="22"/>
      <w:lang w:val="en-CA"/>
      <w14:ligatures w14:val="standardContextual"/>
    </w:rPr>
  </w:style>
  <w:style w:type="paragraph" w:styleId="TOC8">
    <w:name w:val="toc 8"/>
    <w:basedOn w:val="Normal"/>
    <w:next w:val="Normal"/>
    <w:autoRedefine/>
    <w:uiPriority w:val="39"/>
    <w:unhideWhenUsed/>
    <w:rsid w:val="00EE61A5"/>
    <w:pPr>
      <w:spacing w:after="100" w:line="259" w:lineRule="auto"/>
      <w:ind w:left="1540"/>
    </w:pPr>
    <w:rPr>
      <w:rFonts w:asciiTheme="minorHAnsi" w:eastAsiaTheme="minorEastAsia" w:hAnsiTheme="minorHAnsi" w:cstheme="minorBidi"/>
      <w:kern w:val="2"/>
      <w:sz w:val="22"/>
      <w:szCs w:val="22"/>
      <w:lang w:val="en-CA"/>
      <w14:ligatures w14:val="standardContextual"/>
    </w:rPr>
  </w:style>
  <w:style w:type="paragraph" w:styleId="TOC9">
    <w:name w:val="toc 9"/>
    <w:basedOn w:val="Normal"/>
    <w:next w:val="Normal"/>
    <w:autoRedefine/>
    <w:uiPriority w:val="39"/>
    <w:unhideWhenUsed/>
    <w:rsid w:val="00EE61A5"/>
    <w:pPr>
      <w:spacing w:after="100" w:line="259" w:lineRule="auto"/>
      <w:ind w:left="1760"/>
    </w:pPr>
    <w:rPr>
      <w:rFonts w:asciiTheme="minorHAnsi" w:eastAsiaTheme="minorEastAsia" w:hAnsiTheme="minorHAnsi" w:cstheme="minorBidi"/>
      <w:kern w:val="2"/>
      <w:sz w:val="22"/>
      <w:szCs w:val="22"/>
      <w:lang w:val="en-CA"/>
      <w14:ligatures w14:val="standardContextual"/>
    </w:rPr>
  </w:style>
  <w:style w:type="character" w:styleId="UnresolvedMention">
    <w:name w:val="Unresolved Mention"/>
    <w:basedOn w:val="DefaultParagraphFont"/>
    <w:uiPriority w:val="99"/>
    <w:semiHidden/>
    <w:unhideWhenUsed/>
    <w:rsid w:val="00EE61A5"/>
    <w:rPr>
      <w:color w:val="605E5C"/>
      <w:shd w:val="clear" w:color="auto" w:fill="E1DFDD"/>
    </w:rPr>
  </w:style>
  <w:style w:type="paragraph" w:styleId="ListParagraph">
    <w:name w:val="List Paragraph"/>
    <w:basedOn w:val="Normal"/>
    <w:uiPriority w:val="34"/>
    <w:qFormat/>
    <w:rsid w:val="00D217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033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hin-rcip.github.io/cidoc_crm_fr/v7.1/information/terminologie" TargetMode="External"/><Relationship Id="rId21" Type="http://schemas.openxmlformats.org/officeDocument/2006/relationships/hyperlink" Target="https://chin-rcip.github.io/cidoc_crm_fr/v7.1/information/terminologie" TargetMode="External"/><Relationship Id="rId324" Type="http://schemas.openxmlformats.org/officeDocument/2006/relationships/hyperlink" Target="https://chin-rcip.github.io/cidoc_crm_fr/v7.1/information/terminologie" TargetMode="External"/><Relationship Id="rId531" Type="http://schemas.openxmlformats.org/officeDocument/2006/relationships/hyperlink" Target="https://www.btb.termiumplus.gc.ca/tpv2alpha/alpha-eng.html?lang=eng&amp;i=1&amp;srchtxt=INFORMATION+SYSTEM&amp;index=ent&amp;codom2nd_wet=1" TargetMode="External"/><Relationship Id="rId170" Type="http://schemas.openxmlformats.org/officeDocument/2006/relationships/hyperlink" Target="https://chin-rcip.github.io/cidoc_crm_fr/v7.1/information/terminologie" TargetMode="External"/><Relationship Id="rId268" Type="http://schemas.openxmlformats.org/officeDocument/2006/relationships/hyperlink" Target="https://chin-rcip.github.io/cidoc_crm_fr/v7.1/information/terminologie" TargetMode="External"/><Relationship Id="rId475" Type="http://schemas.openxmlformats.org/officeDocument/2006/relationships/hyperlink" Target="https://doi.org/10.1609/aimag.v24i3.1720" TargetMode="External"/><Relationship Id="rId32" Type="http://schemas.openxmlformats.org/officeDocument/2006/relationships/hyperlink" Target="https://chin-rcip.github.io/cidoc_crm_fr/v7.1/information/terminologie" TargetMode="External"/><Relationship Id="rId128" Type="http://schemas.openxmlformats.org/officeDocument/2006/relationships/hyperlink" Target="https://chin-rcip.github.io/cidoc_crm_fr/v7.1/information/principes-de-modelisation" TargetMode="External"/><Relationship Id="rId335" Type="http://schemas.openxmlformats.org/officeDocument/2006/relationships/hyperlink" Target="https://chin-rcip.github.io/cidoc_crm_fr/v7.1/information/terminologie" TargetMode="External"/><Relationship Id="rId542" Type="http://schemas.openxmlformats.org/officeDocument/2006/relationships/hyperlink" Target="https://utpictura18.univ-amu.fr/notice/4226-farinelli-amis-amigoni" TargetMode="External"/><Relationship Id="rId181" Type="http://schemas.openxmlformats.org/officeDocument/2006/relationships/hyperlink" Target="https://chin-rcip.github.io/cidoc_crm_fr/v7.1/information/terminologie" TargetMode="External"/><Relationship Id="rId402"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279" Type="http://schemas.openxmlformats.org/officeDocument/2006/relationships/hyperlink" Target="https://chin-rcip.github.io/cidoc_crm_fr/v7.1/information/terminologie" TargetMode="External"/><Relationship Id="rId486" Type="http://schemas.openxmlformats.org/officeDocument/2006/relationships/hyperlink" Target="https://doi.org/10.1111/AN.445" TargetMode="External"/><Relationship Id="rId43" Type="http://schemas.openxmlformats.org/officeDocument/2006/relationships/hyperlink" Target="https://chin-rcip.github.io/cidoc_crm_fr/v7.1/information/terminologie" TargetMode="External"/><Relationship Id="rId139" Type="http://schemas.openxmlformats.org/officeDocument/2006/relationships/hyperlink" Target="https://chin-rcip.github.io/cidoc_crm_fr/v7.1/information/terminologie" TargetMode="External"/><Relationship Id="rId346" Type="http://schemas.openxmlformats.org/officeDocument/2006/relationships/hyperlink" Target="https://chin-rcip.github.io/cidoc_crm_fr/v7.1/information/principes-de-modelisation" TargetMode="External"/><Relationship Id="rId553" Type="http://schemas.openxmlformats.org/officeDocument/2006/relationships/hyperlink" Target="https://fr.wikipedia.org/w/index.php?title=Expositions_des_vestiges_arch%C3%A9ologiques_provenant_de_la_tombe_de_Tout%C3%A2nkhamon&amp;oldid=179392035" TargetMode="External"/><Relationship Id="rId192" Type="http://schemas.openxmlformats.org/officeDocument/2006/relationships/hyperlink" Target="https://chin-rcip.github.io/cidoc_crm_fr/v7.1/information/terminologie" TargetMode="External"/><Relationship Id="rId206" Type="http://schemas.openxmlformats.org/officeDocument/2006/relationships/hyperlink" Target="https://chin-rcip.github.io/cidoc_crm_fr/v7.1/information/terminologie" TargetMode="External"/><Relationship Id="rId413" Type="http://schemas.openxmlformats.org/officeDocument/2006/relationships/hyperlink" Target="https://www.cbbag.ca/resources/Public/Book%20Arts%20ENG%20FRE%20Translation.pdf" TargetMode="External"/><Relationship Id="rId497" Type="http://schemas.openxmlformats.org/officeDocument/2006/relationships/hyperlink" Target="http://www.opikanoba.org/tr/w3c/webarch/" TargetMode="External"/><Relationship Id="rId357" Type="http://schemas.openxmlformats.org/officeDocument/2006/relationships/hyperlink" Target="https://chin-rcip.github.io/cidoc_crm_fr/v7.1/information/application-formelle" TargetMode="External"/><Relationship Id="rId54" Type="http://schemas.openxmlformats.org/officeDocument/2006/relationships/hyperlink" Target="https://chin-rcip.github.io/cidoc_crm_fr/v7.1/information/terminologie" TargetMode="External"/><Relationship Id="rId217" Type="http://schemas.openxmlformats.org/officeDocument/2006/relationships/hyperlink" Target="https://chin-rcip.github.io/cidoc_crm_fr/v7.1/information/terminologie" TargetMode="External"/><Relationship Id="rId564" Type="http://schemas.openxmlformats.org/officeDocument/2006/relationships/hyperlink" Target="https://en.wikipedia.org/w/index.php?title=Groschen&amp;oldid=1153418826" TargetMode="External"/><Relationship Id="rId424" Type="http://schemas.openxmlformats.org/officeDocument/2006/relationships/hyperlink" Target="https://utpictura18.univ-amu.fr/notice/4226-farinelli-amis-amigoni" TargetMode="External"/><Relationship Id="rId270" Type="http://schemas.openxmlformats.org/officeDocument/2006/relationships/hyperlink" Target="https://www.btb.termiumplus.gc.ca/tpv2alpha/alpha-eng.html?lang=eng&amp;i=1&amp;index=frt&amp;srchtxt=CONVENTION%20APPELLATION%20COURRIELS" TargetMode="External"/><Relationship Id="rId65" Type="http://schemas.openxmlformats.org/officeDocument/2006/relationships/hyperlink" Target="https://www.w3.org/RDF/" TargetMode="External"/><Relationship Id="rId130" Type="http://schemas.openxmlformats.org/officeDocument/2006/relationships/hyperlink" Target="https://fr.wikipedia.org/w/index.php?title=Monotonie&amp;oldid=134697868" TargetMode="External"/><Relationship Id="rId368" Type="http://schemas.openxmlformats.org/officeDocument/2006/relationships/hyperlink" Target="http://www.cidoc-crm.org/crmgeo/home-5" TargetMode="External"/><Relationship Id="rId575" Type="http://schemas.openxmlformats.org/officeDocument/2006/relationships/header" Target="header2.xml"/><Relationship Id="rId228" Type="http://schemas.openxmlformats.org/officeDocument/2006/relationships/hyperlink" Target="https://chin-rcip.github.io/cidoc_crm_fr/v7.1/information/terminologie" TargetMode="External"/><Relationship Id="rId435" Type="http://schemas.openxmlformats.org/officeDocument/2006/relationships/hyperlink" Target="https://fr.wikipedia.org/wiki/Alg%C3%A8bre_des_intervalles_d%27Allen" TargetMode="External"/><Relationship Id="rId281" Type="http://schemas.openxmlformats.org/officeDocument/2006/relationships/hyperlink" Target="https://chin-rcip.github.io/cidoc_crm_fr/v7.1/information/terminologie" TargetMode="External"/><Relationship Id="rId502" Type="http://schemas.openxmlformats.org/officeDocument/2006/relationships/hyperlink" Target="https://www.loc.gov/item/00279380435-ms" TargetMode="External"/><Relationship Id="rId34" Type="http://schemas.openxmlformats.org/officeDocument/2006/relationships/hyperlink" Target="https://chin-rcip.github.io/cidoc_crm_fr/v7.1/information/terminologie" TargetMode="External"/><Relationship Id="rId76" Type="http://schemas.openxmlformats.org/officeDocument/2006/relationships/hyperlink" Target="https://chin-rcip.github.io/cidoc_crm_fr/v7.1/information/terminologie" TargetMode="External"/><Relationship Id="rId141" Type="http://schemas.openxmlformats.org/officeDocument/2006/relationships/hyperlink" Target="https://chin-rcip.github.io/cidoc_crm_fr/v7.1/information/terminologie" TargetMode="External"/><Relationship Id="rId379" Type="http://schemas.openxmlformats.org/officeDocument/2006/relationships/hyperlink" Target="https://www.loc.gov/item/00279380435-ms" TargetMode="External"/><Relationship Id="rId544" Type="http://schemas.openxmlformats.org/officeDocument/2006/relationships/hyperlink" Target="https://fr.wikipedia.org/w/index.php?title=Monotonie&amp;oldid=134697868" TargetMode="External"/><Relationship Id="rId7" Type="http://schemas.openxmlformats.org/officeDocument/2006/relationships/footnotes" Target="footnotes.xml"/><Relationship Id="rId183" Type="http://schemas.openxmlformats.org/officeDocument/2006/relationships/hyperlink" Target="https://chin-rcip.github.io/cidoc_crm_fr/v7.1/information/terminologie" TargetMode="External"/><Relationship Id="rId239" Type="http://schemas.openxmlformats.org/officeDocument/2006/relationships/hyperlink" Target="https://chin-rcip.github.io/cidoc_crm_fr/v7.1/information/terminologie" TargetMode="External"/><Relationship Id="rId390" Type="http://schemas.openxmlformats.org/officeDocument/2006/relationships/hyperlink" Target="http://www.cidoc-crm.org/crmgeo/home-5" TargetMode="External"/><Relationship Id="rId404" Type="http://schemas.openxmlformats.org/officeDocument/2006/relationships/hyperlink" Target="https://www.btb.termiumplus.gc.ca/tpv2alpha/alpha-fra.html?lang=fra&amp;i=1&amp;srchtxt=contiguous&amp;codom2nd_wet=1" TargetMode="External"/><Relationship Id="rId446" Type="http://schemas.openxmlformats.org/officeDocument/2006/relationships/hyperlink" Target="https://fr.wikipedia.org/wiki/Alg%C3%A8bre_des_intervalles_d%27Allen" TargetMode="External"/><Relationship Id="rId250" Type="http://schemas.openxmlformats.org/officeDocument/2006/relationships/hyperlink" Target="https://chin-rcip.github.io/cidoc_crm_fr/v7.1/information/terminologie" TargetMode="External"/><Relationship Id="rId292" Type="http://schemas.openxmlformats.org/officeDocument/2006/relationships/hyperlink" Target="https://chin-rcip.github.io/cidoc_crm_fr/v7.1/information/terminologie" TargetMode="External"/><Relationship Id="rId306" Type="http://schemas.openxmlformats.org/officeDocument/2006/relationships/hyperlink" Target="https://chin-rcip.github.io/cidoc_crm_fr/v7.1/information/terminologie" TargetMode="External"/><Relationship Id="rId488" Type="http://schemas.openxmlformats.org/officeDocument/2006/relationships/hyperlink" Target="https://www.britannica.com/topic/adoration-of-the-shepherds-religious-motif" TargetMode="External"/><Relationship Id="rId45" Type="http://schemas.openxmlformats.org/officeDocument/2006/relationships/hyperlink" Target="https://chin-rcip.github.io/cidoc_crm_fr/v7.1/information/terminologie" TargetMode="External"/><Relationship Id="rId87" Type="http://schemas.openxmlformats.org/officeDocument/2006/relationships/hyperlink" Target="https://chin-rcip.github.io/cidoc_crm_fr/v7.1/information/terminologie" TargetMode="External"/><Relationship Id="rId110" Type="http://schemas.openxmlformats.org/officeDocument/2006/relationships/hyperlink" Target="https://chin-rcip.github.io/cidoc_crm_fr/v7.1/information/terminologie" TargetMode="External"/><Relationship Id="rId348" Type="http://schemas.openxmlformats.org/officeDocument/2006/relationships/image" Target="media/image1.png"/><Relationship Id="rId513" Type="http://schemas.openxmlformats.org/officeDocument/2006/relationships/hyperlink" Target="https://vitrinelinguistique.oqlf.gouv.qc.ca/21242/la-typographie/nombres/ecriture-des-dates-et-des-heures-dans-les-lettres-et-les-textes-courants" TargetMode="External"/><Relationship Id="rId555" Type="http://schemas.openxmlformats.org/officeDocument/2006/relationships/hyperlink" Target="https://fr.wikipedia.org/w/index.php?title=United_Press_International&amp;oldid=182934531" TargetMode="External"/><Relationship Id="rId152" Type="http://schemas.openxmlformats.org/officeDocument/2006/relationships/hyperlink" Target="https://www.lri.fr/~groz/documents/rapport.pdf" TargetMode="External"/><Relationship Id="rId194" Type="http://schemas.openxmlformats.org/officeDocument/2006/relationships/hyperlink" Target="https://chin-rcip.github.io/cidoc_crm_fr/v7.1/information/terminologie" TargetMode="External"/><Relationship Id="rId208" Type="http://schemas.openxmlformats.org/officeDocument/2006/relationships/hyperlink" Target="https://www.btb.termiumplus.gc.ca/tpv2alpha/alpha-fra.html?lang=fra&amp;i=1&amp;srchtxt=fan-out&amp;index=ent&amp;codom2nd_wet=1" TargetMode="External"/><Relationship Id="rId415" Type="http://schemas.openxmlformats.org/officeDocument/2006/relationships/hyperlink" Target="https://fr.wikipedia.org/w/index.php?title=Trois_Glorieuses&amp;oldid=203438591" TargetMode="External"/><Relationship Id="rId457" Type="http://schemas.openxmlformats.org/officeDocument/2006/relationships/hyperlink" Target="http://archives2.getty.edu:8082/xtf/view?docId=ead/2003.M.46/2003.M.46.xml;chunk.id" TargetMode="External"/><Relationship Id="rId261" Type="http://schemas.openxmlformats.org/officeDocument/2006/relationships/hyperlink" Target="https://chin-rcip.github.io/cidoc_crm_fr/v7.1/information/terminologie" TargetMode="External"/><Relationship Id="rId499" Type="http://schemas.openxmlformats.org/officeDocument/2006/relationships/hyperlink" Target="https://www.cnrtl.fr/definition/p%C3%A9rissement" TargetMode="External"/><Relationship Id="rId14" Type="http://schemas.openxmlformats.org/officeDocument/2006/relationships/hyperlink" Target="https://www.btb.termiumplus.gc.ca/tpv2alpha/alpha-fra.html?lang=fra&amp;i=1&amp;srchtxt=construct&amp;index=ent&amp;codom2nd_wet=1" TargetMode="External"/><Relationship Id="rId56" Type="http://schemas.openxmlformats.org/officeDocument/2006/relationships/hyperlink" Target="https://chin-rcip.github.io/cidoc_crm_fr/v7.1/information/terminologie" TargetMode="External"/><Relationship Id="rId317" Type="http://schemas.openxmlformats.org/officeDocument/2006/relationships/hyperlink" Target="https://chin-rcip.github.io/cidoc_crm_fr/v7.1/information/terminologie" TargetMode="External"/><Relationship Id="rId359" Type="http://schemas.openxmlformats.org/officeDocument/2006/relationships/hyperlink" Target="https://chin-rcip.github.io/cidoc_crm_fr/v7.1/information/terminologie" TargetMode="External"/><Relationship Id="rId524" Type="http://schemas.openxmlformats.org/officeDocument/2006/relationships/hyperlink" Target="https://www.btb.termiumplus.gc.ca/tpv2alpha/alpha-fra.html?lang=fra&amp;i=1&amp;srchtxt=containment&amp;index=ent&amp;codom2nd_wet=1" TargetMode="External"/><Relationship Id="rId566" Type="http://schemas.openxmlformats.org/officeDocument/2006/relationships/hyperlink" Target="https://chin-rcip.github.io/cidoc_crm_fr/v7.1/annexe" TargetMode="External"/><Relationship Id="rId98" Type="http://schemas.openxmlformats.org/officeDocument/2006/relationships/hyperlink" Target="https://chin-rcip.github.io/cidoc_crm_fr/v7.1/information/terminologie" TargetMode="External"/><Relationship Id="rId121" Type="http://schemas.openxmlformats.org/officeDocument/2006/relationships/hyperlink" Target="https://chin-rcip.github.io/cidoc_crm_fr/v7.1/information/terminologie" TargetMode="External"/><Relationship Id="rId163" Type="http://schemas.openxmlformats.org/officeDocument/2006/relationships/hyperlink" Target="https://chin-rcip.github.io/cidoc_crm_fr/v7.1/information/terminologie" TargetMode="External"/><Relationship Id="rId219" Type="http://schemas.openxmlformats.org/officeDocument/2006/relationships/hyperlink" Target="https://chin-rcip.github.io/cidoc_crm_fr/v7.1/information/terminologie" TargetMode="External"/><Relationship Id="rId370" Type="http://schemas.openxmlformats.org/officeDocument/2006/relationships/hyperlink" Target="https://www.btb.termiumplus.gc.ca/tpv2alpha/alpha-fra.html?lang=fra&amp;i=1&amp;srchtxt=land+use&amp;index=alt&amp;codom2nd_wet=1" TargetMode="External"/><Relationship Id="rId426" Type="http://schemas.openxmlformats.org/officeDocument/2006/relationships/hyperlink" Target="https://vitrinelinguistique.oqlf.gouv.qc.ca/23433/la-grammaire/ladjectif/accord-de-ladjectif/cas-particuliers-daccord-de-ladjectif/accord-des-adjectifs-maximal-minimal-et-optimal" TargetMode="External"/><Relationship Id="rId230" Type="http://schemas.openxmlformats.org/officeDocument/2006/relationships/hyperlink" Target="https://www.btb.termiumplus.gc.ca/tpv2alpha/alpha-fra.html?lang=fra&amp;i=1&amp;srchtxt=fan-in&amp;index=ent&amp;codom2nd_wet=1" TargetMode="External"/><Relationship Id="rId468" Type="http://schemas.openxmlformats.org/officeDocument/2006/relationships/hyperlink" Target="https://www.ancient.eu/Battle_of_Agincourt/Casson" TargetMode="External"/><Relationship Id="rId25" Type="http://schemas.openxmlformats.org/officeDocument/2006/relationships/hyperlink" Target="https://chin-rcip.github.io/cidoc_crm_fr/v7.1/information/terminologie" TargetMode="External"/><Relationship Id="rId67" Type="http://schemas.openxmlformats.org/officeDocument/2006/relationships/hyperlink" Target="https://chin-rcip.github.io/cidoc_crm_fr/v7.1/information/terminologie" TargetMode="External"/><Relationship Id="rId272" Type="http://schemas.openxmlformats.org/officeDocument/2006/relationships/hyperlink" Target="https://chin-rcip.github.io/cidoc_crm_fr/v7.1/information/terminologie" TargetMode="External"/><Relationship Id="rId328" Type="http://schemas.openxmlformats.org/officeDocument/2006/relationships/hyperlink" Target="https://chin-rcip.github.io/cidoc_crm_fr/v7.1/information/terminologie" TargetMode="External"/><Relationship Id="rId535" Type="http://schemas.openxmlformats.org/officeDocument/2006/relationships/hyperlink" Target="https://www.btb.termiumplus.gc.ca/tpv2alpha/alpha-fra.html?lang=fra&amp;i=1&amp;srchtxt=primitive&amp;index=ent&amp;codom2nd_wet=1" TargetMode="External"/><Relationship Id="rId577" Type="http://schemas.openxmlformats.org/officeDocument/2006/relationships/theme" Target="theme/theme1.xml"/><Relationship Id="rId132" Type="http://schemas.openxmlformats.org/officeDocument/2006/relationships/hyperlink" Target="https://chin-rcip.github.io/cidoc_crm_fr/v7.1/information/principes-de-modelisation" TargetMode="External"/><Relationship Id="rId174" Type="http://schemas.openxmlformats.org/officeDocument/2006/relationships/hyperlink" Target="https://chin-rcip.github.io/cidoc_crm_fr/v7.1/information/terminologie" TargetMode="External"/><Relationship Id="rId381" Type="http://schemas.openxmlformats.org/officeDocument/2006/relationships/hyperlink" Target="https://www.loc.gov/item/00279380435-ms" TargetMode="External"/><Relationship Id="rId241" Type="http://schemas.openxmlformats.org/officeDocument/2006/relationships/hyperlink" Target="https://chin-rcip.github.io/cidoc_crm_fr/v7.1/information/terminologie" TargetMode="External"/><Relationship Id="rId437" Type="http://schemas.openxmlformats.org/officeDocument/2006/relationships/image" Target="media/image15.png"/><Relationship Id="rId479" Type="http://schemas.openxmlformats.org/officeDocument/2006/relationships/hyperlink" Target="https://archive.archaeology.org/9705/newsbriefs/spears.html" TargetMode="External"/><Relationship Id="rId36" Type="http://schemas.openxmlformats.org/officeDocument/2006/relationships/hyperlink" Target="https://chin-rcip.github.io/cidoc_crm_fr/v7.1/information/terminologie" TargetMode="External"/><Relationship Id="rId283" Type="http://schemas.openxmlformats.org/officeDocument/2006/relationships/hyperlink" Target="https://www.btb.termiumplus.gc.ca/tpv2alpha/alpha-fra.html?lang=fra&amp;i=1&amp;srchtxt=quantifier&amp;index=ent&amp;codom2nd_wet=1" TargetMode="External"/><Relationship Id="rId339" Type="http://schemas.openxmlformats.org/officeDocument/2006/relationships/hyperlink" Target="https://chin-rcip.github.io/cidoc_crm_fr/v7.1/information/terminologie" TargetMode="External"/><Relationship Id="rId490" Type="http://schemas.openxmlformats.org/officeDocument/2006/relationships/hyperlink" Target="http://digitallibrary.un.org/record/478123" TargetMode="External"/><Relationship Id="rId504" Type="http://schemas.openxmlformats.org/officeDocument/2006/relationships/hyperlink" Target="https://collections.louvre.fr/en/ark:/53355/cl010062370" TargetMode="External"/><Relationship Id="rId546" Type="http://schemas.openxmlformats.org/officeDocument/2006/relationships/hyperlink" Target="https://fr.wikipedia.org/w/index.php?title=%C3%89rostrate&amp;oldid=173548642" TargetMode="External"/><Relationship Id="rId78" Type="http://schemas.openxmlformats.org/officeDocument/2006/relationships/hyperlink" Target="https://chin-rcip.github.io/cidoc_crm_fr/v7.1/information/terminologie" TargetMode="External"/><Relationship Id="rId101" Type="http://schemas.openxmlformats.org/officeDocument/2006/relationships/hyperlink" Target="https://chin-rcip.github.io/cidoc_crm_fr/v7.1/information/principes-de-modelisation" TargetMode="External"/><Relationship Id="rId143" Type="http://schemas.openxmlformats.org/officeDocument/2006/relationships/hyperlink" Target="https://chin-rcip.github.io/cidoc_crm_fr/v7.1/information/terminologie" TargetMode="External"/><Relationship Id="rId185" Type="http://schemas.openxmlformats.org/officeDocument/2006/relationships/hyperlink" Target="https://chin-rcip.github.io/cidoc_crm_fr/v7.1/information/terminologie" TargetMode="External"/><Relationship Id="rId350" Type="http://schemas.openxmlformats.org/officeDocument/2006/relationships/image" Target="media/image3.png"/><Relationship Id="rId406" Type="http://schemas.openxmlformats.org/officeDocument/2006/relationships/hyperlink" Target="https://fr.wikipedia.org/w/index.php?title=Expositions_des_vestiges_arch%C3%A9ologiques_provenant_de_la_tombe_de_Tout%C3%A2nkhamon&amp;oldid=179392035" TargetMode="External"/><Relationship Id="rId9" Type="http://schemas.openxmlformats.org/officeDocument/2006/relationships/header" Target="header1.xml"/><Relationship Id="rId210" Type="http://schemas.openxmlformats.org/officeDocument/2006/relationships/hyperlink" Target="https://chin-rcip.github.io/cidoc_crm_fr/v7.1/information/terminologie" TargetMode="External"/><Relationship Id="rId392" Type="http://schemas.openxmlformats.org/officeDocument/2006/relationships/hyperlink" Target="https://vitrinelinguistique.oqlf.gouv.qc.ca/21242/la-typographie/nombres/ecriture-des-dates-et-des-heures-dans-les-lettres-et-les-textes-courants" TargetMode="External"/><Relationship Id="rId448" Type="http://schemas.openxmlformats.org/officeDocument/2006/relationships/image" Target="media/image19.png"/><Relationship Id="rId252" Type="http://schemas.openxmlformats.org/officeDocument/2006/relationships/hyperlink" Target="https://chin-rcip.github.io/cidoc_crm_fr/v7.1/information/terminologie" TargetMode="External"/><Relationship Id="rId294" Type="http://schemas.openxmlformats.org/officeDocument/2006/relationships/hyperlink" Target="https://chin-rcip.github.io/cidoc_crm_fr/v7.1/information/terminologie" TargetMode="External"/><Relationship Id="rId308" Type="http://schemas.openxmlformats.org/officeDocument/2006/relationships/hyperlink" Target="https://chin-rcip.github.io/cidoc_crm_fr/v7.1/information/terminologie" TargetMode="External"/><Relationship Id="rId515" Type="http://schemas.openxmlformats.org/officeDocument/2006/relationships/hyperlink" Target="https://vitrinelinguistique.oqlf.gouv.qc.ca/23433/la-grammaire/ladjectif/accord-de-ladjectif/cas-particuliers-daccord-de-ladjectif/accord-des-adjectifs-maximal-minimal-et-optimal" TargetMode="External"/><Relationship Id="rId47" Type="http://schemas.openxmlformats.org/officeDocument/2006/relationships/hyperlink" Target="https://chin-rcip.github.io/cidoc_crm_fr/v7.1/information/terminologie" TargetMode="External"/><Relationship Id="rId89" Type="http://schemas.openxmlformats.org/officeDocument/2006/relationships/hyperlink" Target="https://chin-rcip.github.io/cidoc_crm_fr/v7.1/information/terminologie" TargetMode="External"/><Relationship Id="rId112" Type="http://schemas.openxmlformats.org/officeDocument/2006/relationships/hyperlink" Target="https://chin-rcip.github.io/cidoc_crm_fr/v7.1/information/terminologie" TargetMode="External"/><Relationship Id="rId154" Type="http://schemas.openxmlformats.org/officeDocument/2006/relationships/hyperlink" Target="https://www.btb.termiumplus.gc.ca/tpv2alpha/alpha-fra.html?lang=fra&amp;i=1&amp;srchtxt=merge&amp;index=ent&amp;codom2nd_wet=1" TargetMode="External"/><Relationship Id="rId361" Type="http://schemas.openxmlformats.org/officeDocument/2006/relationships/hyperlink" Target="https://www.w3.org/TR/rdf-schema/" TargetMode="External"/><Relationship Id="rId557" Type="http://schemas.openxmlformats.org/officeDocument/2006/relationships/hyperlink" Target="https://fr.wikipedia.org/w/index.php?title=L%C3%A1szl%C3%B3_Moholy-Nagy&amp;oldid=192385234" TargetMode="External"/><Relationship Id="rId196" Type="http://schemas.openxmlformats.org/officeDocument/2006/relationships/hyperlink" Target="https://chin-rcip.github.io/cidoc_crm_fr/v7.1/information/terminologie" TargetMode="External"/><Relationship Id="rId417" Type="http://schemas.openxmlformats.org/officeDocument/2006/relationships/hyperlink" Target="https://chin-rcip.github.io/cidoc_crm_fr/v7.1/proprietes/P96" TargetMode="External"/><Relationship Id="rId459" Type="http://schemas.openxmlformats.org/officeDocument/2006/relationships/hyperlink" Target="https://archives.yale.edu/repositories/12/archival_objects/1402266" TargetMode="External"/><Relationship Id="rId16" Type="http://schemas.openxmlformats.org/officeDocument/2006/relationships/hyperlink" Target="http://cidoc.ics.forth.gr/scope.html" TargetMode="External"/><Relationship Id="rId221" Type="http://schemas.openxmlformats.org/officeDocument/2006/relationships/hyperlink" Target="https://chin-rcip.github.io/cidoc_crm_fr/v7.1/information/terminologie" TargetMode="External"/><Relationship Id="rId263" Type="http://schemas.openxmlformats.org/officeDocument/2006/relationships/hyperlink" Target="https://chin-rcip.github.io/cidoc_crm_fr/v7.1/information/terminologie" TargetMode="External"/><Relationship Id="rId319" Type="http://schemas.openxmlformats.org/officeDocument/2006/relationships/hyperlink" Target="https://chin-rcip.github.io/cidoc_crm_fr/v7.1/information/terminologie" TargetMode="External"/><Relationship Id="rId470" Type="http://schemas.openxmlformats.org/officeDocument/2006/relationships/hyperlink" Target="http://www.asahi.com/ajw/articles/13257178" TargetMode="External"/><Relationship Id="rId526" Type="http://schemas.openxmlformats.org/officeDocument/2006/relationships/hyperlink" Target="https://www.btb.termiumplus.gc.ca/tpv2alpha/alpha-eng.html?lang=eng&amp;i=1&amp;index=frt&amp;srchtxt=CONVENTION%20APPELLATION%20COURRIELS" TargetMode="External"/><Relationship Id="rId58" Type="http://schemas.openxmlformats.org/officeDocument/2006/relationships/hyperlink" Target="https://chin-rcip.github.io/cidoc_crm_fr/v7.1/information/terminologie" TargetMode="External"/><Relationship Id="rId123" Type="http://schemas.openxmlformats.org/officeDocument/2006/relationships/hyperlink" Target="https://chin-rcip.github.io/cidoc_crm_fr/v7.1/information/terminologie" TargetMode="External"/><Relationship Id="rId330" Type="http://schemas.openxmlformats.org/officeDocument/2006/relationships/hyperlink" Target="https://fr.wikipedia.org/w/index.php?title=Monotonie&amp;oldid=134697868" TargetMode="External"/><Relationship Id="rId568" Type="http://schemas.openxmlformats.org/officeDocument/2006/relationships/hyperlink" Target="https://chin-rcip.github.io/cidoc_crm_fr/v7.1/annexe" TargetMode="External"/><Relationship Id="rId165" Type="http://schemas.openxmlformats.org/officeDocument/2006/relationships/hyperlink" Target="https://chin-rcip.github.io/cidoc_crm_fr/v7.1/information/terminologie" TargetMode="External"/><Relationship Id="rId372" Type="http://schemas.openxmlformats.org/officeDocument/2006/relationships/hyperlink" Target="https://www.btb.termiumplus.gc.ca/tpv2alpha/alpha-fra.html?lang=fra&amp;i=1&amp;srchtxt=custody&amp;codom2nd_wet=1" TargetMode="External"/><Relationship Id="rId428" Type="http://schemas.openxmlformats.org/officeDocument/2006/relationships/image" Target="media/image9.png"/><Relationship Id="rId232" Type="http://schemas.openxmlformats.org/officeDocument/2006/relationships/hyperlink" Target="https://chin-rcip.github.io/cidoc_crm_fr/v7.1/information/terminologie" TargetMode="External"/><Relationship Id="rId274" Type="http://schemas.openxmlformats.org/officeDocument/2006/relationships/hyperlink" Target="https://chin-rcip.github.io/cidoc_crm_fr/v7.1/information/terminologie" TargetMode="External"/><Relationship Id="rId481" Type="http://schemas.openxmlformats.org/officeDocument/2006/relationships/hyperlink" Target="https://www.heraklion.gr/en/municipality/city-hall//city-hall.html" TargetMode="External"/><Relationship Id="rId27" Type="http://schemas.openxmlformats.org/officeDocument/2006/relationships/hyperlink" Target="https://chin-rcip.github.io/cidoc_crm_fr/v7.1/information/terminologie" TargetMode="External"/><Relationship Id="rId69" Type="http://schemas.openxmlformats.org/officeDocument/2006/relationships/hyperlink" Target="https://chin-rcip.github.io/cidoc_crm_fr/v7.1/information/terminologie" TargetMode="External"/><Relationship Id="rId134" Type="http://schemas.openxmlformats.org/officeDocument/2006/relationships/hyperlink" Target="https://chin-rcip.github.io/cidoc_crm_fr/v7.1/information/principes-de-modelisation" TargetMode="External"/><Relationship Id="rId537" Type="http://schemas.openxmlformats.org/officeDocument/2006/relationships/hyperlink" Target="https://www.btb.termiumplus.gc.ca/tpv2alpha/alpha-fra.html?lang=fra&amp;i=&amp;index=alt&amp;srchtxt=CATEGORIE%20REPETABLE" TargetMode="External"/><Relationship Id="rId80" Type="http://schemas.openxmlformats.org/officeDocument/2006/relationships/hyperlink" Target="https://www.btb.termiumplus.gc.ca/tpv2alpha/alpha-fra.html?lang=fra&amp;i=1&amp;srchtxt=construct&amp;index=ent&amp;codom2nd_wet=1" TargetMode="External"/><Relationship Id="rId176" Type="http://schemas.openxmlformats.org/officeDocument/2006/relationships/hyperlink" Target="https://chin-rcip.github.io/cidoc_crm_fr/v7.1/information/principes-de-modelisation" TargetMode="External"/><Relationship Id="rId341" Type="http://schemas.openxmlformats.org/officeDocument/2006/relationships/hyperlink" Target="https://chin-rcip.github.io/cidoc_crm_fr/v7.1/information/terminologie" TargetMode="External"/><Relationship Id="rId383" Type="http://schemas.openxmlformats.org/officeDocument/2006/relationships/hyperlink" Target="https://reliuredartdare.com/2021/09/batonnets-tranchefile-fabrication/" TargetMode="External"/><Relationship Id="rId439" Type="http://schemas.openxmlformats.org/officeDocument/2006/relationships/hyperlink" Target="https://www.moulinduverger.com/reliure-manuelle/roret-69.php" TargetMode="External"/><Relationship Id="rId201" Type="http://schemas.openxmlformats.org/officeDocument/2006/relationships/hyperlink" Target="https://chin-rcip.github.io/cidoc_crm_fr/v7.1/information/terminologie" TargetMode="External"/><Relationship Id="rId243" Type="http://schemas.openxmlformats.org/officeDocument/2006/relationships/hyperlink" Target="https://www.btb.termiumplus.gc.ca/tpv2alpha/alpha-fra.html?lang=fra&amp;i=&amp;index=alt&amp;srchtxt=CATEGORIE%20REPETABLE" TargetMode="External"/><Relationship Id="rId285" Type="http://schemas.openxmlformats.org/officeDocument/2006/relationships/hyperlink" Target="https://chin-rcip.github.io/cidoc_crm_fr/v7.1/information/terminologie" TargetMode="External"/><Relationship Id="rId450" Type="http://schemas.openxmlformats.org/officeDocument/2006/relationships/image" Target="media/image20.png"/><Relationship Id="rId506" Type="http://schemas.openxmlformats.org/officeDocument/2006/relationships/hyperlink" Target="https://www.lri.fr/~groz/documents/rapport.pdf" TargetMode="External"/><Relationship Id="rId38" Type="http://schemas.openxmlformats.org/officeDocument/2006/relationships/hyperlink" Target="https://chin-rcip.github.io/cidoc_crm_fr/v7.1/information/terminologie" TargetMode="External"/><Relationship Id="rId103" Type="http://schemas.openxmlformats.org/officeDocument/2006/relationships/hyperlink" Target="https://chin-rcip.github.io/cidoc_crm_fr/v7.1/information/terminologie" TargetMode="External"/><Relationship Id="rId310" Type="http://schemas.openxmlformats.org/officeDocument/2006/relationships/hyperlink" Target="https://chin-rcip.github.io/cidoc_crm_fr/v7.1/information/terminologie" TargetMode="External"/><Relationship Id="rId492" Type="http://schemas.openxmlformats.org/officeDocument/2006/relationships/hyperlink" Target="https://doi.org/doi:10.3200/CLUS.23.4.87-90" TargetMode="External"/><Relationship Id="rId548" Type="http://schemas.openxmlformats.org/officeDocument/2006/relationships/hyperlink" Target="https://fr.wikipedia.org/w/index.php?title=Langue_SVO&amp;oldid=176099662" TargetMode="External"/><Relationship Id="rId91" Type="http://schemas.openxmlformats.org/officeDocument/2006/relationships/hyperlink" Target="https://chin-rcip.github.io/cidoc_crm_fr/v7.1/information/terminologie" TargetMode="External"/><Relationship Id="rId145" Type="http://schemas.openxmlformats.org/officeDocument/2006/relationships/hyperlink" Target="https://www.btb.termiumplus.gc.ca/tpv2alpha/alpha-fra.html?lang=fra&amp;i=1&amp;srchtxt=containment&amp;index=ent&amp;codom2nd_wet=1" TargetMode="External"/><Relationship Id="rId187" Type="http://schemas.openxmlformats.org/officeDocument/2006/relationships/hyperlink" Target="https://chin-rcip.github.io/cidoc_crm_fr/v7.1/information/terminologie" TargetMode="External"/><Relationship Id="rId352" Type="http://schemas.openxmlformats.org/officeDocument/2006/relationships/image" Target="media/image4.png"/><Relationship Id="rId394" Type="http://schemas.openxmlformats.org/officeDocument/2006/relationships/hyperlink" Target="https://www.btb.termiumplus.gc.ca/tpv2alpha/alpha-fra.html?lang=fra&amp;srchtxt=temporal%20reasoning&amp;i=&amp;index=alt&amp;sg_kp_wet=921138&amp;fchrcrdnm=1" TargetMode="External"/><Relationship Id="rId408" Type="http://schemas.openxmlformats.org/officeDocument/2006/relationships/hyperlink" Target="https://www.moulinduverger.com/reliure-manuelle/roret-69.php" TargetMode="External"/><Relationship Id="rId212" Type="http://schemas.openxmlformats.org/officeDocument/2006/relationships/hyperlink" Target="https://chin-rcip.github.io/cidoc_crm_fr/v7.1/information/terminologie" TargetMode="External"/><Relationship Id="rId254" Type="http://schemas.openxmlformats.org/officeDocument/2006/relationships/hyperlink" Target="https://www.btb.termiumplus.gc.ca/tpv2alpha/alpha-fra.html?lang=fra&amp;i=&amp;index=alt&amp;srchtxt=CATEGORIE%20REPETABLE" TargetMode="External"/><Relationship Id="rId49" Type="http://schemas.openxmlformats.org/officeDocument/2006/relationships/hyperlink" Target="https://chin-rcip.github.io/cidoc_crm_fr/v7.1/information/terminologie" TargetMode="External"/><Relationship Id="rId114" Type="http://schemas.openxmlformats.org/officeDocument/2006/relationships/hyperlink" Target="https://chin-rcip.github.io/cidoc_crm_fr/v7.1/information/terminologie" TargetMode="External"/><Relationship Id="rId296" Type="http://schemas.openxmlformats.org/officeDocument/2006/relationships/hyperlink" Target="https://chin-rcip.github.io/cidoc_crm_fr/v7.1/information/terminologie" TargetMode="External"/><Relationship Id="rId461" Type="http://schemas.openxmlformats.org/officeDocument/2006/relationships/hyperlink" Target="https://www.nytimes.com/2001/11/30/business/enron-s-collapse-options-trend-toward-liquidation-not-company-reorganization.html" TargetMode="External"/><Relationship Id="rId517" Type="http://schemas.openxmlformats.org/officeDocument/2006/relationships/hyperlink" Target="https://www.w3.org/RDF/" TargetMode="External"/><Relationship Id="rId559" Type="http://schemas.openxmlformats.org/officeDocument/2006/relationships/hyperlink" Target="https://fr.wikipedia.org/w/index.php?title=Penny&amp;oldid=199318252" TargetMode="External"/><Relationship Id="rId60" Type="http://schemas.openxmlformats.org/officeDocument/2006/relationships/hyperlink" Target="https://chin-rcip.github.io/cidoc_crm_fr/v7.1/information/terminologie" TargetMode="External"/><Relationship Id="rId156" Type="http://schemas.openxmlformats.org/officeDocument/2006/relationships/hyperlink" Target="https://chin-rcip.github.io/cidoc_crm_fr/v7.1/information/terminologie" TargetMode="External"/><Relationship Id="rId198" Type="http://schemas.openxmlformats.org/officeDocument/2006/relationships/hyperlink" Target="https://www.btb.termiumplus.gc.ca/tpv2alpha/alpha-fra.html?lang=fra&amp;i=1&amp;srchtxt=cardinalit%C3%A9&amp;index=frt&amp;codom2nd_wet=1" TargetMode="External"/><Relationship Id="rId321" Type="http://schemas.openxmlformats.org/officeDocument/2006/relationships/hyperlink" Target="https://chin-rcip.github.io/cidoc_crm_fr/v7.1/information/terminologie" TargetMode="External"/><Relationship Id="rId363" Type="http://schemas.openxmlformats.org/officeDocument/2006/relationships/hyperlink" Target="https://json-ld.org/" TargetMode="External"/><Relationship Id="rId419" Type="http://schemas.openxmlformats.org/officeDocument/2006/relationships/hyperlink" Target="https://www.btb.termiumplus.gc.ca/tpv2alpha/alpha-fra.html?lang=fra&amp;i=1&amp;srchtxt=back+catalogue&amp;index=alt&amp;codom2nd_wet=1" TargetMode="External"/><Relationship Id="rId570" Type="http://schemas.openxmlformats.org/officeDocument/2006/relationships/hyperlink" Target="https://chin-rcip.github.io/cidoc_crm_fr/v7.1/annexe" TargetMode="External"/><Relationship Id="rId223" Type="http://schemas.openxmlformats.org/officeDocument/2006/relationships/hyperlink" Target="https://chin-rcip.github.io/cidoc_crm_fr/v7.1/information/terminologie" TargetMode="External"/><Relationship Id="rId430" Type="http://schemas.openxmlformats.org/officeDocument/2006/relationships/image" Target="media/image10.png"/><Relationship Id="rId18" Type="http://schemas.openxmlformats.org/officeDocument/2006/relationships/hyperlink" Target="http://www.yoyodesign.org/doc/w3c/swbp-vocab-pub/" TargetMode="External"/><Relationship Id="rId265" Type="http://schemas.openxmlformats.org/officeDocument/2006/relationships/hyperlink" Target="https://chin-rcip.github.io/cidoc_crm_fr/v7.1/information/terminologie" TargetMode="External"/><Relationship Id="rId472" Type="http://schemas.openxmlformats.org/officeDocument/2006/relationships/hyperlink" Target="https://doi.org/10.1021/ed079p193" TargetMode="External"/><Relationship Id="rId528" Type="http://schemas.openxmlformats.org/officeDocument/2006/relationships/hyperlink" Target="https://www.btb.termiumplus.gc.ca/tpv2alpha/alpha-fra.html?lang=fra&amp;i=1&amp;srchtxt=fan-in&amp;index=ent&amp;codom2nd_wet=1" TargetMode="External"/><Relationship Id="rId125" Type="http://schemas.openxmlformats.org/officeDocument/2006/relationships/hyperlink" Target="https://chin-rcip.github.io/cidoc_crm_fr/v7.1/information/principes-de-modelisation" TargetMode="External"/><Relationship Id="rId167" Type="http://schemas.openxmlformats.org/officeDocument/2006/relationships/hyperlink" Target="https://chin-rcip.github.io/cidoc_crm_fr/v7.1/information/principes-de-modelisation" TargetMode="External"/><Relationship Id="rId332" Type="http://schemas.openxmlformats.org/officeDocument/2006/relationships/hyperlink" Target="https://chin-rcip.github.io/cidoc_crm_fr/v7.1/information/terminologie" TargetMode="External"/><Relationship Id="rId374" Type="http://schemas.openxmlformats.org/officeDocument/2006/relationships/hyperlink" Target="https://www.canada.ca/fr/institut-conservation/services/traitements-services-conservation/traitements-conservation.html" TargetMode="External"/><Relationship Id="rId71" Type="http://schemas.openxmlformats.org/officeDocument/2006/relationships/hyperlink" Target="https://chin-rcip.github.io/cidoc_crm_fr/v7.1/information/terminologie" TargetMode="External"/><Relationship Id="rId234" Type="http://schemas.openxmlformats.org/officeDocument/2006/relationships/hyperlink" Target="https://chin-rcip.github.io/cidoc_crm_fr/v7.1/information/terminologie" TargetMode="External"/><Relationship Id="rId2" Type="http://schemas.openxmlformats.org/officeDocument/2006/relationships/customXml" Target="../customXml/item2.xml"/><Relationship Id="rId29" Type="http://schemas.openxmlformats.org/officeDocument/2006/relationships/hyperlink" Target="https://chin-rcip.github.io/cidoc_crm_fr/v7.1/information/terminologie" TargetMode="External"/><Relationship Id="rId276" Type="http://schemas.openxmlformats.org/officeDocument/2006/relationships/hyperlink" Target="https://chin-rcip.github.io/cidoc_crm_fr/v7.1/information/terminologie" TargetMode="External"/><Relationship Id="rId441" Type="http://schemas.openxmlformats.org/officeDocument/2006/relationships/hyperlink" Target="https://www.cbbag.ca/resources/Public/Book%20Arts%20ENG%20FRE%20Translation.pdf" TargetMode="External"/><Relationship Id="rId483" Type="http://schemas.openxmlformats.org/officeDocument/2006/relationships/hyperlink" Target="http://www.ngv.vic.gov.au/explore/collection/work/3701/" TargetMode="External"/><Relationship Id="rId539" Type="http://schemas.openxmlformats.org/officeDocument/2006/relationships/hyperlink" Target="https://www.btb.termiumplus.gc.ca/tpv2alpha/alpha-fra.html?lang=fra&amp;i=1&amp;srchtxt=land+use&amp;index=alt&amp;codom2nd_wet=1" TargetMode="External"/><Relationship Id="rId40" Type="http://schemas.openxmlformats.org/officeDocument/2006/relationships/hyperlink" Target="https://chin-rcip.github.io/cidoc_crm_fr/v7.1/information/terminologie" TargetMode="External"/><Relationship Id="rId136" Type="http://schemas.openxmlformats.org/officeDocument/2006/relationships/hyperlink" Target="https://chin-rcip.github.io/cidoc_crm_fr/v7.1/information/terminologie" TargetMode="External"/><Relationship Id="rId178" Type="http://schemas.openxmlformats.org/officeDocument/2006/relationships/hyperlink" Target="https://chin-rcip.github.io/cidoc_crm_fr/v7.1/information/terminologie" TargetMode="External"/><Relationship Id="rId301" Type="http://schemas.openxmlformats.org/officeDocument/2006/relationships/hyperlink" Target="https://www.w3.org/RDF/" TargetMode="External"/><Relationship Id="rId343" Type="http://schemas.openxmlformats.org/officeDocument/2006/relationships/hyperlink" Target="https://chin-rcip.github.io/cidoc_crm_fr/v7.1/information/terminologie" TargetMode="External"/><Relationship Id="rId550" Type="http://schemas.openxmlformats.org/officeDocument/2006/relationships/hyperlink" Target="https://fr.wikipedia.org/w/index.php?title=Fan-out&amp;oldid=176479075" TargetMode="External"/><Relationship Id="rId82" Type="http://schemas.openxmlformats.org/officeDocument/2006/relationships/hyperlink" Target="https://chin-rcip.github.io/cidoc_crm_fr/v7.1/information/terminologie" TargetMode="External"/><Relationship Id="rId203" Type="http://schemas.openxmlformats.org/officeDocument/2006/relationships/hyperlink" Target="https://www.btb.termiumplus.gc.ca/tpv2alpha/alpha-fra.html?lang=fra&amp;i=&amp;index=alt&amp;srchtxt=CATEGORIE%20REPETABLE" TargetMode="External"/><Relationship Id="rId385" Type="http://schemas.openxmlformats.org/officeDocument/2006/relationships/hyperlink" Target="https://collections.louvre.fr/en/ark:/53355/cl010062370" TargetMode="External"/><Relationship Id="rId245" Type="http://schemas.openxmlformats.org/officeDocument/2006/relationships/hyperlink" Target="https://chin-rcip.github.io/cidoc_crm_fr/v7.1/information/terminologie" TargetMode="External"/><Relationship Id="rId287" Type="http://schemas.openxmlformats.org/officeDocument/2006/relationships/hyperlink" Target="http://gdt.oqlf.gouv.qc.ca/ficheOqlf.aspx?Id_Fiche=8366746" TargetMode="External"/><Relationship Id="rId410" Type="http://schemas.openxmlformats.org/officeDocument/2006/relationships/hyperlink" Target="https://www.cbbag.ca/resources/Public/Book%20Arts%20ENG%20FRE%20Translation.pdf" TargetMode="External"/><Relationship Id="rId452" Type="http://schemas.openxmlformats.org/officeDocument/2006/relationships/hyperlink" Target="https://fr.wikipedia.org/wiki/Alg%C3%A8bre_des_intervalles_d%27Allen" TargetMode="External"/><Relationship Id="rId494" Type="http://schemas.openxmlformats.org/officeDocument/2006/relationships/hyperlink" Target="https://en.wikipedia.org/w/index.php?title=Et_in_Arcadia_ego&amp;oldid=1003943423" TargetMode="External"/><Relationship Id="rId508" Type="http://schemas.openxmlformats.org/officeDocument/2006/relationships/hyperlink" Target="https://json-ld.org/" TargetMode="External"/><Relationship Id="rId105" Type="http://schemas.openxmlformats.org/officeDocument/2006/relationships/hyperlink" Target="https://chin-rcip.github.io/cidoc_crm_fr/v7.1/information/terminologie" TargetMode="External"/><Relationship Id="rId147" Type="http://schemas.openxmlformats.org/officeDocument/2006/relationships/hyperlink" Target="https://chin-rcip.github.io/cidoc_crm_fr/v7.1/information/terminologie" TargetMode="External"/><Relationship Id="rId312" Type="http://schemas.openxmlformats.org/officeDocument/2006/relationships/hyperlink" Target="https://chin-rcip.github.io/cidoc_crm_fr/v7.1/information/terminologie" TargetMode="External"/><Relationship Id="rId354" Type="http://schemas.openxmlformats.org/officeDocument/2006/relationships/hyperlink" Target="https://chin-rcip.github.io/cidoc_crm_fr/v7.1/information/introduction-aux-concepts-fondamentaux" TargetMode="External"/><Relationship Id="rId51" Type="http://schemas.openxmlformats.org/officeDocument/2006/relationships/hyperlink" Target="https://chin-rcip.github.io/cidoc_crm_fr/v7.1/information/terminologie" TargetMode="External"/><Relationship Id="rId93" Type="http://schemas.openxmlformats.org/officeDocument/2006/relationships/hyperlink" Target="https://chin-rcip.github.io/cidoc_crm_fr/v7.1/information/terminologie" TargetMode="External"/><Relationship Id="rId189" Type="http://schemas.openxmlformats.org/officeDocument/2006/relationships/hyperlink" Target="https://chin-rcip.github.io/cidoc_crm_fr/v7.1/information/terminologie" TargetMode="External"/><Relationship Id="rId396" Type="http://schemas.openxmlformats.org/officeDocument/2006/relationships/hyperlink" Target="https://www.btb.termiumplus.gc.ca/tpv2alpha/alpha-fra.html?lang=fra&amp;srchtxt=temporal%20reasoning&amp;i=&amp;index=alt&amp;sg_kp_wet=921138&amp;fchrcrdnm=1" TargetMode="External"/><Relationship Id="rId561" Type="http://schemas.openxmlformats.org/officeDocument/2006/relationships/hyperlink" Target="https://fr.wikipedia.org/w/index.php?title=Georges_Amoudruz&amp;oldid=202151566" TargetMode="External"/><Relationship Id="rId214" Type="http://schemas.openxmlformats.org/officeDocument/2006/relationships/hyperlink" Target="https://www.btb.termiumplus.gc.ca/tpv2alpha/alpha-fra.html?lang=fra&amp;i=1&amp;srchtxt=fan-in&amp;index=ent&amp;codom2nd_wet=1" TargetMode="External"/><Relationship Id="rId256" Type="http://schemas.openxmlformats.org/officeDocument/2006/relationships/hyperlink" Target="https://chin-rcip.github.io/cidoc_crm_fr/v7.1/information/terminologie" TargetMode="External"/><Relationship Id="rId298" Type="http://schemas.openxmlformats.org/officeDocument/2006/relationships/hyperlink" Target="https://chin-rcip.github.io/cidoc_crm_fr/v7.1/information/terminologie" TargetMode="External"/><Relationship Id="rId421" Type="http://schemas.openxmlformats.org/officeDocument/2006/relationships/hyperlink" Target="http://www.emunch.no/N/full/No-MM_N0001-01.jpg" TargetMode="External"/><Relationship Id="rId463" Type="http://schemas.openxmlformats.org/officeDocument/2006/relationships/hyperlink" Target="http://www.cidoc-crm.org/frbroo/sites/default/files/FRBRoo_V2.4.pdf" TargetMode="External"/><Relationship Id="rId519" Type="http://schemas.openxmlformats.org/officeDocument/2006/relationships/hyperlink" Target="https://www.btb.termiumplus.gc.ca/tpv2alpha/alpha-fra.html?lang=fra&amp;srchtxt=VIA&amp;i=&amp;index=ent&amp;sg_kp_wet=1323269&amp;fchrcrdnm=4" TargetMode="External"/><Relationship Id="rId116" Type="http://schemas.openxmlformats.org/officeDocument/2006/relationships/hyperlink" Target="https://www.btb.termiumplus.gc.ca/tpv2alpha/alpha-fra.html?lang=fra&amp;i=1&amp;srchtxt=directed+graph&amp;index=alt&amp;codom2nd_wet=1" TargetMode="External"/><Relationship Id="rId158" Type="http://schemas.openxmlformats.org/officeDocument/2006/relationships/hyperlink" Target="https://chin-rcip.github.io/cidoc_crm_fr/v7.1/information/terminologie" TargetMode="External"/><Relationship Id="rId323" Type="http://schemas.openxmlformats.org/officeDocument/2006/relationships/hyperlink" Target="https://chin-rcip.github.io/cidoc_crm_fr/v7.1/information/terminologie" TargetMode="External"/><Relationship Id="rId530" Type="http://schemas.openxmlformats.org/officeDocument/2006/relationships/hyperlink" Target="https://www.btb.termiumplus.gc.ca/tpv2alpha/alpha-fra.html?lang=fra&amp;srchtxt=IDEATIONAL+CONTENT" TargetMode="External"/><Relationship Id="rId20" Type="http://schemas.openxmlformats.org/officeDocument/2006/relationships/hyperlink" Target="https://chin-rcip.github.io/cidoc_crm_fr/v7.1/information/terminologie" TargetMode="External"/><Relationship Id="rId62" Type="http://schemas.openxmlformats.org/officeDocument/2006/relationships/hyperlink" Target="https://chin-rcip.github.io/cidoc_crm_fr/v7.1/information/terminologie" TargetMode="External"/><Relationship Id="rId365" Type="http://schemas.openxmlformats.org/officeDocument/2006/relationships/hyperlink" Target="https://json-ld.org/" TargetMode="External"/><Relationship Id="rId572" Type="http://schemas.openxmlformats.org/officeDocument/2006/relationships/hyperlink" Target="https://www.w3.org/OWL/" TargetMode="External"/><Relationship Id="rId225" Type="http://schemas.openxmlformats.org/officeDocument/2006/relationships/hyperlink" Target="https://www.btb.termiumplus.gc.ca/tpv2alpha/alpha-fra.html?lang=fra&amp;i=&amp;index=alt&amp;srchtxt=CATEGORIE%20REPETABLE" TargetMode="External"/><Relationship Id="rId267" Type="http://schemas.openxmlformats.org/officeDocument/2006/relationships/hyperlink" Target="https://chin-rcip.github.io/cidoc_crm_fr/v7.1/information/terminologie" TargetMode="External"/><Relationship Id="rId432" Type="http://schemas.openxmlformats.org/officeDocument/2006/relationships/hyperlink" Target="https://fr.wikipedia.org/wiki/Alg%C3%A8bre_des_intervalles_d%27Allen" TargetMode="External"/><Relationship Id="rId474" Type="http://schemas.openxmlformats.org/officeDocument/2006/relationships/hyperlink" Target="https://doi.org/10.1080/00275514.1933.12020653" TargetMode="External"/><Relationship Id="rId127" Type="http://schemas.openxmlformats.org/officeDocument/2006/relationships/hyperlink" Target="https://www.btb.termiumplus.gc.ca/tpv2alpha/alpha-fra.html?lang=fra&amp;i=1&amp;srchtxt=join&amp;index=ent&amp;codom2nd_wet=1" TargetMode="External"/><Relationship Id="rId31" Type="http://schemas.openxmlformats.org/officeDocument/2006/relationships/hyperlink" Target="https://chin-rcip.github.io/cidoc_crm_fr/v7.1/information/terminologie" TargetMode="External"/><Relationship Id="rId73" Type="http://schemas.openxmlformats.org/officeDocument/2006/relationships/hyperlink" Target="https://chin-rcip.github.io/cidoc_crm_fr/v7.1/information/terminologie" TargetMode="External"/><Relationship Id="rId169" Type="http://schemas.openxmlformats.org/officeDocument/2006/relationships/hyperlink" Target="https://chin-rcip.github.io/cidoc_crm_fr/v7.1/information/terminologie" TargetMode="External"/><Relationship Id="rId334" Type="http://schemas.openxmlformats.org/officeDocument/2006/relationships/hyperlink" Target="https://chin-rcip.github.io/cidoc_crm_fr/v7.1/information/terminologie" TargetMode="External"/><Relationship Id="rId376" Type="http://schemas.openxmlformats.org/officeDocument/2006/relationships/hyperlink" Target="https://essentiels.bnf.fr/fr/image/eff2e8b4-8e73-4800-91fb-7d277ca66a34-femme-devant-poele-7e-etat" TargetMode="External"/><Relationship Id="rId541" Type="http://schemas.openxmlformats.org/officeDocument/2006/relationships/hyperlink" Target="https://impactalk.gr/en/stories-talk/maria-argyriadi-researcher-and-toys-collector-changed-benaki-museum" TargetMode="External"/><Relationship Id="rId4" Type="http://schemas.openxmlformats.org/officeDocument/2006/relationships/styles" Target="styles.xml"/><Relationship Id="rId180" Type="http://schemas.openxmlformats.org/officeDocument/2006/relationships/hyperlink" Target="https://chin-rcip.github.io/cidoc_crm_fr/v7.1/information/terminologie" TargetMode="External"/><Relationship Id="rId236" Type="http://schemas.openxmlformats.org/officeDocument/2006/relationships/hyperlink" Target="https://www.btb.termiumplus.gc.ca/tpv2alpha/alpha-fra.html?lang=fra&amp;i=1&amp;srchtxt=fan-out&amp;index=ent&amp;codom2nd_wet=1" TargetMode="External"/><Relationship Id="rId278" Type="http://schemas.openxmlformats.org/officeDocument/2006/relationships/hyperlink" Target="https://chin-rcip.github.io/cidoc_crm_fr/v7.1/information/terminologie" TargetMode="External"/><Relationship Id="rId401" Type="http://schemas.openxmlformats.org/officeDocument/2006/relationships/hyperlink" Target="https://en.wikipedia.org/w/index.php?title=Well-known_text_representation_of_geometry&amp;oldid=1105540049" TargetMode="External"/><Relationship Id="rId443" Type="http://schemas.openxmlformats.org/officeDocument/2006/relationships/hyperlink" Target="https://en.wiktionary.org/w/index.php?title=oka&amp;oldid=72628696" TargetMode="External"/><Relationship Id="rId303" Type="http://schemas.openxmlformats.org/officeDocument/2006/relationships/hyperlink" Target="https://chin-rcip.github.io/cidoc_crm_fr/v7.1/information/terminologie" TargetMode="External"/><Relationship Id="rId485" Type="http://schemas.openxmlformats.org/officeDocument/2006/relationships/hyperlink" Target="https://www.panotis.gr/index.php/2016/06/29/the-holy-spirit-stressed-summit-of-crete/" TargetMode="External"/><Relationship Id="rId42" Type="http://schemas.openxmlformats.org/officeDocument/2006/relationships/hyperlink" Target="https://chin-rcip.github.io/cidoc_crm_fr/v7.1/information/terminologie" TargetMode="External"/><Relationship Id="rId84" Type="http://schemas.openxmlformats.org/officeDocument/2006/relationships/hyperlink" Target="https://chin-rcip.github.io/cidoc_crm_fr/v7.1/information/terminologie" TargetMode="External"/><Relationship Id="rId138" Type="http://schemas.openxmlformats.org/officeDocument/2006/relationships/hyperlink" Target="https://chin-rcip.github.io/cidoc_crm_fr/v7.1/information/terminologie" TargetMode="External"/><Relationship Id="rId345" Type="http://schemas.openxmlformats.org/officeDocument/2006/relationships/hyperlink" Target="https://chin-rcip.github.io/cidoc_crm_fr/v7.1/information/terminologie" TargetMode="External"/><Relationship Id="rId387" Type="http://schemas.openxmlformats.org/officeDocument/2006/relationships/hyperlink" Target="https://fr.wikipedia.org/w/index.php?title=Chrisme&amp;oldid=184249375" TargetMode="External"/><Relationship Id="rId510" Type="http://schemas.openxmlformats.org/officeDocument/2006/relationships/hyperlink" Target="https://reliuredartdare.com/2021/09/batonnets-tranchefile-fabrication/" TargetMode="External"/><Relationship Id="rId552" Type="http://schemas.openxmlformats.org/officeDocument/2006/relationships/hyperlink" Target="https://fr.wikipedia.org/wiki/Univers_du_discours" TargetMode="External"/><Relationship Id="rId191" Type="http://schemas.openxmlformats.org/officeDocument/2006/relationships/hyperlink" Target="https://www.btb.termiumplus.gc.ca/tpv2alpha/alpha-fra.html?lang=fra&amp;i=1&amp;srchtxt=construct&amp;index=ent&amp;codom2nd_wet=1" TargetMode="External"/><Relationship Id="rId205" Type="http://schemas.openxmlformats.org/officeDocument/2006/relationships/hyperlink" Target="https://chin-rcip.github.io/cidoc_crm_fr/v7.1/information/terminologie" TargetMode="External"/><Relationship Id="rId247" Type="http://schemas.openxmlformats.org/officeDocument/2006/relationships/hyperlink" Target="https://chin-rcip.github.io/cidoc_crm_fr/v7.1/information/terminologie" TargetMode="External"/><Relationship Id="rId412" Type="http://schemas.openxmlformats.org/officeDocument/2006/relationships/hyperlink" Target="https://reliuredartdare.com/2021/09/batonnets-tranchefile-fabrication/" TargetMode="External"/><Relationship Id="rId107" Type="http://schemas.openxmlformats.org/officeDocument/2006/relationships/hyperlink" Target="https://www.btb.termiumplus.gc.ca/tpv2alpha/alpha-fra.html?lang=fra&amp;i=1&amp;srchtxt=normalization&amp;index=alt&amp;codom2nd_wet=1" TargetMode="External"/><Relationship Id="rId289" Type="http://schemas.openxmlformats.org/officeDocument/2006/relationships/hyperlink" Target="https://chin-rcip.github.io/cidoc_crm_fr/v7.1/information/terminologie" TargetMode="External"/><Relationship Id="rId454" Type="http://schemas.openxmlformats.org/officeDocument/2006/relationships/image" Target="media/image23.png"/><Relationship Id="rId496"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11" Type="http://schemas.openxmlformats.org/officeDocument/2006/relationships/hyperlink" Target="http://cidoc.mini.icom.museum/fr/" TargetMode="External"/><Relationship Id="rId53" Type="http://schemas.openxmlformats.org/officeDocument/2006/relationships/hyperlink" Target="https://chin-rcip.github.io/cidoc_crm_fr/v7.1/information/principes-de-modelisation" TargetMode="External"/><Relationship Id="rId149" Type="http://schemas.openxmlformats.org/officeDocument/2006/relationships/hyperlink" Target="https://chin-rcip.github.io/cidoc_crm_fr/v7.1/information/terminologie" TargetMode="External"/><Relationship Id="rId314" Type="http://schemas.openxmlformats.org/officeDocument/2006/relationships/hyperlink" Target="https://chin-rcip.github.io/cidoc_crm_fr/v7.1/information/terminologie" TargetMode="External"/><Relationship Id="rId356" Type="http://schemas.openxmlformats.org/officeDocument/2006/relationships/image" Target="media/image6.png"/><Relationship Id="rId398" Type="http://schemas.openxmlformats.org/officeDocument/2006/relationships/hyperlink" Target="https://www.cnrtl.fr/definition/p%C3%A9rissement" TargetMode="External"/><Relationship Id="rId521" Type="http://schemas.openxmlformats.org/officeDocument/2006/relationships/hyperlink" Target="https://www.btb.termiumplus.gc.ca/tpv2alpha/alpha-fra.html?lang=fra&amp;i=1&amp;srchtxt=back+catalogue&amp;index=alt&amp;codom2nd_wet=1" TargetMode="External"/><Relationship Id="rId563" Type="http://schemas.openxmlformats.org/officeDocument/2006/relationships/hyperlink" Target="https://fr.wikipedia.org/w/index.php?title=Trois_Glorieuses&amp;oldid=203438591" TargetMode="External"/><Relationship Id="rId95" Type="http://schemas.openxmlformats.org/officeDocument/2006/relationships/hyperlink" Target="https://chin-rcip.github.io/cidoc_crm_fr/v7.1/information/terminologie" TargetMode="External"/><Relationship Id="rId160" Type="http://schemas.openxmlformats.org/officeDocument/2006/relationships/hyperlink" Target="https://chin-rcip.github.io/cidoc_crm_fr/v7.1/information/compatibilite-avec-le-cidoc-crm" TargetMode="External"/><Relationship Id="rId216" Type="http://schemas.openxmlformats.org/officeDocument/2006/relationships/hyperlink" Target="https://chin-rcip.github.io/cidoc_crm_fr/v7.1/information/terminologie" TargetMode="External"/><Relationship Id="rId423" Type="http://schemas.openxmlformats.org/officeDocument/2006/relationships/hyperlink" Target="https://impactalk.gr/en/stories-talk/maria-argyriadi-researcher-and-toys-collector-changed-benaki-museum" TargetMode="External"/><Relationship Id="rId258" Type="http://schemas.openxmlformats.org/officeDocument/2006/relationships/hyperlink" Target="https://chin-rcip.github.io/cidoc_crm_fr/v7.1/information/terminologie" TargetMode="External"/><Relationship Id="rId465" Type="http://schemas.openxmlformats.org/officeDocument/2006/relationships/hyperlink" Target="http://dx.doi.org/10.5040/9780571291168.00000104" TargetMode="External"/><Relationship Id="rId22" Type="http://schemas.openxmlformats.org/officeDocument/2006/relationships/hyperlink" Target="https://chin-rcip.github.io/cidoc_crm_fr/v7.1/information/terminologie" TargetMode="External"/><Relationship Id="rId64" Type="http://schemas.openxmlformats.org/officeDocument/2006/relationships/hyperlink" Target="https://chin-rcip.github.io/cidoc_crm_fr/v7.1/information/terminologie" TargetMode="External"/><Relationship Id="rId118" Type="http://schemas.openxmlformats.org/officeDocument/2006/relationships/hyperlink" Target="https://chin-rcip.github.io/cidoc_crm_fr/v7.1/information/terminologie" TargetMode="External"/><Relationship Id="rId325" Type="http://schemas.openxmlformats.org/officeDocument/2006/relationships/hyperlink" Target="https://chin-rcip.github.io/cidoc_crm_fr/v7.1/information/terminologie" TargetMode="External"/><Relationship Id="rId367" Type="http://schemas.openxmlformats.org/officeDocument/2006/relationships/hyperlink" Target="https://fr.wikipedia.org/wiki/Univers_du_discours" TargetMode="External"/><Relationship Id="rId532" Type="http://schemas.openxmlformats.org/officeDocument/2006/relationships/hyperlink" Target="https://www.btb.termiumplus.gc.ca/tpv2alpha/alpha-fra.html?lang=fra&amp;i=1&amp;srchtxt=join&amp;index=ent&amp;codom2nd_wet=1" TargetMode="External"/><Relationship Id="rId574" Type="http://schemas.openxmlformats.org/officeDocument/2006/relationships/hyperlink" Target="https://www.w3.org/RDF/" TargetMode="External"/><Relationship Id="rId171" Type="http://schemas.openxmlformats.org/officeDocument/2006/relationships/hyperlink" Target="https://chin-rcip.github.io/cidoc_crm_fr/v7.1/information/terminologie" TargetMode="External"/><Relationship Id="rId227" Type="http://schemas.openxmlformats.org/officeDocument/2006/relationships/hyperlink" Target="https://chin-rcip.github.io/cidoc_crm_fr/v7.1/information/terminologie" TargetMode="External"/><Relationship Id="rId269" Type="http://schemas.openxmlformats.org/officeDocument/2006/relationships/hyperlink" Target="https://www.w3.org/OWL/" TargetMode="External"/><Relationship Id="rId434" Type="http://schemas.openxmlformats.org/officeDocument/2006/relationships/image" Target="media/image13.png"/><Relationship Id="rId476" Type="http://schemas.openxmlformats.org/officeDocument/2006/relationships/hyperlink" Target="https://doi.org/10.1007/3-540-45810-7_18" TargetMode="External"/><Relationship Id="rId33" Type="http://schemas.openxmlformats.org/officeDocument/2006/relationships/hyperlink" Target="https://chin-rcip.github.io/cidoc_crm_fr/v7.1/information/terminologie" TargetMode="External"/><Relationship Id="rId129" Type="http://schemas.openxmlformats.org/officeDocument/2006/relationships/hyperlink" Target="https://chin-rcip.github.io/cidoc_crm_fr/v7.1/information/principes-de-modelisation" TargetMode="External"/><Relationship Id="rId280" Type="http://schemas.openxmlformats.org/officeDocument/2006/relationships/hyperlink" Target="https://chin-rcip.github.io/cidoc_crm_fr/v7.1/information/terminologie" TargetMode="External"/><Relationship Id="rId336" Type="http://schemas.openxmlformats.org/officeDocument/2006/relationships/hyperlink" Target="https://chin-rcip.github.io/cidoc_crm_fr/v7.1/information/terminologie" TargetMode="External"/><Relationship Id="rId501" Type="http://schemas.openxmlformats.org/officeDocument/2006/relationships/hyperlink" Target="https://portail.biblissima.fr/fr/ark:/43093/mdata4173039fff31678134d93fd0bd8ff41dd71226a8" TargetMode="External"/><Relationship Id="rId543" Type="http://schemas.openxmlformats.org/officeDocument/2006/relationships/hyperlink" Target="https://essentiels.bnf.fr/fr/image/eff2e8b4-8e73-4800-91fb-7d277ca66a34-femme-devant-poele-7e-etat" TargetMode="External"/><Relationship Id="rId75" Type="http://schemas.openxmlformats.org/officeDocument/2006/relationships/hyperlink" Target="https://chin-rcip.github.io/cidoc_crm_fr/v7.1/information/terminologie" TargetMode="External"/><Relationship Id="rId140" Type="http://schemas.openxmlformats.org/officeDocument/2006/relationships/hyperlink" Target="https://chin-rcip.github.io/cidoc_crm_fr/v7.1/information/terminologie" TargetMode="External"/><Relationship Id="rId182" Type="http://schemas.openxmlformats.org/officeDocument/2006/relationships/hyperlink" Target="https://chin-rcip.github.io/cidoc_crm_fr/v7.1/information/terminologie" TargetMode="External"/><Relationship Id="rId378" Type="http://schemas.openxmlformats.org/officeDocument/2006/relationships/hyperlink" Target="https://portail.biblissima.fr/fr/ark:/43093/mdata4173039fff31678134d93fd0bd8ff41dd71226a8" TargetMode="External"/><Relationship Id="rId403" Type="http://schemas.openxmlformats.org/officeDocument/2006/relationships/hyperlink" Target="https://openlibrary.org/books/OL7063760M/The_palace_of_Minos" TargetMode="External"/><Relationship Id="rId6" Type="http://schemas.openxmlformats.org/officeDocument/2006/relationships/webSettings" Target="webSettings.xml"/><Relationship Id="rId238" Type="http://schemas.openxmlformats.org/officeDocument/2006/relationships/hyperlink" Target="https://chin-rcip.github.io/cidoc_crm_fr/v7.1/information/terminologie" TargetMode="External"/><Relationship Id="rId445" Type="http://schemas.openxmlformats.org/officeDocument/2006/relationships/image" Target="media/image17.png"/><Relationship Id="rId487" Type="http://schemas.openxmlformats.org/officeDocument/2006/relationships/hyperlink" Target="https://doi.org/10.2307/3100798" TargetMode="External"/><Relationship Id="rId291" Type="http://schemas.openxmlformats.org/officeDocument/2006/relationships/hyperlink" Target="https://chin-rcip.github.io/cidoc_crm_fr/v7.1/information/terminologie" TargetMode="External"/><Relationship Id="rId305" Type="http://schemas.openxmlformats.org/officeDocument/2006/relationships/hyperlink" Target="https://chin-rcip.github.io/cidoc_crm_fr/v7.1/information/terminologie" TargetMode="External"/><Relationship Id="rId347" Type="http://schemas.openxmlformats.org/officeDocument/2006/relationships/hyperlink" Target="https://chin-rcip.github.io/cidoc_crm_fr/v7.1/information/introduction-aux-concepts-fondamentaux" TargetMode="External"/><Relationship Id="rId512" Type="http://schemas.openxmlformats.org/officeDocument/2006/relationships/hyperlink" Target="https://vitrinelinguistique.oqlf.gouv.qc.ca/21640/la-typographie/nombres/ecriture-des-dates" TargetMode="External"/><Relationship Id="rId44" Type="http://schemas.openxmlformats.org/officeDocument/2006/relationships/hyperlink" Target="https://chin-rcip.github.io/cidoc_crm_fr/v7.1/information/terminologie" TargetMode="External"/><Relationship Id="rId86" Type="http://schemas.openxmlformats.org/officeDocument/2006/relationships/hyperlink" Target="https://chin-rcip.github.io/cidoc_crm_fr/v7.1/proprietes/declaration-des-proprietes-du-cidoc-crm" TargetMode="External"/><Relationship Id="rId151" Type="http://schemas.openxmlformats.org/officeDocument/2006/relationships/hyperlink" Target="https://chin-rcip.github.io/cidoc_crm_fr/v7.1/information/terminologie" TargetMode="External"/><Relationship Id="rId389" Type="http://schemas.openxmlformats.org/officeDocument/2006/relationships/hyperlink" Target="https://fr.wikipedia.org/w/index.php?title=%E5%AE%89" TargetMode="External"/><Relationship Id="rId554" Type="http://schemas.openxmlformats.org/officeDocument/2006/relationships/hyperlink" Target="https://fr.wikipedia.org/w/index.php?title=Liste_des_gravures_de_Rembrandt&amp;oldid=180898582" TargetMode="External"/><Relationship Id="rId193" Type="http://schemas.openxmlformats.org/officeDocument/2006/relationships/hyperlink" Target="https://chin-rcip.github.io/cidoc_crm_fr/v7.1/information/terminologie" TargetMode="External"/><Relationship Id="rId207" Type="http://schemas.openxmlformats.org/officeDocument/2006/relationships/hyperlink" Target="https://chin-rcip.github.io/cidoc_crm_fr/v7.1/information/terminologie" TargetMode="External"/><Relationship Id="rId249" Type="http://schemas.openxmlformats.org/officeDocument/2006/relationships/hyperlink" Target="https://www.btb.termiumplus.gc.ca/tpv2alpha/alpha-fra.html?lang=fra&amp;i=&amp;index=alt&amp;srchtxt=CATEGORIE%20REPETABLE" TargetMode="External"/><Relationship Id="rId414" Type="http://schemas.openxmlformats.org/officeDocument/2006/relationships/hyperlink" Target="https://fr.wikipedia.org/w/index.php?title=Penny&amp;oldid=199318252" TargetMode="External"/><Relationship Id="rId456" Type="http://schemas.openxmlformats.org/officeDocument/2006/relationships/hyperlink" Target="https://fr.wikipedia.org/w/index.php?title=La_Relativit%C3%A9&amp;oldid=197771496" TargetMode="External"/><Relationship Id="rId498" Type="http://schemas.openxmlformats.org/officeDocument/2006/relationships/hyperlink" Target="http://www.yoyodesign.org/doc/w3c/swbp-vocab-pub/" TargetMode="External"/><Relationship Id="rId13" Type="http://schemas.openxmlformats.org/officeDocument/2006/relationships/hyperlink" Target="https://chin-rcip.github.io/cidoc_crm_fr/v7.1/information/terminologie" TargetMode="External"/><Relationship Id="rId109" Type="http://schemas.openxmlformats.org/officeDocument/2006/relationships/hyperlink" Target="https://chin-rcip.github.io/cidoc_crm_fr/v7.1/information/terminologie" TargetMode="External"/><Relationship Id="rId260" Type="http://schemas.openxmlformats.org/officeDocument/2006/relationships/hyperlink" Target="https://chin-rcip.github.io/cidoc_crm_fr/v7.1/information/terminologie" TargetMode="External"/><Relationship Id="rId316" Type="http://schemas.openxmlformats.org/officeDocument/2006/relationships/hyperlink" Target="https://chin-rcip.github.io/cidoc_crm_fr/v7.1/information/terminologie" TargetMode="External"/><Relationship Id="rId523" Type="http://schemas.openxmlformats.org/officeDocument/2006/relationships/hyperlink" Target="https://www.btb.termiumplus.gc.ca/tpv2alpha/alpha-fra.html?lang=fra&amp;i=1&amp;srchtxt=construct&amp;index=ent&amp;codom2nd_wet=1" TargetMode="External"/><Relationship Id="rId55" Type="http://schemas.openxmlformats.org/officeDocument/2006/relationships/hyperlink" Target="https://chin-rcip.github.io/cidoc_crm_fr/v7.1/information/terminologie" TargetMode="External"/><Relationship Id="rId97" Type="http://schemas.openxmlformats.org/officeDocument/2006/relationships/hyperlink" Target="https://chin-rcip.github.io/cidoc_crm_fr/v7.1/information/terminologie" TargetMode="External"/><Relationship Id="rId120" Type="http://schemas.openxmlformats.org/officeDocument/2006/relationships/hyperlink" Target="https://chin-rcip.github.io/cidoc_crm_fr/v7.1/information/terminologie" TargetMode="External"/><Relationship Id="rId358" Type="http://schemas.openxmlformats.org/officeDocument/2006/relationships/hyperlink" Target="https://chin-rcip.github.io/cidoc_crm_fr/v7.1/information/terminologie" TargetMode="External"/><Relationship Id="rId565" Type="http://schemas.openxmlformats.org/officeDocument/2006/relationships/hyperlink" Target="https://www.editions-allia.com/fr/livre/91/pensees-sur-limitation-des-uvres-grecques-en-peinture-et-en-sculpture" TargetMode="External"/><Relationship Id="rId162" Type="http://schemas.openxmlformats.org/officeDocument/2006/relationships/hyperlink" Target="https://www.btb.termiumplus.gc.ca/tpv2alpha/alpha-fra.html?lang=fra&amp;i=1&amp;srchtxt=quantifier&amp;index=ent&amp;codom2nd_wet=1" TargetMode="External"/><Relationship Id="rId218" Type="http://schemas.openxmlformats.org/officeDocument/2006/relationships/hyperlink" Target="https://chin-rcip.github.io/cidoc_crm_fr/v7.1/information/terminologie" TargetMode="External"/><Relationship Id="rId425" Type="http://schemas.openxmlformats.org/officeDocument/2006/relationships/hyperlink" Target="https://vitrinelinguistique.oqlf.gouv.qc.ca/23433/la-grammaire/ladjectif/accord-de-ladjectif/cas-particuliers-daccord-de-ladjectif/accord-des-adjectifs-maximal-minimal-et-optimal" TargetMode="External"/><Relationship Id="rId467" Type="http://schemas.openxmlformats.org/officeDocument/2006/relationships/hyperlink" Target="https://doi.org/10.1017/S0068246213000123" TargetMode="External"/><Relationship Id="rId271" Type="http://schemas.openxmlformats.org/officeDocument/2006/relationships/hyperlink" Target="https://chin-rcip.github.io/cidoc_crm_fr/v7.1/information/terminologie" TargetMode="External"/><Relationship Id="rId24" Type="http://schemas.openxmlformats.org/officeDocument/2006/relationships/hyperlink" Target="https://chin-rcip.github.io/cidoc_crm_fr/v7.1/information/terminologie" TargetMode="External"/><Relationship Id="rId66" Type="http://schemas.openxmlformats.org/officeDocument/2006/relationships/hyperlink" Target="https://chin-rcip.github.io/cidoc_crm_fr/v7.1/information/terminologie" TargetMode="External"/><Relationship Id="rId131" Type="http://schemas.openxmlformats.org/officeDocument/2006/relationships/hyperlink" Target="https://chin-rcip.github.io/cidoc_crm_fr/v7.1/information/principes-de-modelisation" TargetMode="External"/><Relationship Id="rId327" Type="http://schemas.openxmlformats.org/officeDocument/2006/relationships/hyperlink" Target="https://chin-rcip.github.io/cidoc_crm_fr/v7.1/information/terminologie" TargetMode="External"/><Relationship Id="rId369" Type="http://schemas.openxmlformats.org/officeDocument/2006/relationships/hyperlink" Target="http://www.cidoc-crm.org/crmgeo/home-5" TargetMode="External"/><Relationship Id="rId534" Type="http://schemas.openxmlformats.org/officeDocument/2006/relationships/hyperlink" Target="https://www.btb.termiumplus.gc.ca/tpv2alpha/alpha-fra.html?lang=fra&amp;i=1&amp;srchtxt=normalization&amp;index=alt&amp;codom2nd_wet=1" TargetMode="External"/><Relationship Id="rId576" Type="http://schemas.openxmlformats.org/officeDocument/2006/relationships/fontTable" Target="fontTable.xml"/><Relationship Id="rId173" Type="http://schemas.openxmlformats.org/officeDocument/2006/relationships/hyperlink" Target="https://chin-rcip.github.io/cidoc_crm_fr/v7.1/information/terminologie" TargetMode="External"/><Relationship Id="rId229" Type="http://schemas.openxmlformats.org/officeDocument/2006/relationships/hyperlink" Target="https://chin-rcip.github.io/cidoc_crm_fr/v7.1/information/terminologie" TargetMode="External"/><Relationship Id="rId380" Type="http://schemas.openxmlformats.org/officeDocument/2006/relationships/hyperlink" Target="https://portail.biblissima.fr/fr/ark:/43093/mdata4173039fff31678134d93fd0bd8ff41dd71226a8" TargetMode="External"/><Relationship Id="rId436" Type="http://schemas.openxmlformats.org/officeDocument/2006/relationships/image" Target="media/image14.png"/><Relationship Id="rId240" Type="http://schemas.openxmlformats.org/officeDocument/2006/relationships/hyperlink" Target="https://chin-rcip.github.io/cidoc_crm_fr/v7.1/information/terminologie" TargetMode="External"/><Relationship Id="rId478" Type="http://schemas.openxmlformats.org/officeDocument/2006/relationships/hyperlink" Target="https://doi.org/10.1017/CBO9781139333580" TargetMode="External"/><Relationship Id="rId35" Type="http://schemas.openxmlformats.org/officeDocument/2006/relationships/hyperlink" Target="https://chin-rcip.github.io/cidoc_crm_fr/v7.1/information/terminologie" TargetMode="External"/><Relationship Id="rId77" Type="http://schemas.openxmlformats.org/officeDocument/2006/relationships/hyperlink" Target="https://chin-rcip.github.io/cidoc_crm_fr/v7.1/information/terminologie" TargetMode="External"/><Relationship Id="rId100" Type="http://schemas.openxmlformats.org/officeDocument/2006/relationships/hyperlink" Target="https://chin-rcip.github.io/cidoc_crm_fr/v7.1/information/principes-de-modelisation" TargetMode="External"/><Relationship Id="rId282" Type="http://schemas.openxmlformats.org/officeDocument/2006/relationships/hyperlink" Target="https://chin-rcip.github.io/cidoc_crm_fr/v7.1/information/terminologie" TargetMode="External"/><Relationship Id="rId338" Type="http://schemas.openxmlformats.org/officeDocument/2006/relationships/hyperlink" Target="https://chin-rcip.github.io/cidoc_crm_fr/v7.1/information/terminologie" TargetMode="External"/><Relationship Id="rId503" Type="http://schemas.openxmlformats.org/officeDocument/2006/relationships/hyperlink" Target="http://cidoc.mini.icom.museum/fr/" TargetMode="External"/><Relationship Id="rId545" Type="http://schemas.openxmlformats.org/officeDocument/2006/relationships/hyperlink" Target="https://fr.wikipedia.org/w/index.php?title=Extension_conservatrice&amp;oldid=143598511" TargetMode="External"/><Relationship Id="rId8" Type="http://schemas.openxmlformats.org/officeDocument/2006/relationships/endnotes" Target="endnotes.xml"/><Relationship Id="rId142" Type="http://schemas.openxmlformats.org/officeDocument/2006/relationships/hyperlink" Target="https://chin-rcip.github.io/cidoc_crm_fr/v7.1/information/terminologie" TargetMode="External"/><Relationship Id="rId184" Type="http://schemas.openxmlformats.org/officeDocument/2006/relationships/hyperlink" Target="https://chin-rcip.github.io/cidoc_crm_fr/v7.1/information/terminologie" TargetMode="External"/><Relationship Id="rId391" Type="http://schemas.openxmlformats.org/officeDocument/2006/relationships/hyperlink" Target="http://www.cidoc-crm.org/crmgeo/home-5" TargetMode="External"/><Relationship Id="rId405" Type="http://schemas.openxmlformats.org/officeDocument/2006/relationships/hyperlink" Target="https://fr.wikipedia.org/w/index.php?title=Georges_Amoudruz&amp;oldid=202151566" TargetMode="External"/><Relationship Id="rId447" Type="http://schemas.openxmlformats.org/officeDocument/2006/relationships/image" Target="media/image18.png"/><Relationship Id="rId251" Type="http://schemas.openxmlformats.org/officeDocument/2006/relationships/hyperlink" Target="https://chin-rcip.github.io/cidoc_crm_fr/v7.1/information/terminologie" TargetMode="External"/><Relationship Id="rId489" Type="http://schemas.openxmlformats.org/officeDocument/2006/relationships/hyperlink" Target="https://hermitagemuseum.org/wps/portal/hermitage/digital-collection/01.+Paintings/32730" TargetMode="External"/><Relationship Id="rId46" Type="http://schemas.openxmlformats.org/officeDocument/2006/relationships/hyperlink" Target="https://chin-rcip.github.io/cidoc_crm_fr/v7.1/information/terminologie" TargetMode="External"/><Relationship Id="rId293" Type="http://schemas.openxmlformats.org/officeDocument/2006/relationships/hyperlink" Target="https://chin-rcip.github.io/cidoc_crm_fr/v7.1/information/terminologie" TargetMode="External"/><Relationship Id="rId307" Type="http://schemas.openxmlformats.org/officeDocument/2006/relationships/hyperlink" Target="https://chin-rcip.github.io/cidoc_crm_fr/v7.1/information/principes-de-modelisation" TargetMode="External"/><Relationship Id="rId349" Type="http://schemas.openxmlformats.org/officeDocument/2006/relationships/image" Target="media/image2.png"/><Relationship Id="rId514" Type="http://schemas.openxmlformats.org/officeDocument/2006/relationships/hyperlink" Target="https://vitrinelinguistique.oqlf.gouv.qc.ca/22247/le-vocabulaire/nuances-semantiques/difference-entre-procede-processus-et-procedure" TargetMode="External"/><Relationship Id="rId556" Type="http://schemas.openxmlformats.org/officeDocument/2006/relationships/hyperlink" Target="https://fr.wikipedia.org/w/index.php?title=Chrisme&amp;oldid=184249375" TargetMode="External"/><Relationship Id="rId88" Type="http://schemas.openxmlformats.org/officeDocument/2006/relationships/hyperlink" Target="https://chin-rcip.github.io/cidoc_crm_fr/v7.1/information/terminologie" TargetMode="External"/><Relationship Id="rId111" Type="http://schemas.openxmlformats.org/officeDocument/2006/relationships/hyperlink" Target="https://chin-rcip.github.io/cidoc_crm_fr/v7.1/information/terminologie" TargetMode="External"/><Relationship Id="rId153" Type="http://schemas.openxmlformats.org/officeDocument/2006/relationships/hyperlink" Target="https://www.btb.termiumplus.gc.ca/tpv2alpha/alpha-fra.html?lang=fra&amp;i=1&amp;srchtxt=containment&amp;index=ent&amp;codom2nd_wet=1" TargetMode="External"/><Relationship Id="rId195" Type="http://schemas.openxmlformats.org/officeDocument/2006/relationships/hyperlink" Target="https://chin-rcip.github.io/cidoc_crm_fr/v7.1/information/terminologie" TargetMode="External"/><Relationship Id="rId209" Type="http://schemas.openxmlformats.org/officeDocument/2006/relationships/hyperlink" Target="https://www.btb.termiumplus.gc.ca/tpv2alpha/alpha-fra.html?lang=fra&amp;i=&amp;index=alt&amp;srchtxt=CATEGORIE%20REPETABLE" TargetMode="External"/><Relationship Id="rId360" Type="http://schemas.openxmlformats.org/officeDocument/2006/relationships/image" Target="media/image7.png"/><Relationship Id="rId416" Type="http://schemas.openxmlformats.org/officeDocument/2006/relationships/hyperlink" Target="https://www.btb.termiumplus.gc.ca/tpv2alpha/alpha-fra.html?lang=fra&amp;i=1&amp;srchtxt=back+catalogue&amp;index=alt&amp;codom2nd_wet=1" TargetMode="External"/><Relationship Id="rId220" Type="http://schemas.openxmlformats.org/officeDocument/2006/relationships/hyperlink" Target="https://chin-rcip.github.io/cidoc_crm_fr/v7.1/information/terminologie" TargetMode="External"/><Relationship Id="rId458" Type="http://schemas.openxmlformats.org/officeDocument/2006/relationships/hyperlink" Target="https://archives.yale.edu/repositories/12/archival_objects/1402266" TargetMode="External"/><Relationship Id="rId15" Type="http://schemas.openxmlformats.org/officeDocument/2006/relationships/hyperlink" Target="http://icom.museum/statutes.html" TargetMode="External"/><Relationship Id="rId57" Type="http://schemas.openxmlformats.org/officeDocument/2006/relationships/hyperlink" Target="https://chin-rcip.github.io/cidoc_crm_fr/v7.1/information/terminologie" TargetMode="External"/><Relationship Id="rId262" Type="http://schemas.openxmlformats.org/officeDocument/2006/relationships/hyperlink" Target="https://chin-rcip.github.io/cidoc_crm_fr/v7.1/information/terminologie" TargetMode="External"/><Relationship Id="rId318" Type="http://schemas.openxmlformats.org/officeDocument/2006/relationships/hyperlink" Target="https://chin-rcip.github.io/cidoc_crm_fr/v7.1/information/terminologie" TargetMode="External"/><Relationship Id="rId525" Type="http://schemas.openxmlformats.org/officeDocument/2006/relationships/hyperlink" Target="https://www.btb.termiumplus.gc.ca/tpv2alpha/alpha-fra.html?lang=fra&amp;i=1&amp;srchtxt=contiguous&amp;codom2nd_wet=1" TargetMode="External"/><Relationship Id="rId567" Type="http://schemas.openxmlformats.org/officeDocument/2006/relationships/hyperlink" Target="https://chin-rcip.github.io/cidoc_crm_fr/v7.1/annexe" TargetMode="External"/><Relationship Id="rId99" Type="http://schemas.openxmlformats.org/officeDocument/2006/relationships/hyperlink" Target="https://chin-rcip.github.io/cidoc_crm_fr/v7.1/information/terminologie" TargetMode="External"/><Relationship Id="rId122" Type="http://schemas.openxmlformats.org/officeDocument/2006/relationships/hyperlink" Target="https://chin-rcip.github.io/cidoc_crm_fr/v7.1/information/terminologie" TargetMode="External"/><Relationship Id="rId164" Type="http://schemas.openxmlformats.org/officeDocument/2006/relationships/hyperlink" Target="https://chin-rcip.github.io/cidoc_crm_fr/v7.1/information/terminologie" TargetMode="External"/><Relationship Id="rId371" Type="http://schemas.openxmlformats.org/officeDocument/2006/relationships/hyperlink" Target="https://vitrinelinguistique.oqlf.gouv.qc.ca/22247/le-vocabulaire/nuances-semantiques/difference-entre-procede-processus-et-procedure" TargetMode="External"/><Relationship Id="rId427" Type="http://schemas.openxmlformats.org/officeDocument/2006/relationships/image" Target="media/image8.png"/><Relationship Id="rId469" Type="http://schemas.openxmlformats.org/officeDocument/2006/relationships/hyperlink" Target="https://doi.org/10.1177/030913330102500304" TargetMode="External"/><Relationship Id="rId26" Type="http://schemas.openxmlformats.org/officeDocument/2006/relationships/hyperlink" Target="https://chin-rcip.github.io/cidoc_crm_fr/v7.1/information/terminologie" TargetMode="External"/><Relationship Id="rId231" Type="http://schemas.openxmlformats.org/officeDocument/2006/relationships/hyperlink" Target="https://www.btb.termiumplus.gc.ca/tpv2alpha/alpha-fra.html?lang=fra&amp;i=&amp;index=alt&amp;srchtxt=CATEGORIE%20REPETABLE" TargetMode="External"/><Relationship Id="rId273" Type="http://schemas.openxmlformats.org/officeDocument/2006/relationships/hyperlink" Target="https://chin-rcip.github.io/cidoc_crm_fr/v7.1/information/terminologie" TargetMode="External"/><Relationship Id="rId329" Type="http://schemas.openxmlformats.org/officeDocument/2006/relationships/hyperlink" Target="https://chin-rcip.github.io/cidoc_crm_fr/v7.1/information/principes-de-modelisation" TargetMode="External"/><Relationship Id="rId480" Type="http://schemas.openxmlformats.org/officeDocument/2006/relationships/hyperlink" Target="https://doi.org/10.2307/499533" TargetMode="External"/><Relationship Id="rId536" Type="http://schemas.openxmlformats.org/officeDocument/2006/relationships/hyperlink" Target="https://www.btb.termiumplus.gc.ca/tpv2alpha/alpha-fra.html?lang=fra&amp;i=1&amp;srchtxt=quantifier&amp;index=ent&amp;codom2nd_wet=1" TargetMode="External"/><Relationship Id="rId68" Type="http://schemas.openxmlformats.org/officeDocument/2006/relationships/hyperlink" Target="https://chin-rcip.github.io/cidoc_crm_fr/v7.1/information/terminologie" TargetMode="External"/><Relationship Id="rId133" Type="http://schemas.openxmlformats.org/officeDocument/2006/relationships/hyperlink" Target="https://www.btb.termiumplus.gc.ca/tpv2alpha/alpha-fra.html?lang=fra&amp;i=1&amp;srchtxt=primitive&amp;index=ent&amp;codom2nd_wet=1" TargetMode="External"/><Relationship Id="rId175" Type="http://schemas.openxmlformats.org/officeDocument/2006/relationships/hyperlink" Target="https://chin-rcip.github.io/cidoc_crm_fr/v7.1/information/principes-de-modelisation" TargetMode="External"/><Relationship Id="rId340" Type="http://schemas.openxmlformats.org/officeDocument/2006/relationships/hyperlink" Target="https://chin-rcip.github.io/cidoc_crm_fr/v7.1/information/terminologie" TargetMode="External"/><Relationship Id="rId200" Type="http://schemas.openxmlformats.org/officeDocument/2006/relationships/hyperlink" Target="https://chin-rcip.github.io/cidoc_crm_fr/v7.1/information/terminologie" TargetMode="External"/><Relationship Id="rId382" Type="http://schemas.openxmlformats.org/officeDocument/2006/relationships/hyperlink" Target="https://www.moulinduverger.com/reliure-manuelle/roret-69.php" TargetMode="External"/><Relationship Id="rId438" Type="http://schemas.openxmlformats.org/officeDocument/2006/relationships/hyperlink" Target="https://fr.wikipedia.org/wiki/Alg%C3%A8bre_des_intervalles_d%27Allen" TargetMode="External"/><Relationship Id="rId242" Type="http://schemas.openxmlformats.org/officeDocument/2006/relationships/hyperlink" Target="https://www.btb.termiumplus.gc.ca/tpv2alpha/alpha-fra.html?lang=fra&amp;i=1&amp;srchtxt=fan-in&amp;index=ent&amp;codom2nd_wet=1" TargetMode="External"/><Relationship Id="rId284" Type="http://schemas.openxmlformats.org/officeDocument/2006/relationships/hyperlink" Target="https://chin-rcip.github.io/cidoc_crm_fr/v7.1/information/terminologie" TargetMode="External"/><Relationship Id="rId491" Type="http://schemas.openxmlformats.org/officeDocument/2006/relationships/hyperlink" Target="https://www.culture.si/en/Department_of_Library_and_Information_Science_and_Book_Studies,University_of_Ljubljana" TargetMode="External"/><Relationship Id="rId505" Type="http://schemas.openxmlformats.org/officeDocument/2006/relationships/hyperlink" Target="http://cidoc-crm.org/sites/default/files/CIDOC%20CRM_v.7.1%20%5B8%20March%202021%5D.pdf" TargetMode="External"/><Relationship Id="rId37" Type="http://schemas.openxmlformats.org/officeDocument/2006/relationships/hyperlink" Target="https://chin-rcip.github.io/cidoc_crm_fr/v7.1/information/terminologie" TargetMode="External"/><Relationship Id="rId79" Type="http://schemas.openxmlformats.org/officeDocument/2006/relationships/hyperlink" Target="https://chin-rcip.github.io/cidoc_crm_fr/v7.1/proprietes/declaration-des-proprietes-du-cidoc-crm" TargetMode="External"/><Relationship Id="rId102" Type="http://schemas.openxmlformats.org/officeDocument/2006/relationships/hyperlink" Target="https://chin-rcip.github.io/cidoc_crm_fr/v7.1/information/terminologie" TargetMode="External"/><Relationship Id="rId144" Type="http://schemas.openxmlformats.org/officeDocument/2006/relationships/hyperlink" Target="https://www.lri.fr/~groz/documents/rapport.pdf" TargetMode="External"/><Relationship Id="rId547" Type="http://schemas.openxmlformats.org/officeDocument/2006/relationships/hyperlink" Target="https://fr.wikipedia.org/w/index.php?title=%E5%AE%89" TargetMode="External"/><Relationship Id="rId90" Type="http://schemas.openxmlformats.org/officeDocument/2006/relationships/hyperlink" Target="https://chin-rcip.github.io/cidoc_crm_fr/v7.1/information/terminologie" TargetMode="External"/><Relationship Id="rId186" Type="http://schemas.openxmlformats.org/officeDocument/2006/relationships/hyperlink" Target="https://chin-rcip.github.io/cidoc_crm_fr/v7.1/information/terminologie" TargetMode="External"/><Relationship Id="rId351" Type="http://schemas.openxmlformats.org/officeDocument/2006/relationships/hyperlink" Target="https://www.editions-allia.com/fr/livre/91/pensees-sur-limitation-des-uvres-grecques-en-peinture-et-en-sculpture" TargetMode="External"/><Relationship Id="rId393" Type="http://schemas.openxmlformats.org/officeDocument/2006/relationships/hyperlink" Target="https://www.btb.termiumplus.gc.ca/tpv2alpha/alpha-fra.html?lang=fra&amp;srchtxt=VIA&amp;i=&amp;index=ent&amp;sg_kp_wet=1323269&amp;fchrcrdnm=4" TargetMode="External"/><Relationship Id="rId407" Type="http://schemas.openxmlformats.org/officeDocument/2006/relationships/hyperlink" Target="https://fr.wikipedia.org/w/index.php?title=Expositions_des_vestiges_arch%C3%A9ologiques_provenant_de_la_tombe_de_Tout%C3%A2nkhamon&amp;oldid=179392035" TargetMode="External"/><Relationship Id="rId449" Type="http://schemas.openxmlformats.org/officeDocument/2006/relationships/hyperlink" Target="https://fr.wikipedia.org/wiki/Alg%C3%A8bre_des_intervalles_d%27Allen" TargetMode="External"/><Relationship Id="rId211" Type="http://schemas.openxmlformats.org/officeDocument/2006/relationships/hyperlink" Target="https://chin-rcip.github.io/cidoc_crm_fr/v7.1/information/terminologie" TargetMode="External"/><Relationship Id="rId253" Type="http://schemas.openxmlformats.org/officeDocument/2006/relationships/hyperlink" Target="https://chin-rcip.github.io/cidoc_crm_fr/v7.1/information/terminologie" TargetMode="External"/><Relationship Id="rId295" Type="http://schemas.openxmlformats.org/officeDocument/2006/relationships/hyperlink" Target="https://chin-rcip.github.io/cidoc_crm_fr/v7.1/information/introduction-aux-concepts-fondamentaux" TargetMode="External"/><Relationship Id="rId309" Type="http://schemas.openxmlformats.org/officeDocument/2006/relationships/hyperlink" Target="https://chin-rcip.github.io/cidoc_crm_fr/v7.1/information/terminologie" TargetMode="External"/><Relationship Id="rId460" Type="http://schemas.openxmlformats.org/officeDocument/2006/relationships/hyperlink" Target="https://doi.org/10.1145/182.358434" TargetMode="External"/><Relationship Id="rId516" Type="http://schemas.openxmlformats.org/officeDocument/2006/relationships/hyperlink" Target="https://www.w3.org/OWL/" TargetMode="External"/><Relationship Id="rId48" Type="http://schemas.openxmlformats.org/officeDocument/2006/relationships/hyperlink" Target="https://chin-rcip.github.io/cidoc_crm_fr/v7.1/information/terminologie" TargetMode="External"/><Relationship Id="rId113" Type="http://schemas.openxmlformats.org/officeDocument/2006/relationships/hyperlink" Target="https://chin-rcip.github.io/cidoc_crm_fr/v7.1/information/terminologie" TargetMode="External"/><Relationship Id="rId320" Type="http://schemas.openxmlformats.org/officeDocument/2006/relationships/hyperlink" Target="https://chin-rcip.github.io/cidoc_crm_fr/v7.1/information/terminologie" TargetMode="External"/><Relationship Id="rId558" Type="http://schemas.openxmlformats.org/officeDocument/2006/relationships/hyperlink" Target="https://fr.wikipedia.org/w/index.php?title=La_Relativit%C3%A9&amp;oldid=197771496" TargetMode="External"/><Relationship Id="rId155" Type="http://schemas.openxmlformats.org/officeDocument/2006/relationships/hyperlink" Target="https://chin-rcip.github.io/cidoc_crm_fr/v7.1/information/terminologie" TargetMode="External"/><Relationship Id="rId197" Type="http://schemas.openxmlformats.org/officeDocument/2006/relationships/hyperlink" Target="https://chin-rcip.github.io/cidoc_crm_fr/v7.1/information/terminologie" TargetMode="External"/><Relationship Id="rId362" Type="http://schemas.openxmlformats.org/officeDocument/2006/relationships/hyperlink" Target="https://www.w3.org/OWL/" TargetMode="External"/><Relationship Id="rId418" Type="http://schemas.openxmlformats.org/officeDocument/2006/relationships/hyperlink" Target="https://www.btb.termiumplus.gc.ca/tpv2alpha/alpha-fra.html?lang=fra&amp;i=1&amp;srchtxt=back+catalogue&amp;index=alt&amp;codom2nd_wet=1" TargetMode="External"/><Relationship Id="rId222" Type="http://schemas.openxmlformats.org/officeDocument/2006/relationships/hyperlink" Target="https://chin-rcip.github.io/cidoc_crm_fr/v7.1/information/terminologie" TargetMode="External"/><Relationship Id="rId264" Type="http://schemas.openxmlformats.org/officeDocument/2006/relationships/hyperlink" Target="https://www.w3.org/OWL/" TargetMode="External"/><Relationship Id="rId471" Type="http://schemas.openxmlformats.org/officeDocument/2006/relationships/hyperlink" Target="https://doi.org/10.1080/03007760802021093" TargetMode="External"/><Relationship Id="rId17" Type="http://schemas.openxmlformats.org/officeDocument/2006/relationships/hyperlink" Target="http://www.w3.org/RDF/" TargetMode="External"/><Relationship Id="rId59" Type="http://schemas.openxmlformats.org/officeDocument/2006/relationships/hyperlink" Target="https://chin-rcip.github.io/cidoc_crm_fr/v7.1/information/terminologie" TargetMode="External"/><Relationship Id="rId124" Type="http://schemas.openxmlformats.org/officeDocument/2006/relationships/hyperlink" Target="https://chin-rcip.github.io/cidoc_crm_fr/v7.1/information/terminologie" TargetMode="External"/><Relationship Id="rId527" Type="http://schemas.openxmlformats.org/officeDocument/2006/relationships/hyperlink" Target="https://www.btb.termiumplus.gc.ca/tpv2alpha/alpha-fra.html?lang=fra&amp;i=1&amp;srchtxt=directed+graph&amp;index=alt&amp;codom2nd_wet=1" TargetMode="External"/><Relationship Id="rId569" Type="http://schemas.openxmlformats.org/officeDocument/2006/relationships/hyperlink" Target="https://chin-rcip.github.io/cidoc_crm_fr/v7.1/annexe" TargetMode="External"/><Relationship Id="rId70" Type="http://schemas.openxmlformats.org/officeDocument/2006/relationships/hyperlink" Target="https://chin-rcip.github.io/cidoc_crm_fr/v7.1/information/terminologie" TargetMode="External"/><Relationship Id="rId166" Type="http://schemas.openxmlformats.org/officeDocument/2006/relationships/hyperlink" Target="https://chin-rcip.github.io/cidoc_crm_fr/v7.1/information/principes-de-modelisation" TargetMode="External"/><Relationship Id="rId331" Type="http://schemas.openxmlformats.org/officeDocument/2006/relationships/hyperlink" Target="https://chin-rcip.github.io/cidoc_crm_fr/v7.1/information/terminologie" TargetMode="External"/><Relationship Id="rId373" Type="http://schemas.openxmlformats.org/officeDocument/2006/relationships/hyperlink" Target="https://fr.wikipedia.org/w/index.php?title=Expositions_des_vestiges_arch%C3%A9ologiques_provenant_de_la_tombe_de_Tout%C3%A2nkhamon&amp;oldid=179392035" TargetMode="External"/><Relationship Id="rId429" Type="http://schemas.openxmlformats.org/officeDocument/2006/relationships/hyperlink" Target="https://fr.wikipedia.org/wiki/Alg%C3%A8bre_des_intervalles_d%27Allen" TargetMode="External"/><Relationship Id="rId1" Type="http://schemas.openxmlformats.org/officeDocument/2006/relationships/customXml" Target="../customXml/item1.xml"/><Relationship Id="rId233" Type="http://schemas.openxmlformats.org/officeDocument/2006/relationships/hyperlink" Target="https://chin-rcip.github.io/cidoc_crm_fr/v7.1/information/terminologie" TargetMode="External"/><Relationship Id="rId440" Type="http://schemas.openxmlformats.org/officeDocument/2006/relationships/hyperlink" Target="https://reliuredartdare.com/2021/09/batonnets-tranchefile-fabrication/" TargetMode="External"/><Relationship Id="rId28" Type="http://schemas.openxmlformats.org/officeDocument/2006/relationships/hyperlink" Target="https://chin-rcip.github.io/cidoc_crm_fr/v7.1/information/terminologie" TargetMode="External"/><Relationship Id="rId275" Type="http://schemas.openxmlformats.org/officeDocument/2006/relationships/hyperlink" Target="https://chin-rcip.github.io/cidoc_crm_fr/v7.1/information/terminologie" TargetMode="External"/><Relationship Id="rId300" Type="http://schemas.openxmlformats.org/officeDocument/2006/relationships/hyperlink" Target="https://chin-rcip.github.io/cidoc_crm_fr/v7.1/information/terminologie" TargetMode="External"/><Relationship Id="rId482" Type="http://schemas.openxmlformats.org/officeDocument/2006/relationships/hyperlink" Target="https://www.musee-orsay.fr/fr/collections/catalogue-des-oeuvres/notice.html?no_cache=1&amp;nnumid=715" TargetMode="External"/><Relationship Id="rId538" Type="http://schemas.openxmlformats.org/officeDocument/2006/relationships/hyperlink" Target="https://www.btb.termiumplus.gc.ca/tpv2alpha/alpha-fra.html?lang=fra&amp;i=1&amp;srchtxt=custody&amp;codom2nd_wet=1" TargetMode="External"/><Relationship Id="rId81" Type="http://schemas.openxmlformats.org/officeDocument/2006/relationships/hyperlink" Target="https://chin-rcip.github.io/cidoc_crm_fr/v7.1/information/terminologie" TargetMode="External"/><Relationship Id="rId135" Type="http://schemas.openxmlformats.org/officeDocument/2006/relationships/hyperlink" Target="https://chin-rcip.github.io/cidoc_crm_fr/v7.1/information/principes-de-modelisation" TargetMode="External"/><Relationship Id="rId177" Type="http://schemas.openxmlformats.org/officeDocument/2006/relationships/hyperlink" Target="https://chin-rcip.github.io/cidoc_crm_fr/v7.1/information/terminologie" TargetMode="External"/><Relationship Id="rId342" Type="http://schemas.openxmlformats.org/officeDocument/2006/relationships/hyperlink" Target="https://chin-rcip.github.io/cidoc_crm_fr/v7.1/information/terminologie" TargetMode="External"/><Relationship Id="rId384" Type="http://schemas.openxmlformats.org/officeDocument/2006/relationships/hyperlink" Target="https://www.cbbag.ca/resources/Public/Book%20Arts%20ENG%20FRE%20Translation.pdf" TargetMode="External"/><Relationship Id="rId202" Type="http://schemas.openxmlformats.org/officeDocument/2006/relationships/hyperlink" Target="https://chin-rcip.github.io/cidoc_crm_fr/v7.1/information/terminologie" TargetMode="External"/><Relationship Id="rId244" Type="http://schemas.openxmlformats.org/officeDocument/2006/relationships/hyperlink" Target="https://chin-rcip.github.io/cidoc_crm_fr/v7.1/information/terminologie" TargetMode="External"/><Relationship Id="rId39" Type="http://schemas.openxmlformats.org/officeDocument/2006/relationships/hyperlink" Target="https://chin-rcip.github.io/cidoc_crm_fr/v7.1/information/terminologie" TargetMode="External"/><Relationship Id="rId286" Type="http://schemas.openxmlformats.org/officeDocument/2006/relationships/hyperlink" Target="https://chin-rcip.github.io/cidoc_crm_fr/v7.1/information/terminologie" TargetMode="External"/><Relationship Id="rId451" Type="http://schemas.openxmlformats.org/officeDocument/2006/relationships/image" Target="media/image21.png"/><Relationship Id="rId493" Type="http://schemas.openxmlformats.org/officeDocument/2006/relationships/hyperlink" Target="https://www.britannica.com/biography/Johann-Joachim-Winckelmann" TargetMode="External"/><Relationship Id="rId507" Type="http://schemas.openxmlformats.org/officeDocument/2006/relationships/hyperlink" Target="https://www.canada.ca/fr/institut-conservation/services/traitements-services-conservation/traitements-conservation.html" TargetMode="External"/><Relationship Id="rId549" Type="http://schemas.openxmlformats.org/officeDocument/2006/relationships/hyperlink" Target="https://fr.wikipedia.org/w/index.php?title=Fan-in&amp;oldid=176479056" TargetMode="External"/><Relationship Id="rId50" Type="http://schemas.openxmlformats.org/officeDocument/2006/relationships/hyperlink" Target="https://chin-rcip.github.io/cidoc_crm_fr/v7.1/information/terminologie" TargetMode="External"/><Relationship Id="rId104" Type="http://schemas.openxmlformats.org/officeDocument/2006/relationships/hyperlink" Target="https://chin-rcip.github.io/cidoc_crm_fr/v7.1/information/terminologie" TargetMode="External"/><Relationship Id="rId146" Type="http://schemas.openxmlformats.org/officeDocument/2006/relationships/hyperlink" Target="https://chin-rcip.github.io/cidoc_crm_fr/v7.1/information/terminologie" TargetMode="External"/><Relationship Id="rId188" Type="http://schemas.openxmlformats.org/officeDocument/2006/relationships/hyperlink" Target="https://chin-rcip.github.io/cidoc_crm_fr/v7.1/information/terminologie" TargetMode="External"/><Relationship Id="rId311" Type="http://schemas.openxmlformats.org/officeDocument/2006/relationships/hyperlink" Target="https://chin-rcip.github.io/cidoc_crm_fr/v7.1/information/terminologie" TargetMode="External"/><Relationship Id="rId353" Type="http://schemas.openxmlformats.org/officeDocument/2006/relationships/image" Target="media/image5.png"/><Relationship Id="rId395" Type="http://schemas.openxmlformats.org/officeDocument/2006/relationships/hyperlink" Target="https://www.btb.termiumplus.gc.ca/tpv2alpha/alpha-fra.html?lang=fra&amp;i=1&amp;srchtxt=avant+J%C3%A9sus-christ&amp;codom2nd_wet=1" TargetMode="External"/><Relationship Id="rId409" Type="http://schemas.openxmlformats.org/officeDocument/2006/relationships/hyperlink" Target="https://reliuredartdare.com/2021/09/batonnets-tranchefile-fabrication/" TargetMode="External"/><Relationship Id="rId560" Type="http://schemas.openxmlformats.org/officeDocument/2006/relationships/hyperlink" Target="https://en.wikipedia.org/w/index.php?title=Sch%C3%B6ningen_spears&amp;oldid=1143301875" TargetMode="External"/><Relationship Id="rId92" Type="http://schemas.openxmlformats.org/officeDocument/2006/relationships/hyperlink" Target="https://chin-rcip.github.io/cidoc_crm_fr/v7.1/information/terminologie" TargetMode="External"/><Relationship Id="rId213" Type="http://schemas.openxmlformats.org/officeDocument/2006/relationships/hyperlink" Target="https://chin-rcip.github.io/cidoc_crm_fr/v7.1/information/terminologie" TargetMode="External"/><Relationship Id="rId420" Type="http://schemas.openxmlformats.org/officeDocument/2006/relationships/hyperlink" Target="https://fr.wikipedia.org/w/index.php?title=L%C3%A1szl%C3%B3_Moholy-Nagy&amp;oldid=192385234" TargetMode="External"/><Relationship Id="rId255" Type="http://schemas.openxmlformats.org/officeDocument/2006/relationships/hyperlink" Target="https://chin-rcip.github.io/cidoc_crm_fr/v7.1/information/terminologie" TargetMode="External"/><Relationship Id="rId297" Type="http://schemas.openxmlformats.org/officeDocument/2006/relationships/hyperlink" Target="https://chin-rcip.github.io/cidoc_crm_fr/v7.1/information/introduction-aux-concepts-fondamentaux" TargetMode="External"/><Relationship Id="rId462" Type="http://schemas.openxmlformats.org/officeDocument/2006/relationships/hyperlink" Target="https://doi.org/10.1016/j.jas.2006.03.010" TargetMode="External"/><Relationship Id="rId518" Type="http://schemas.openxmlformats.org/officeDocument/2006/relationships/hyperlink" Target="https://www.btb.termiumplus.gc.ca/tpv2alpha/alpha-fra.html?lang=fra&amp;i=1&amp;srchtxt=avant+J%C3%A9sus-christ&amp;codom2nd_wet=1" TargetMode="External"/><Relationship Id="rId115" Type="http://schemas.openxmlformats.org/officeDocument/2006/relationships/hyperlink" Target="https://chin-rcip.github.io/cidoc_crm_fr/v7.1/information/terminologie" TargetMode="External"/><Relationship Id="rId157" Type="http://schemas.openxmlformats.org/officeDocument/2006/relationships/hyperlink" Target="https://chin-rcip.github.io/cidoc_crm_fr/v7.1/information/terminologie" TargetMode="External"/><Relationship Id="rId322" Type="http://schemas.openxmlformats.org/officeDocument/2006/relationships/hyperlink" Target="https://chin-rcip.github.io/cidoc_crm_fr/v7.1/information/terminologie" TargetMode="External"/><Relationship Id="rId364" Type="http://schemas.openxmlformats.org/officeDocument/2006/relationships/hyperlink" Target="https://www.w3.org/XML/" TargetMode="External"/><Relationship Id="rId61" Type="http://schemas.openxmlformats.org/officeDocument/2006/relationships/hyperlink" Target="https://chin-rcip.github.io/cidoc_crm_fr/v7.1/information/introduction-aux-concepts-fondamentaux" TargetMode="External"/><Relationship Id="rId199" Type="http://schemas.openxmlformats.org/officeDocument/2006/relationships/hyperlink" Target="https://chin-rcip.github.io/cidoc_crm_fr/v7.1/information/terminologie" TargetMode="External"/><Relationship Id="rId571" Type="http://schemas.openxmlformats.org/officeDocument/2006/relationships/hyperlink" Target="https://www.w3.org/RDF/" TargetMode="External"/><Relationship Id="rId19" Type="http://schemas.openxmlformats.org/officeDocument/2006/relationships/hyperlink" Target="https://chin-rcip.github.io/cidoc_crm_fr/v7.1/information/terminologie" TargetMode="External"/><Relationship Id="rId224" Type="http://schemas.openxmlformats.org/officeDocument/2006/relationships/hyperlink" Target="https://www.btb.termiumplus.gc.ca/tpv2alpha/alpha-fra.html?lang=fra&amp;i=1&amp;srchtxt=fan-out&amp;index=ent&amp;codom2nd_wet=1" TargetMode="External"/><Relationship Id="rId266" Type="http://schemas.openxmlformats.org/officeDocument/2006/relationships/hyperlink" Target="https://chin-rcip.github.io/cidoc_crm_fr/v7.1/information/terminologie" TargetMode="External"/><Relationship Id="rId431" Type="http://schemas.openxmlformats.org/officeDocument/2006/relationships/image" Target="media/image11.png"/><Relationship Id="rId473" Type="http://schemas.openxmlformats.org/officeDocument/2006/relationships/hyperlink" Target="https://doi.org/10.1016/j.euroecorev.2014.08.004" TargetMode="External"/><Relationship Id="rId529" Type="http://schemas.openxmlformats.org/officeDocument/2006/relationships/hyperlink" Target="https://www.btb.termiumplus.gc.ca/tpv2alpha/alpha-fra.html?lang=fra&amp;i=1&amp;srchtxt=fan-out&amp;index=ent&amp;codom2nd_wet=1" TargetMode="External"/><Relationship Id="rId30" Type="http://schemas.openxmlformats.org/officeDocument/2006/relationships/hyperlink" Target="https://chin-rcip.github.io/cidoc_crm_fr/v7.1/information/terminologie" TargetMode="External"/><Relationship Id="rId126" Type="http://schemas.openxmlformats.org/officeDocument/2006/relationships/hyperlink" Target="https://chin-rcip.github.io/cidoc_crm_fr/v7.1/information/principes-de-modelisation" TargetMode="External"/><Relationship Id="rId168" Type="http://schemas.openxmlformats.org/officeDocument/2006/relationships/hyperlink" Target="https://www.btb.termiumplus.gc.ca/tpv2alpha/alpha-eng.html?lang=eng&amp;i=1&amp;srchtxt=INFORMATION+SYSTEM&amp;index=ent&amp;codom2nd_wet=1" TargetMode="External"/><Relationship Id="rId333" Type="http://schemas.openxmlformats.org/officeDocument/2006/relationships/hyperlink" Target="https://chin-rcip.github.io/cidoc_crm_fr/v7.1/information/terminologie" TargetMode="External"/><Relationship Id="rId540" Type="http://schemas.openxmlformats.org/officeDocument/2006/relationships/hyperlink" Target="https://www.btb.termiumplus.gc.ca/tpv2alpha/alpha-fra.html?lang=fra&amp;i=1&amp;srchtxt=MUSEUM+EXHIBIT&amp;codom2nd_wet=1" TargetMode="External"/><Relationship Id="rId72" Type="http://schemas.openxmlformats.org/officeDocument/2006/relationships/hyperlink" Target="https://chin-rcip.github.io/cidoc_crm_fr/v7.1/information/terminologie" TargetMode="External"/><Relationship Id="rId375" Type="http://schemas.openxmlformats.org/officeDocument/2006/relationships/hyperlink" Target="https://www.btb.termiumplus.gc.ca/tpv2alpha/alpha-fra.html?lang=fra&amp;i=1&amp;srchtxt=MUSEUM+EXHIBIT&amp;codom2nd_wet=1" TargetMode="External"/><Relationship Id="rId3" Type="http://schemas.openxmlformats.org/officeDocument/2006/relationships/numbering" Target="numbering.xml"/><Relationship Id="rId235" Type="http://schemas.openxmlformats.org/officeDocument/2006/relationships/hyperlink" Target="https://chin-rcip.github.io/cidoc_crm_fr/v7.1/information/terminologie" TargetMode="External"/><Relationship Id="rId277" Type="http://schemas.openxmlformats.org/officeDocument/2006/relationships/hyperlink" Target="https://chin-rcip.github.io/cidoc_crm_fr/v7.1/information/terminologie" TargetMode="External"/><Relationship Id="rId400" Type="http://schemas.openxmlformats.org/officeDocument/2006/relationships/hyperlink" Target="https://en.wikipedia.org/w/index.php?title=Sch%C3%B6ningen_spears&amp;oldid=1143301875" TargetMode="External"/><Relationship Id="rId442" Type="http://schemas.openxmlformats.org/officeDocument/2006/relationships/hyperlink" Target="https://en.wikipedia.org/w/index.php?title=Groschen&amp;oldid=1153418826" TargetMode="External"/><Relationship Id="rId484" Type="http://schemas.openxmlformats.org/officeDocument/2006/relationships/hyperlink" Target="https://repository.library.georgetown.edu/handle/10822/552838" TargetMode="External"/><Relationship Id="rId137" Type="http://schemas.openxmlformats.org/officeDocument/2006/relationships/hyperlink" Target="https://chin-rcip.github.io/cidoc_crm_fr/v7.1/information/terminologie" TargetMode="External"/><Relationship Id="rId302" Type="http://schemas.openxmlformats.org/officeDocument/2006/relationships/hyperlink" Target="https://fr.wikipedia.org/w/index.php?title=Extension_conservatrice&amp;oldid=143598511" TargetMode="External"/><Relationship Id="rId344" Type="http://schemas.openxmlformats.org/officeDocument/2006/relationships/hyperlink" Target="https://chin-rcip.github.io/cidoc_crm_fr/v7.1/information/terminologie" TargetMode="External"/><Relationship Id="rId41" Type="http://schemas.openxmlformats.org/officeDocument/2006/relationships/hyperlink" Target="https://chin-rcip.github.io/cidoc_crm_fr/v7.1/information/terminologie" TargetMode="External"/><Relationship Id="rId83" Type="http://schemas.openxmlformats.org/officeDocument/2006/relationships/hyperlink" Target="https://chin-rcip.github.io/cidoc_crm_fr/v7.1/information/terminologie" TargetMode="External"/><Relationship Id="rId179" Type="http://schemas.openxmlformats.org/officeDocument/2006/relationships/hyperlink" Target="https://chin-rcip.github.io/cidoc_crm_fr/v7.1/information/terminologie" TargetMode="External"/><Relationship Id="rId386" Type="http://schemas.openxmlformats.org/officeDocument/2006/relationships/hyperlink" Target="https://fr.wikipedia.org/w/index.php?title=United_Press_International&amp;oldid=182934531" TargetMode="External"/><Relationship Id="rId551" Type="http://schemas.openxmlformats.org/officeDocument/2006/relationships/hyperlink" Target="https://fr.wikipedia.org/wiki/Alg%C3%A8bre_des_intervalles_d%27Allen" TargetMode="External"/><Relationship Id="rId190" Type="http://schemas.openxmlformats.org/officeDocument/2006/relationships/hyperlink" Target="https://chin-rcip.github.io/cidoc_crm_fr/v7.1/information/terminologie" TargetMode="External"/><Relationship Id="rId204" Type="http://schemas.openxmlformats.org/officeDocument/2006/relationships/hyperlink" Target="https://chin-rcip.github.io/cidoc_crm_fr/v7.1/information/terminologie" TargetMode="External"/><Relationship Id="rId246" Type="http://schemas.openxmlformats.org/officeDocument/2006/relationships/hyperlink" Target="https://chin-rcip.github.io/cidoc_crm_fr/v7.1/information/terminologie" TargetMode="External"/><Relationship Id="rId288" Type="http://schemas.openxmlformats.org/officeDocument/2006/relationships/hyperlink" Target="https://chin-rcip.github.io/cidoc_crm_fr/v7.1/information/terminologie" TargetMode="External"/><Relationship Id="rId411" Type="http://schemas.openxmlformats.org/officeDocument/2006/relationships/hyperlink" Target="https://www.moulinduverger.com/reliure-manuelle/roret-69.php" TargetMode="External"/><Relationship Id="rId453" Type="http://schemas.openxmlformats.org/officeDocument/2006/relationships/image" Target="media/image22.png"/><Relationship Id="rId509" Type="http://schemas.openxmlformats.org/officeDocument/2006/relationships/hyperlink" Target="https://www.moulinduverger.com/reliure-manuelle/roret-69.php" TargetMode="External"/><Relationship Id="rId106" Type="http://schemas.openxmlformats.org/officeDocument/2006/relationships/hyperlink" Target="https://chin-rcip.github.io/cidoc_crm_fr/v7.1/information/terminologie" TargetMode="External"/><Relationship Id="rId313" Type="http://schemas.openxmlformats.org/officeDocument/2006/relationships/hyperlink" Target="https://chin-rcip.github.io/cidoc_crm_fr/v7.1/information/terminologie" TargetMode="External"/><Relationship Id="rId495"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10" Type="http://schemas.openxmlformats.org/officeDocument/2006/relationships/footer" Target="footer1.xml"/><Relationship Id="rId52" Type="http://schemas.openxmlformats.org/officeDocument/2006/relationships/hyperlink" Target="https://chin-rcip.github.io/cidoc_crm_fr/v7.1/information/terminologie" TargetMode="External"/><Relationship Id="rId94" Type="http://schemas.openxmlformats.org/officeDocument/2006/relationships/hyperlink" Target="https://chin-rcip.github.io/cidoc_crm_fr/v7.1/information/terminologie" TargetMode="External"/><Relationship Id="rId148" Type="http://schemas.openxmlformats.org/officeDocument/2006/relationships/hyperlink" Target="https://chin-rcip.github.io/cidoc_crm_fr/v7.1/information/terminologie" TargetMode="External"/><Relationship Id="rId355" Type="http://schemas.openxmlformats.org/officeDocument/2006/relationships/hyperlink" Target="https://chin-rcip.github.io/cidoc_crm_fr/v7.1/information/introduction-aux-concepts-fondamentaux" TargetMode="External"/><Relationship Id="rId397" Type="http://schemas.openxmlformats.org/officeDocument/2006/relationships/hyperlink" Target="https://fr.wikipedia.org/w/index.php?title=%C3%89rostrate&amp;oldid=173548642" TargetMode="External"/><Relationship Id="rId520" Type="http://schemas.openxmlformats.org/officeDocument/2006/relationships/hyperlink" Target="https://www.btb.termiumplus.gc.ca/tpv2alpha/alpha-fra.html?lang=fra&amp;srchtxt=temporal%20reasoning&amp;i=&amp;index=alt&amp;sg_kp_wet=921138&amp;fchrcrdnm=1" TargetMode="External"/><Relationship Id="rId562" Type="http://schemas.openxmlformats.org/officeDocument/2006/relationships/hyperlink" Target="https://en.wiktionary.org/w/index.php?title=oka&amp;oldid=72628696" TargetMode="External"/><Relationship Id="rId215" Type="http://schemas.openxmlformats.org/officeDocument/2006/relationships/hyperlink" Target="https://www.btb.termiumplus.gc.ca/tpv2alpha/alpha-fra.html?lang=fra&amp;i=&amp;index=alt&amp;srchtxt=CATEGORIE%20REPETABLE" TargetMode="External"/><Relationship Id="rId257" Type="http://schemas.openxmlformats.org/officeDocument/2006/relationships/hyperlink" Target="https://chin-rcip.github.io/cidoc_crm_fr/v7.1/information/terminologie" TargetMode="External"/><Relationship Id="rId422" Type="http://schemas.openxmlformats.org/officeDocument/2006/relationships/hyperlink" Target="https://www.benaki.org//index.php?option=com_collections&amp;view=collection&amp;id=45&amp;Itemid=540&amp;lang=el" TargetMode="External"/><Relationship Id="rId464" Type="http://schemas.openxmlformats.org/officeDocument/2006/relationships/hyperlink" Target="https://www.benaki.org//index.php?option=com_collections&amp;view=collection&amp;id=45&amp;Itemid=540&amp;lang=en" TargetMode="External"/><Relationship Id="rId299" Type="http://schemas.openxmlformats.org/officeDocument/2006/relationships/hyperlink" Target="https://chin-rcip.github.io/cidoc_crm_fr/v7.1/information/terminologie" TargetMode="External"/><Relationship Id="rId63" Type="http://schemas.openxmlformats.org/officeDocument/2006/relationships/hyperlink" Target="https://chin-rcip.github.io/cidoc_crm_fr/v7.1/information/terminologie" TargetMode="External"/><Relationship Id="rId159" Type="http://schemas.openxmlformats.org/officeDocument/2006/relationships/hyperlink" Target="https://chin-rcip.github.io/cidoc_crm_fr/v7.1/information/terminologie" TargetMode="External"/><Relationship Id="rId366" Type="http://schemas.openxmlformats.org/officeDocument/2006/relationships/hyperlink" Target="https://www.w3.org/OWL/" TargetMode="External"/><Relationship Id="rId573" Type="http://schemas.openxmlformats.org/officeDocument/2006/relationships/hyperlink" Target="https://www.w3.org/OWL/" TargetMode="External"/><Relationship Id="rId226" Type="http://schemas.openxmlformats.org/officeDocument/2006/relationships/hyperlink" Target="https://chin-rcip.github.io/cidoc_crm_fr/v7.1/information/terminologie" TargetMode="External"/><Relationship Id="rId433" Type="http://schemas.openxmlformats.org/officeDocument/2006/relationships/image" Target="media/image12.png"/><Relationship Id="rId74" Type="http://schemas.openxmlformats.org/officeDocument/2006/relationships/hyperlink" Target="https://chin-rcip.github.io/cidoc_crm_fr/v7.1/information/terminologie" TargetMode="External"/><Relationship Id="rId377" Type="http://schemas.openxmlformats.org/officeDocument/2006/relationships/hyperlink" Target="https://fr.wikipedia.org/w/index.php?title=Liste_des_gravures_de_Rembrandt&amp;oldid=180898582" TargetMode="External"/><Relationship Id="rId500" Type="http://schemas.openxmlformats.org/officeDocument/2006/relationships/hyperlink" Target="http://www.cidoc-crm.org/crmgeo/home-5" TargetMode="External"/><Relationship Id="rId5" Type="http://schemas.openxmlformats.org/officeDocument/2006/relationships/settings" Target="settings.xml"/><Relationship Id="rId237" Type="http://schemas.openxmlformats.org/officeDocument/2006/relationships/hyperlink" Target="https://www.btb.termiumplus.gc.ca/tpv2alpha/alpha-fra.html?lang=fra&amp;i=&amp;index=alt&amp;srchtxt=CATEGORIE%20REPETABLE" TargetMode="External"/><Relationship Id="rId444" Type="http://schemas.openxmlformats.org/officeDocument/2006/relationships/image" Target="media/image16.png"/><Relationship Id="rId290" Type="http://schemas.openxmlformats.org/officeDocument/2006/relationships/hyperlink" Target="https://chin-rcip.github.io/cidoc_crm_fr/v7.1/information/terminologie" TargetMode="External"/><Relationship Id="rId304" Type="http://schemas.openxmlformats.org/officeDocument/2006/relationships/hyperlink" Target="https://chin-rcip.github.io/cidoc_crm_fr/v7.1/information/terminologie" TargetMode="External"/><Relationship Id="rId388"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511" Type="http://schemas.openxmlformats.org/officeDocument/2006/relationships/hyperlink" Target="http://gdt.oqlf.gouv.qc.ca/ficheOqlf.aspx?Id_Fiche=8366746" TargetMode="External"/><Relationship Id="rId85" Type="http://schemas.openxmlformats.org/officeDocument/2006/relationships/hyperlink" Target="https://chin-rcip.github.io/cidoc_crm_fr/v7.1/information/terminologie" TargetMode="External"/><Relationship Id="rId150" Type="http://schemas.openxmlformats.org/officeDocument/2006/relationships/hyperlink" Target="https://chin-rcip.github.io/cidoc_crm_fr/v7.1/information/terminologie" TargetMode="External"/><Relationship Id="rId248" Type="http://schemas.openxmlformats.org/officeDocument/2006/relationships/hyperlink" Target="https://www.btb.termiumplus.gc.ca/tpv2alpha/alpha-fra.html?lang=fra&amp;i=1&amp;srchtxt=fan-in&amp;index=ent&amp;codom2nd_wet=1" TargetMode="External"/><Relationship Id="rId455" Type="http://schemas.openxmlformats.org/officeDocument/2006/relationships/hyperlink" Target="https://fr.wikipedia.org/wiki/Alg%C3%A8bre_des_intervalles_d%27Allen" TargetMode="External"/><Relationship Id="rId12" Type="http://schemas.openxmlformats.org/officeDocument/2006/relationships/hyperlink" Target="http://cidoc.mini.icom.museum/fr/" TargetMode="External"/><Relationship Id="rId108" Type="http://schemas.openxmlformats.org/officeDocument/2006/relationships/hyperlink" Target="https://chin-rcip.github.io/cidoc_crm_fr/v7.1/information/terminologie" TargetMode="External"/><Relationship Id="rId315" Type="http://schemas.openxmlformats.org/officeDocument/2006/relationships/hyperlink" Target="https://chin-rcip.github.io/cidoc_crm_fr/v7.1/information/terminologie" TargetMode="External"/><Relationship Id="rId522" Type="http://schemas.openxmlformats.org/officeDocument/2006/relationships/hyperlink" Target="https://www.btb.termiumplus.gc.ca/tpv2alpha/alpha-fra.html?lang=fra&amp;i=1&amp;srchtxt=cardinalit%C3%A9&amp;index=frt&amp;codom2nd_wet=1" TargetMode="External"/><Relationship Id="rId96" Type="http://schemas.openxmlformats.org/officeDocument/2006/relationships/hyperlink" Target="https://chin-rcip.github.io/cidoc_crm_fr/v7.1/information/terminologie" TargetMode="External"/><Relationship Id="rId161" Type="http://schemas.openxmlformats.org/officeDocument/2006/relationships/hyperlink" Target="https://chin-rcip.github.io/cidoc_crm_fr/v7.1/information/compatibilite-avec-le-cidoc-crm" TargetMode="External"/><Relationship Id="rId399" Type="http://schemas.openxmlformats.org/officeDocument/2006/relationships/hyperlink" Target="https://www.btb.termiumplus.gc.ca/tpv2alpha/alpha-fra.html?lang=fra&amp;srchtxt=IDEATIONAL+CONTENT" TargetMode="External"/><Relationship Id="rId259" Type="http://schemas.openxmlformats.org/officeDocument/2006/relationships/hyperlink" Target="https://chin-rcip.github.io/cidoc_crm_fr/v7.1/information/terminologie" TargetMode="External"/><Relationship Id="rId466" Type="http://schemas.openxmlformats.org/officeDocument/2006/relationships/hyperlink" Target="https://www.history.com/this-day-in-history/berlin-wall-built" TargetMode="External"/><Relationship Id="rId23" Type="http://schemas.openxmlformats.org/officeDocument/2006/relationships/hyperlink" Target="https://chin-rcip.github.io/cidoc_crm_fr/v7.1/information/terminologie" TargetMode="External"/><Relationship Id="rId119" Type="http://schemas.openxmlformats.org/officeDocument/2006/relationships/hyperlink" Target="https://chin-rcip.github.io/cidoc_crm_fr/v7.1/information/terminologie" TargetMode="External"/><Relationship Id="rId326" Type="http://schemas.openxmlformats.org/officeDocument/2006/relationships/hyperlink" Target="https://chin-rcip.github.io/cidoc_crm_fr/v7.1/information/terminologie" TargetMode="External"/><Relationship Id="rId533" Type="http://schemas.openxmlformats.org/officeDocument/2006/relationships/hyperlink" Target="https://www.btb.termiumplus.gc.ca/tpv2alpha/alpha-fra.html?lang=fra&amp;i=1&amp;srchtxt=merge&amp;index=ent&amp;codom2nd_wet=1" TargetMode="External"/><Relationship Id="rId172" Type="http://schemas.openxmlformats.org/officeDocument/2006/relationships/hyperlink" Target="https://chin-rcip.github.io/cidoc_crm_fr/v7.1/information/terminologie" TargetMode="External"/><Relationship Id="rId477" Type="http://schemas.openxmlformats.org/officeDocument/2006/relationships/hyperlink" Target="https://doi.org/10.1007/978-3-642-12842-4_37" TargetMode="External"/><Relationship Id="rId337" Type="http://schemas.openxmlformats.org/officeDocument/2006/relationships/hyperlink" Target="https://chin-rcip.github.io/cidoc_crm_fr/v7.1/information/terminolog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C6u4kfy14DpMKXY00OGbReGng==">CgMxLjAaMAoBMBIrCikIB0IlChFRdWF0dHJvY2VudG8gU2FucxIQQXJpYWwgVW5pY29kZSBNUzIJaWQ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</go:docsCustomData>
</go:gDocsCustomXmlDataStorage>
</file>

<file path=customXml/itemProps1.xml><?xml version="1.0" encoding="utf-8"?>
<ds:datastoreItem xmlns:ds="http://schemas.openxmlformats.org/officeDocument/2006/customXml" ds:itemID="{1A170F93-0BEF-4F96-AD94-A938E1A517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345</Pages>
  <Words>118399</Words>
  <Characters>674878</Characters>
  <Application>Microsoft Office Word</Application>
  <DocSecurity>0</DocSecurity>
  <Lines>5623</Lines>
  <Paragraphs>1583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791694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Philippe Michon (il, lui | he, him)</dc:creator>
  <cp:lastModifiedBy>Nguyen Khanh Trang Dang (elle, la, lui | she, her, hers)</cp:lastModifiedBy>
  <cp:revision>10</cp:revision>
  <cp:lastPrinted>2023-08-31T11:54:00Z</cp:lastPrinted>
  <dcterms:created xsi:type="dcterms:W3CDTF">2023-08-22T18:40:00Z</dcterms:created>
  <dcterms:modified xsi:type="dcterms:W3CDTF">2023-10-24T18:02:00Z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b4b7a6-9caa-4b32-95da-d5cfefd952da_Enabled">
    <vt:lpwstr>true</vt:lpwstr>
  </property>
  <property fmtid="{D5CDD505-2E9C-101B-9397-08002B2CF9AE}" pid="3" name="MSIP_Label_adb4b7a6-9caa-4b32-95da-d5cfefd952da_SetDate">
    <vt:lpwstr>2023-06-30T18:46:48Z</vt:lpwstr>
  </property>
  <property fmtid="{D5CDD505-2E9C-101B-9397-08002B2CF9AE}" pid="4" name="MSIP_Label_adb4b7a6-9caa-4b32-95da-d5cfefd952da_Method">
    <vt:lpwstr>Standard</vt:lpwstr>
  </property>
  <property fmtid="{D5CDD505-2E9C-101B-9397-08002B2CF9AE}" pid="5" name="MSIP_Label_adb4b7a6-9caa-4b32-95da-d5cfefd952da_Name">
    <vt:lpwstr>Unclassified</vt:lpwstr>
  </property>
  <property fmtid="{D5CDD505-2E9C-101B-9397-08002B2CF9AE}" pid="6" name="MSIP_Label_adb4b7a6-9caa-4b32-95da-d5cfefd952da_SiteId">
    <vt:lpwstr>7969f40a-ef10-4cad-a9c2-ea2ca603743a</vt:lpwstr>
  </property>
  <property fmtid="{D5CDD505-2E9C-101B-9397-08002B2CF9AE}" pid="7" name="MSIP_Label_adb4b7a6-9caa-4b32-95da-d5cfefd952da_ActionId">
    <vt:lpwstr>7560b6bb-7833-4441-ac68-77919ad33ee5</vt:lpwstr>
  </property>
  <property fmtid="{D5CDD505-2E9C-101B-9397-08002B2CF9AE}" pid="8" name="MSIP_Label_adb4b7a6-9caa-4b32-95da-d5cfefd952da_ContentBits">
    <vt:lpwstr>0</vt:lpwstr>
  </property>
</Properties>
</file>